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628EB3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2CC1" w:rsidP="0010095E" w14:paraId="13C5CCA4" w14:textId="77777777">
            <w:pPr>
              <w:pStyle w:val="EPName"/>
            </w:pPr>
            <w:r w:rsidRPr="00392CC1">
              <w:t>Európsky parlament</w:t>
            </w:r>
          </w:p>
          <w:p w:rsidR="00751A4A" w:rsidRPr="00392CC1" w:rsidP="005F1B17" w14:paraId="26485A9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2CC1">
              <w:t>2024</w:t>
            </w:r>
            <w:r w:rsidRPr="00392CC1" w:rsidR="00817416">
              <w:t>-202</w:t>
            </w:r>
            <w:r w:rsidRPr="00392CC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2CC1" w:rsidP="0010095E" w14:paraId="40C8105F" w14:textId="77777777">
            <w:pPr>
              <w:pStyle w:val="EPLogo"/>
            </w:pPr>
            <w:r w:rsidRPr="00392CC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2CC1" w:rsidP="004C5D52" w14:paraId="7AD4B3F5" w14:textId="77777777">
      <w:pPr>
        <w:pStyle w:val="LineTop"/>
      </w:pPr>
    </w:p>
    <w:p w:rsidR="00680577" w:rsidRPr="00392CC1" w:rsidP="00680577" w14:paraId="4D08BE6E" w14:textId="77777777">
      <w:pPr>
        <w:pStyle w:val="EPBodyTA1"/>
      </w:pPr>
      <w:r w:rsidRPr="00392CC1">
        <w:t>PRIJATÉ TEXTY</w:t>
      </w:r>
    </w:p>
    <w:p w:rsidR="00D058B8" w:rsidRPr="00392CC1" w:rsidP="00D058B8" w14:paraId="637E68B0" w14:textId="77777777">
      <w:pPr>
        <w:pStyle w:val="LineBottom"/>
      </w:pPr>
    </w:p>
    <w:p w:rsidR="00B43CAB" w:rsidRPr="00392CC1" w:rsidP="00B43CAB" w14:paraId="038302E8" w14:textId="0F3DA96E">
      <w:pPr>
        <w:pStyle w:val="ATHeading1"/>
      </w:pPr>
      <w:bookmarkStart w:id="0" w:name="TANumber"/>
      <w:r w:rsidRPr="00392CC1">
        <w:t>P10_TA(2026)0</w:t>
      </w:r>
      <w:r w:rsidRPr="00392CC1" w:rsidR="00573A0D">
        <w:t>205</w:t>
      </w:r>
      <w:bookmarkEnd w:id="0"/>
    </w:p>
    <w:p w:rsidR="00B43CAB" w:rsidRPr="00392CC1" w:rsidP="00B43CAB" w14:paraId="54131F06" w14:textId="77777777">
      <w:pPr>
        <w:pStyle w:val="ATHeading2"/>
      </w:pPr>
      <w:bookmarkStart w:id="1" w:name="title"/>
      <w:r w:rsidRPr="00392CC1">
        <w:t>Posilnenie rozvojovej spolupráce s cieľom riešiť neoprávnené pohyby obyvateľstva a ich základné príčiny v partnerských krajinách</w:t>
      </w:r>
      <w:bookmarkEnd w:id="1"/>
    </w:p>
    <w:p w:rsidR="00B43CAB" w:rsidRPr="00392CC1" w:rsidP="00B43CAB" w14:paraId="7C9A117A" w14:textId="77777777">
      <w:pPr>
        <w:rPr>
          <w:i/>
          <w:vanish/>
        </w:rPr>
      </w:pPr>
      <w:r>
        <w:rPr>
          <w:i/>
        </w:rPr>
        <w:fldChar w:fldCharType="begin"/>
      </w:r>
      <w:r w:rsidRPr="00392CC1">
        <w:rPr>
          <w:i/>
        </w:rPr>
        <w:instrText xml:space="preserve"> TC"(</w:instrText>
      </w:r>
      <w:bookmarkStart w:id="2" w:name="DocNumber"/>
      <w:r w:rsidRPr="00392CC1">
        <w:rPr>
          <w:i/>
        </w:rPr>
        <w:instrText>A10-0147/2026</w:instrText>
      </w:r>
      <w:bookmarkEnd w:id="2"/>
      <w:r w:rsidRPr="00392CC1">
        <w:rPr>
          <w:i/>
        </w:rPr>
        <w:instrText xml:space="preserve"> - Spravodajca: Lukas </w:instrText>
      </w:r>
      <w:r w:rsidRPr="00392CC1">
        <w:rPr>
          <w:i/>
        </w:rPr>
        <w:instrText>Mandl</w:instrText>
      </w:r>
      <w:r w:rsidRPr="00392CC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43CAB" w:rsidRPr="00392CC1" w:rsidP="00B43CAB" w14:paraId="3D9D6F87" w14:textId="77777777">
      <w:pPr>
        <w:rPr>
          <w:vanish/>
        </w:rPr>
      </w:pPr>
      <w:bookmarkStart w:id="3" w:name="Commission"/>
      <w:r w:rsidRPr="00392CC1">
        <w:rPr>
          <w:vanish/>
        </w:rPr>
        <w:t>Výbor pre rozvoj</w:t>
      </w:r>
      <w:bookmarkEnd w:id="3"/>
    </w:p>
    <w:p w:rsidR="00B43CAB" w:rsidRPr="00392CC1" w:rsidP="00B43CAB" w14:paraId="5BCC71C5" w14:textId="77777777">
      <w:pPr>
        <w:rPr>
          <w:vanish/>
        </w:rPr>
      </w:pPr>
      <w:bookmarkStart w:id="4" w:name="PE"/>
      <w:r w:rsidRPr="00392CC1">
        <w:rPr>
          <w:vanish/>
        </w:rPr>
        <w:t>PE776.883</w:t>
      </w:r>
      <w:bookmarkEnd w:id="4"/>
    </w:p>
    <w:p w:rsidR="00B43CAB" w:rsidRPr="00392CC1" w:rsidP="00B43CAB" w14:paraId="4D3589B4" w14:textId="6FC00958">
      <w:pPr>
        <w:pStyle w:val="ATHeading3"/>
      </w:pPr>
      <w:bookmarkStart w:id="5" w:name="Sujet"/>
      <w:r w:rsidRPr="00392CC1">
        <w:t xml:space="preserve">Uznesenie Európskeho parlamentu zo </w:t>
      </w:r>
      <w:r w:rsidRPr="00392CC1" w:rsidR="009D5368">
        <w:t>16. júna</w:t>
      </w:r>
      <w:r w:rsidRPr="00392CC1">
        <w:t xml:space="preserve"> 2026 o posilnení rozvojovej spolupráce s cieľom riešiť neoprávnené pohyby obyvateľstva a ich základné príčiny v partnerských krajinách</w:t>
      </w:r>
      <w:bookmarkEnd w:id="5"/>
      <w:r w:rsidRPr="00392CC1">
        <w:t xml:space="preserve"> </w:t>
      </w:r>
      <w:bookmarkStart w:id="6" w:name="References"/>
      <w:r w:rsidRPr="00392CC1">
        <w:t>(2025/2111(INI))</w:t>
      </w:r>
      <w:bookmarkEnd w:id="6"/>
    </w:p>
    <w:p w:rsidR="009D2F3E" w:rsidRPr="00392CC1" w:rsidP="00573A0D" w14:paraId="5CA7B5F5" w14:textId="77777777">
      <w:pPr>
        <w:pStyle w:val="Normal12"/>
        <w:spacing w:before="240"/>
        <w:rPr>
          <w:i/>
          <w:iCs/>
        </w:rPr>
      </w:pPr>
      <w:r w:rsidRPr="00392CC1">
        <w:rPr>
          <w:i/>
          <w:iCs/>
        </w:rPr>
        <w:t>Európsky parlament,</w:t>
      </w:r>
    </w:p>
    <w:p w:rsidR="009D2F3E" w:rsidRPr="00392CC1" w:rsidP="009D2F3E" w14:paraId="28FC5E22" w14:textId="77777777">
      <w:pPr>
        <w:pStyle w:val="NormalHanging"/>
      </w:pPr>
      <w:r w:rsidRPr="00392CC1">
        <w:t>–</w:t>
      </w:r>
      <w:r w:rsidRPr="00392CC1">
        <w:tab/>
        <w:t>so zreteľom na články 79 a 208 Zmluvy o fungovaní Európskej únie (ďalej len „ZFEÚ“),</w:t>
      </w:r>
    </w:p>
    <w:p w:rsidR="009D2F3E" w:rsidRPr="00392CC1" w:rsidP="009D2F3E" w14:paraId="74B407EE" w14:textId="121D0DAF">
      <w:pPr>
        <w:pStyle w:val="NormalHanging"/>
      </w:pPr>
      <w:r w:rsidRPr="00392CC1">
        <w:t>–</w:t>
      </w:r>
      <w:r w:rsidRPr="00392CC1">
        <w:tab/>
        <w:t>so zreteľom na článok 3 ods. 5 a článok 21 Zmluvy o Európskej únii (ďalej len „Z</w:t>
      </w:r>
      <w:r w:rsidRPr="00392CC1" w:rsidR="009D5368">
        <w:t xml:space="preserve">mluva o </w:t>
      </w:r>
      <w:r w:rsidRPr="00392CC1">
        <w:t>EÚ“),</w:t>
      </w:r>
    </w:p>
    <w:p w:rsidR="009D2F3E" w:rsidRPr="00392CC1" w:rsidP="009D2F3E" w14:paraId="39A11D89" w14:textId="77777777">
      <w:pPr>
        <w:pStyle w:val="NormalHanging"/>
      </w:pPr>
      <w:r w:rsidRPr="00392CC1">
        <w:t>–</w:t>
      </w:r>
      <w:r w:rsidRPr="00392CC1">
        <w:tab/>
        <w:t xml:space="preserve">so zreteľom na pracovný dokument útvarov Komisie z 30. júna 2021 s názvom </w:t>
      </w:r>
      <w:r w:rsidRPr="00392CC1">
        <w:t>Applying</w:t>
      </w:r>
      <w:r w:rsidRPr="00392CC1">
        <w:t xml:space="preserve"> </w:t>
      </w:r>
      <w:r w:rsidRPr="00392CC1">
        <w:t>the</w:t>
      </w:r>
      <w:r w:rsidRPr="00392CC1">
        <w:t xml:space="preserve"> </w:t>
      </w:r>
      <w:r w:rsidRPr="00392CC1">
        <w:t>Human</w:t>
      </w:r>
      <w:r w:rsidRPr="00392CC1">
        <w:t xml:space="preserve"> </w:t>
      </w:r>
      <w:r w:rsidRPr="00392CC1">
        <w:t>Rights</w:t>
      </w:r>
      <w:r w:rsidRPr="00392CC1">
        <w:t xml:space="preserve"> </w:t>
      </w:r>
      <w:r w:rsidRPr="00392CC1">
        <w:t>Based</w:t>
      </w:r>
      <w:r w:rsidRPr="00392CC1">
        <w:t xml:space="preserve"> </w:t>
      </w:r>
      <w:r w:rsidRPr="00392CC1">
        <w:t>Approach</w:t>
      </w:r>
      <w:r w:rsidRPr="00392CC1">
        <w:t xml:space="preserve"> to </w:t>
      </w:r>
      <w:r w:rsidRPr="00392CC1">
        <w:t>international</w:t>
      </w:r>
      <w:r w:rsidRPr="00392CC1">
        <w:t xml:space="preserve"> </w:t>
      </w:r>
      <w:r w:rsidRPr="00392CC1">
        <w:t>partnerships</w:t>
      </w:r>
      <w:r w:rsidRPr="00392CC1">
        <w:t xml:space="preserve"> – </w:t>
      </w:r>
      <w:r w:rsidRPr="00392CC1">
        <w:t>An</w:t>
      </w:r>
      <w:r w:rsidRPr="00392CC1">
        <w:t xml:space="preserve"> </w:t>
      </w:r>
      <w:r w:rsidRPr="00392CC1">
        <w:t>updated</w:t>
      </w:r>
      <w:r w:rsidRPr="00392CC1">
        <w:t xml:space="preserve"> </w:t>
      </w:r>
      <w:r w:rsidRPr="00392CC1">
        <w:t>Toolbox</w:t>
      </w:r>
      <w:r w:rsidRPr="00392CC1">
        <w:t xml:space="preserve"> </w:t>
      </w:r>
      <w:r w:rsidRPr="00392CC1">
        <w:t>for</w:t>
      </w:r>
      <w:r w:rsidRPr="00392CC1">
        <w:t xml:space="preserve"> </w:t>
      </w:r>
      <w:r w:rsidRPr="00392CC1">
        <w:t>placing</w:t>
      </w:r>
      <w:r w:rsidRPr="00392CC1">
        <w:t xml:space="preserve"> </w:t>
      </w:r>
      <w:r w:rsidRPr="00392CC1">
        <w:t>rights-holders</w:t>
      </w:r>
      <w:r w:rsidRPr="00392CC1">
        <w:t xml:space="preserve"> at </w:t>
      </w:r>
      <w:r w:rsidRPr="00392CC1">
        <w:t>the</w:t>
      </w:r>
      <w:r w:rsidRPr="00392CC1">
        <w:t xml:space="preserve"> centre of </w:t>
      </w:r>
      <w:r w:rsidRPr="00392CC1">
        <w:t>EU’s</w:t>
      </w:r>
      <w:r w:rsidRPr="00392CC1">
        <w:t xml:space="preserve"> </w:t>
      </w:r>
      <w:r w:rsidRPr="00392CC1">
        <w:t>Neighbourhood</w:t>
      </w:r>
      <w:r w:rsidRPr="00392CC1">
        <w:t xml:space="preserve">, </w:t>
      </w:r>
      <w:r w:rsidRPr="00392CC1">
        <w:t>Development</w:t>
      </w:r>
      <w:r w:rsidRPr="00392CC1">
        <w:t xml:space="preserve"> and International </w:t>
      </w:r>
      <w:r w:rsidRPr="00392CC1">
        <w:t>Cooperation</w:t>
      </w:r>
      <w:r w:rsidRPr="00392CC1">
        <w:t xml:space="preserve"> (Uplatňovanie prístupu založeného na ľudských právach na medzinárodné partnerstvá – aktualizovaný súbor nástrojov na umiestnenie nositeľov práv do centra susedskej, rozvojovej a medzinárodnej spolupráce EÚ (SWD(2021)0179),</w:t>
      </w:r>
    </w:p>
    <w:p w:rsidR="009D2F3E" w:rsidRPr="00392CC1" w:rsidP="009D2F3E" w14:paraId="74F6F625" w14:textId="594EAFFE">
      <w:pPr>
        <w:pStyle w:val="NormalHanging"/>
      </w:pPr>
      <w:r w:rsidRPr="00392CC1">
        <w:t>–</w:t>
      </w:r>
      <w:r w:rsidRPr="00392CC1">
        <w:tab/>
        <w:t>so zreteľom na nariadenie Európskeho parlamentu a Rady (EÚ) 2021/947 z 9. júna 2021, ktorým sa zriaďuje Nástroj susedstva a rozvojovej a medzinárodnej spolupráce – Globálna Európa</w:t>
      </w:r>
      <w:r>
        <w:rPr>
          <w:rStyle w:val="FootnoteReference"/>
        </w:rPr>
        <w:footnoteReference w:id="2"/>
      </w:r>
      <w:r w:rsidRPr="00392CC1">
        <w:t>,</w:t>
      </w:r>
    </w:p>
    <w:p w:rsidR="009D2F3E" w:rsidRPr="00392CC1" w:rsidP="009D2F3E" w14:paraId="414DE06E" w14:textId="77777777">
      <w:pPr>
        <w:pStyle w:val="NormalHanging"/>
      </w:pPr>
      <w:r w:rsidRPr="00392CC1">
        <w:t>–</w:t>
      </w:r>
      <w:r w:rsidRPr="00392CC1">
        <w:tab/>
        <w:t>so zreteľom na návrh Komisie zo 16. júla 2025 na nariadenie Európskeho parlamentu a Rady, ktorým sa zriaďuje Globálna Európa (COM(2025)0551),</w:t>
      </w:r>
    </w:p>
    <w:p w:rsidR="009D2F3E" w:rsidRPr="00392CC1" w:rsidP="009D2F3E" w14:paraId="63A7A085" w14:textId="1444CBC1">
      <w:pPr>
        <w:pStyle w:val="NormalHanging"/>
      </w:pPr>
      <w:r w:rsidRPr="00392CC1">
        <w:t>–</w:t>
      </w:r>
      <w:r w:rsidRPr="00392CC1">
        <w:tab/>
        <w:t>so zreteľom na nariadenie Európskeho parlamentu a Rady (EÚ) 2024/1351 zo 14. mája 2024 o riadení azylu a migrácie, o zmene nariadení (EÚ) 2021/1147 a (EÚ) 2021/1060 a o zrušení nariadenia (EÚ) č. 604/2013</w:t>
      </w:r>
      <w:r>
        <w:rPr>
          <w:rStyle w:val="FootnoteReference"/>
        </w:rPr>
        <w:footnoteReference w:id="3"/>
      </w:r>
      <w:r w:rsidRPr="00392CC1">
        <w:t>,</w:t>
      </w:r>
    </w:p>
    <w:p w:rsidR="009D2F3E" w:rsidRPr="00392CC1" w:rsidP="009D2F3E" w14:paraId="30C5EFE0" w14:textId="77777777">
      <w:pPr>
        <w:pStyle w:val="NormalHanging"/>
      </w:pPr>
      <w:r w:rsidRPr="00392CC1">
        <w:t>–</w:t>
      </w:r>
      <w:r w:rsidRPr="00392CC1">
        <w:tab/>
        <w:t>so zreteľom na návrh Komisie z 11. marca 2025 na nariadenie Európskeho parlamentu a Rady, ktorým sa vytvára spoločný systém pre návrat štátnych príslušníkov tretích krajín, ktorí sa v Únii zdržiavajú neoprávnene, a zrušuje smernica Európskeho parlamentu a Rady 2008/115/ES, smernica Rady 2001/40/ES a rozhodnutie Rady 2004/191/ES (COM(2025)0101),</w:t>
      </w:r>
    </w:p>
    <w:p w:rsidR="009D2F3E" w:rsidRPr="00392CC1" w:rsidP="009D2F3E" w14:paraId="34902AE2" w14:textId="42E0ED5E">
      <w:pPr>
        <w:pStyle w:val="NormalHanging"/>
      </w:pPr>
      <w:r w:rsidRPr="00392CC1">
        <w:t>–</w:t>
      </w:r>
      <w:r w:rsidRPr="00392CC1">
        <w:tab/>
        <w:t>so zreteľom na Dohodu o partnerstve medzi Európskou úniou a jej členskými štátmi na jednej strane a členmi Organizácie afrických, karibských a tichomorských štátov na strane druhej (Samojská dohoda)</w:t>
      </w:r>
      <w:r>
        <w:rPr>
          <w:rStyle w:val="FootnoteReference"/>
        </w:rPr>
        <w:footnoteReference w:id="4"/>
      </w:r>
      <w:r w:rsidRPr="00392CC1">
        <w:t>,</w:t>
      </w:r>
    </w:p>
    <w:p w:rsidR="009D2F3E" w:rsidRPr="00392CC1" w:rsidP="009D2F3E" w14:paraId="19C9F705" w14:textId="77777777">
      <w:pPr>
        <w:pStyle w:val="NormalHanging"/>
      </w:pPr>
      <w:r w:rsidRPr="00392CC1">
        <w:t>–</w:t>
      </w:r>
      <w:r w:rsidRPr="00392CC1">
        <w:tab/>
        <w:t>so zreteľom na oznámenie Komisie z 27. apríla 2022 o Získavaní zručností a prilákaní talentov do EÚ (COM(2022)0657),</w:t>
      </w:r>
    </w:p>
    <w:p w:rsidR="009D2F3E" w:rsidRPr="00392CC1" w:rsidP="009D2F3E" w14:paraId="74164943" w14:textId="77777777">
      <w:pPr>
        <w:pStyle w:val="NormalHanging"/>
      </w:pPr>
      <w:r w:rsidRPr="00392CC1">
        <w:t>–</w:t>
      </w:r>
      <w:r w:rsidRPr="00392CC1">
        <w:tab/>
        <w:t>so zreteľom na Pakt pre Stredozemie,</w:t>
      </w:r>
    </w:p>
    <w:p w:rsidR="009D2F3E" w:rsidRPr="00392CC1" w:rsidP="009D2F3E" w14:paraId="1605965D" w14:textId="77777777">
      <w:pPr>
        <w:pStyle w:val="NormalHanging"/>
      </w:pPr>
      <w:r w:rsidRPr="00392CC1">
        <w:t>–</w:t>
      </w:r>
      <w:r w:rsidRPr="00392CC1">
        <w:tab/>
        <w:t>so zreteľom na spoločné vyhlásenie Rady a zástupcov vlád členských štátov zasadajúcich v Rade, Európskeho parlamentu a Komisie zo 7. júna 2017 s názvom Nový Európsky konsenzus o rozvoji – Náš svet, naša dôstojnosť, naša budúcnosť,</w:t>
      </w:r>
    </w:p>
    <w:p w:rsidR="009D2F3E" w:rsidRPr="00392CC1" w:rsidP="009D2F3E" w14:paraId="6F662D8C" w14:textId="77777777">
      <w:pPr>
        <w:pStyle w:val="NormalHanging"/>
      </w:pPr>
      <w:r w:rsidRPr="00392CC1">
        <w:t>–</w:t>
      </w:r>
      <w:r w:rsidRPr="00392CC1">
        <w:tab/>
        <w:t>so zreteľom na Núdzový trustový fond EÚ pre Afriku (EUTF) a osobitnú správu Európskeho dvora audítorov č. 17/2024 z 25. septembra 2024 s názvom Trustový fond EÚ pre Afriku – Napriek novým prístupom je podpora i naďalej nedostatočne zameraná,</w:t>
      </w:r>
    </w:p>
    <w:p w:rsidR="009D2F3E" w:rsidRPr="00392CC1" w:rsidP="009D2F3E" w14:paraId="3DEE43CD" w14:textId="77777777">
      <w:pPr>
        <w:pStyle w:val="NormalHanging"/>
      </w:pPr>
      <w:r w:rsidRPr="00392CC1">
        <w:t>–</w:t>
      </w:r>
      <w:r w:rsidRPr="00392CC1">
        <w:tab/>
        <w:t>so zreteľom na oznámenie Komisie zo 4. júna 2025 s názvom Európska stratégia pre odolnosť v oblasti vody (COM(2025)0280),</w:t>
      </w:r>
    </w:p>
    <w:p w:rsidR="009D2F3E" w:rsidRPr="00392CC1" w:rsidP="009D2F3E" w14:paraId="78ABF7B2" w14:textId="166AAA9A">
      <w:pPr>
        <w:pStyle w:val="NormalHanging"/>
      </w:pPr>
      <w:r w:rsidRPr="00392CC1">
        <w:t>–</w:t>
      </w:r>
      <w:r w:rsidRPr="00392CC1">
        <w:tab/>
        <w:t>so zreteľom na svoje uznesenie zo 7. mája 2025 o európskej stratégii pre odolnosť v oblasti vody</w:t>
      </w:r>
      <w:r>
        <w:rPr>
          <w:rStyle w:val="FootnoteReference"/>
        </w:rPr>
        <w:footnoteReference w:id="5"/>
      </w:r>
      <w:r w:rsidRPr="00392CC1">
        <w:t>,</w:t>
      </w:r>
    </w:p>
    <w:p w:rsidR="009D2F3E" w:rsidRPr="00392CC1" w:rsidP="009D2F3E" w14:paraId="784A5AE7" w14:textId="0B27B294">
      <w:pPr>
        <w:pStyle w:val="NormalHanging"/>
      </w:pPr>
      <w:r w:rsidRPr="00392CC1">
        <w:t>–</w:t>
      </w:r>
      <w:r w:rsidRPr="00392CC1">
        <w:tab/>
        <w:t xml:space="preserve">so zreteľom na spoločné oznámenie Komisie a vysokého predstaviteľa Únie pre zahraničné veci a bezpečnostnú politiku z 1. decembra 2021 s názvom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 xml:space="preserve"> (</w:t>
      </w:r>
      <w:r w:rsidRPr="00392CC1" w:rsidR="009D5368">
        <w:t>JOIN(2021)0030</w:t>
      </w:r>
      <w:r w:rsidRPr="00392CC1">
        <w:t>),</w:t>
      </w:r>
    </w:p>
    <w:p w:rsidR="009D2F3E" w:rsidRPr="00392CC1" w:rsidP="009D2F3E" w14:paraId="578E37D8" w14:textId="0CFA998E">
      <w:pPr>
        <w:pStyle w:val="NormalHanging"/>
      </w:pPr>
      <w:r w:rsidRPr="00392CC1">
        <w:t>–</w:t>
      </w:r>
      <w:r w:rsidRPr="00392CC1">
        <w:tab/>
        <w:t>so zreteľom na spoločné oznámenie Komisie a vysokého predstaviteľa Únie pre zahraničné veci a bezpečnostnú politiku z 2. októbra 2024 s názvom Budovanie udržateľných medzinárodných partnerstiev v duchu Tímu Európa (</w:t>
      </w:r>
      <w:r w:rsidRPr="00392CC1" w:rsidR="009D5368">
        <w:t>JOIN(2024)0025)</w:t>
      </w:r>
      <w:r w:rsidRPr="00392CC1">
        <w:t>,</w:t>
      </w:r>
    </w:p>
    <w:p w:rsidR="009D2F3E" w:rsidRPr="00392CC1" w:rsidP="009D2F3E" w14:paraId="060130EA" w14:textId="77777777">
      <w:pPr>
        <w:pStyle w:val="NormalHanging"/>
      </w:pPr>
      <w:r w:rsidRPr="00392CC1">
        <w:t>–</w:t>
      </w:r>
      <w:r w:rsidRPr="00392CC1">
        <w:tab/>
        <w:t>so zreteľom na závery Európskej rady zo 17. októbra 2024 týkajúce sa migrácie,</w:t>
      </w:r>
    </w:p>
    <w:p w:rsidR="009D2F3E" w:rsidRPr="00392CC1" w:rsidP="009D2F3E" w14:paraId="76BE3382" w14:textId="77777777">
      <w:pPr>
        <w:pStyle w:val="NormalHanging"/>
      </w:pPr>
      <w:r w:rsidRPr="00392CC1">
        <w:t>–</w:t>
      </w:r>
      <w:r w:rsidRPr="00392CC1">
        <w:tab/>
        <w:t>so zreteľom na rezolúciu Valného zhromaždenia OSN č. 73/195 z 19. decembra 2018 s názvom Globálny pakt o bezpečnej, riadenej a legálnej migrácii,</w:t>
      </w:r>
    </w:p>
    <w:p w:rsidR="009D2F3E" w:rsidRPr="00392CC1" w:rsidP="009D2F3E" w14:paraId="79CAEC66" w14:textId="77777777">
      <w:pPr>
        <w:pStyle w:val="NormalHanging"/>
      </w:pPr>
      <w:r w:rsidRPr="00392CC1">
        <w:t>–</w:t>
      </w:r>
      <w:r w:rsidRPr="00392CC1">
        <w:tab/>
        <w:t>so zreteľom na rezolúciu Valného zhromaždenia OSN č. 71/1 z 19. septembra 2016 s názvom Newyorské vyhlásenie pre utečencov a migrantov,</w:t>
      </w:r>
    </w:p>
    <w:p w:rsidR="009D2F3E" w:rsidRPr="00392CC1" w:rsidP="009D2F3E" w14:paraId="78DBEDBA" w14:textId="77777777">
      <w:pPr>
        <w:pStyle w:val="NormalHanging"/>
      </w:pPr>
      <w:r w:rsidRPr="00392CC1">
        <w:t>–</w:t>
      </w:r>
      <w:r w:rsidRPr="00392CC1">
        <w:tab/>
        <w:t xml:space="preserve">so zreteľom na rezolúciu Valného zhromaždenia OSN č. 70/1 s názvom Transformujeme náš svet: Agenda 2030 pre udržateľný rozvoj, ktorá bola prijatá na </w:t>
      </w:r>
      <w:r w:rsidRPr="00392CC1">
        <w:t>samite OSN o udržateľnom rozvoji 25. septembra 2015 v New Yorku a v ktorej sa stanovujú ciele udržateľného rozvoja, a najmä cieľ udržateľného rozvoja č. 10.7,</w:t>
      </w:r>
    </w:p>
    <w:p w:rsidR="009D2F3E" w:rsidRPr="00392CC1" w:rsidP="009D2F3E" w14:paraId="283BEF55" w14:textId="77777777">
      <w:pPr>
        <w:pStyle w:val="NormalHanging"/>
      </w:pPr>
      <w:r w:rsidRPr="00392CC1">
        <w:t>–</w:t>
      </w:r>
      <w:r w:rsidRPr="00392CC1">
        <w:tab/>
        <w:t>so zreteľom na Dohovor o právnom postavení utečencov z roku 1951 a na newyorský protokol k nemu z roku 1967,</w:t>
      </w:r>
    </w:p>
    <w:p w:rsidR="009D2F3E" w:rsidRPr="00392CC1" w:rsidP="009D2F3E" w14:paraId="1E5965F9" w14:textId="77777777">
      <w:pPr>
        <w:pStyle w:val="NormalHanging"/>
      </w:pPr>
      <w:r w:rsidRPr="00392CC1">
        <w:t>–</w:t>
      </w:r>
      <w:r w:rsidRPr="00392CC1">
        <w:tab/>
        <w:t>so zreteľom na usmernenia Výboru pre rozvojovú pomoc Organizácie pre hospodársku spoluprácu a rozvoj týkajúce sa činností súvisiacich s migráciou v rámci oficiálnej rozvojovej pomoci (ODA) a súvisiaci súbor nástrojov,</w:t>
      </w:r>
    </w:p>
    <w:p w:rsidR="009D2F3E" w:rsidRPr="00392CC1" w:rsidP="009D2F3E" w14:paraId="66A9CFFB" w14:textId="77777777">
      <w:pPr>
        <w:pStyle w:val="NormalHanging"/>
      </w:pPr>
      <w:r w:rsidRPr="00392CC1">
        <w:t>–</w:t>
      </w:r>
      <w:r w:rsidRPr="00392CC1">
        <w:tab/>
        <w:t>so zreteľom na Európsky dohovor o ľudských právach z roku 1950,</w:t>
      </w:r>
    </w:p>
    <w:p w:rsidR="009D2F3E" w:rsidRPr="00392CC1" w:rsidP="009D2F3E" w14:paraId="1B9CB7D0" w14:textId="3482893C">
      <w:pPr>
        <w:pStyle w:val="NormalHanging"/>
      </w:pPr>
      <w:r w:rsidRPr="00392CC1">
        <w:t>–</w:t>
      </w:r>
      <w:r w:rsidRPr="00392CC1">
        <w:tab/>
        <w:t>so zreteľom na štúdiu vypracovanú pre Výbor pre rozvoj o úlohe rozvojovej spolupráce EÚ pri riešení neoprávnenej migrácie v Afrike</w:t>
      </w:r>
      <w:r>
        <w:rPr>
          <w:rStyle w:val="FootnoteReference"/>
        </w:rPr>
        <w:footnoteReference w:id="6"/>
      </w:r>
      <w:r w:rsidRPr="00392CC1">
        <w:t>,</w:t>
      </w:r>
    </w:p>
    <w:p w:rsidR="009D2F3E" w:rsidRPr="00392CC1" w:rsidP="009D2F3E" w14:paraId="6644620E" w14:textId="4FA6DA5D">
      <w:pPr>
        <w:pStyle w:val="NormalHanging"/>
      </w:pPr>
      <w:r w:rsidRPr="00392CC1">
        <w:t>–</w:t>
      </w:r>
      <w:r w:rsidRPr="00392CC1">
        <w:tab/>
        <w:t>so zreteľom na svoje uznesenie z 25. marca 2021 o novej stratégii EÚ – Afrika: partnerstvo pre udržateľný a inkluzívny rozvoj</w:t>
      </w:r>
      <w:r>
        <w:rPr>
          <w:rStyle w:val="FootnoteReference"/>
        </w:rPr>
        <w:footnoteReference w:id="7"/>
      </w:r>
      <w:r w:rsidRPr="00392CC1">
        <w:t>,</w:t>
      </w:r>
    </w:p>
    <w:p w:rsidR="009D2F3E" w:rsidRPr="00392CC1" w:rsidP="009D2F3E" w14:paraId="68729577" w14:textId="77777777">
      <w:pPr>
        <w:pStyle w:val="NormalHanging"/>
      </w:pPr>
      <w:r w:rsidRPr="00392CC1">
        <w:t>–</w:t>
      </w:r>
      <w:r w:rsidRPr="00392CC1">
        <w:tab/>
        <w:t>so zreteľom na článok 55 rokovacieho poriadku,</w:t>
      </w:r>
    </w:p>
    <w:p w:rsidR="009D2F3E" w:rsidRPr="00392CC1" w:rsidP="009D2F3E" w14:paraId="0EDCE308" w14:textId="77777777">
      <w:pPr>
        <w:pStyle w:val="NormalHanging"/>
      </w:pPr>
      <w:r w:rsidRPr="00392CC1">
        <w:t>–</w:t>
      </w:r>
      <w:r w:rsidRPr="00392CC1">
        <w:tab/>
        <w:t>so zreteľom na správu Výboru pre rozvoj (A10-0147/2026),</w:t>
      </w:r>
    </w:p>
    <w:p w:rsidR="009D2F3E" w:rsidRPr="00392CC1" w:rsidP="009D2F3E" w14:paraId="4AFE537E" w14:textId="265004BC">
      <w:pPr>
        <w:pStyle w:val="NormalHanging"/>
      </w:pPr>
      <w:r w:rsidRPr="00392CC1">
        <w:t>A.</w:t>
      </w:r>
      <w:r w:rsidRPr="00392CC1">
        <w:tab/>
        <w:t xml:space="preserve">keďže migrácia a mobilita, mier, dobrá správa vecí verejných, stabilita, inkluzívny rast a udržateľný rozvoj sú úzko prepojené; keďže migráciu spôsobujú faktory na makroúrovni aj </w:t>
      </w:r>
      <w:r w:rsidRPr="00392CC1">
        <w:t>mikroúrovni</w:t>
      </w:r>
      <w:r w:rsidRPr="00392CC1">
        <w:t xml:space="preserve">, ako sú ozbrojené konflikty, politická nestabilita, hospodárske ťažkosti, nedostatok príležitostí a chudoba, obmedzený prístup k mechanizmom sociálnej ochrany, nedostatočné poskytovanie služieb, </w:t>
      </w:r>
      <w:r w:rsidRPr="00392CC1">
        <w:t>marginalizácia</w:t>
      </w:r>
      <w:r w:rsidRPr="00392CC1">
        <w:t>, diskriminácia alebo prenasledovanie zraniteľných osôb, a to aj pokiaľ ide o ich slobodu náboženského vyznania a viery, potravinovú neistotu a obmedzený prístup k čistej vode, a zhoršovanie životného prostredia a zmena klímy</w:t>
      </w:r>
      <w:r>
        <w:rPr>
          <w:rStyle w:val="FootnoteReference"/>
        </w:rPr>
        <w:footnoteReference w:id="8"/>
      </w:r>
      <w:r w:rsidRPr="00392CC1">
        <w:t>;</w:t>
      </w:r>
    </w:p>
    <w:p w:rsidR="009D2F3E" w:rsidRPr="00392CC1" w:rsidP="009D2F3E" w14:paraId="19D5DB59" w14:textId="77777777">
      <w:pPr>
        <w:pStyle w:val="NormalHanging"/>
      </w:pPr>
      <w:r w:rsidRPr="00392CC1">
        <w:t>B.</w:t>
      </w:r>
      <w:r w:rsidRPr="00392CC1">
        <w:tab/>
        <w:t>keďže neoprávnené pohyby obyvateľstva zahŕňajú rôzne kategórie migrantov, ako sú utečenci a žiadatelia o azyl žiadajúci o medzinárodnú ochranu; keďže žiadatelia o medzinárodnú ochranu môžu zostať v príslušnom členskom štáte až do rozhodnutia o ich žiadosti;</w:t>
      </w:r>
    </w:p>
    <w:p w:rsidR="009D2F3E" w:rsidRPr="00392CC1" w:rsidP="009D2F3E" w14:paraId="3C4C9F41" w14:textId="77777777">
      <w:pPr>
        <w:pStyle w:val="NormalHanging"/>
      </w:pPr>
      <w:r w:rsidRPr="00392CC1">
        <w:t>C.</w:t>
      </w:r>
      <w:r w:rsidRPr="00392CC1">
        <w:tab/>
        <w:t>keďže rozvojová spolupráca zohráva zásadnú úlohu pri odstraňovaní chudoby, riešení nestabilných situácií, podpore ľudského rozvoja a udržateľnosti vo všetkých jej rozmeroch, riešení globálnych výziev prostredníctvom medzinárodných partnerstiev, ktoré podporujú a presadzujú európske hodnoty a záujmy, a prispieva k mieru a prosperite vo svete;</w:t>
      </w:r>
    </w:p>
    <w:p w:rsidR="009D2F3E" w:rsidRPr="00392CC1" w:rsidP="009D2F3E" w14:paraId="628643BF" w14:textId="77777777">
      <w:pPr>
        <w:pStyle w:val="NormalHanging"/>
      </w:pPr>
      <w:r w:rsidRPr="00392CC1">
        <w:t>D.</w:t>
      </w:r>
      <w:r w:rsidRPr="00392CC1">
        <w:tab/>
        <w:t xml:space="preserve">keďže rozvojová politika EÚ podporuje udržateľný rozvoj a stabilitu v rozvojových </w:t>
      </w:r>
      <w:r w:rsidRPr="00392CC1">
        <w:t>krajinách, pričom jej ultimátnym cieľom je odstrániť extrémnu chudobu v súlade s Agendou 2030 a cieľmi udržateľného rozvoja podľa článku 208 ZFEÚ a zároveň dodržiavať zásadu súdržnosti politík v záujme rozvoja;</w:t>
      </w:r>
    </w:p>
    <w:p w:rsidR="009D2F3E" w:rsidRPr="00392CC1" w:rsidP="009D2F3E" w14:paraId="53E1ECFF" w14:textId="77777777">
      <w:pPr>
        <w:pStyle w:val="NormalHanging"/>
      </w:pPr>
      <w:r w:rsidRPr="00392CC1">
        <w:t>E.</w:t>
      </w:r>
      <w:r w:rsidRPr="00392CC1">
        <w:tab/>
        <w:t>keďže rozvojová spolupráca musí byť založená na overiteľných výsledkoch a na konkrétnom spoločnom záväzku k udržateľnému rozvoju;</w:t>
      </w:r>
    </w:p>
    <w:p w:rsidR="009D2F3E" w:rsidRPr="00392CC1" w:rsidP="009D2F3E" w14:paraId="1D4DE115" w14:textId="5FBB560A">
      <w:pPr>
        <w:pStyle w:val="NormalHanging"/>
      </w:pPr>
      <w:r w:rsidRPr="00392CC1">
        <w:t>F.</w:t>
      </w:r>
      <w:r w:rsidRPr="00392CC1">
        <w:tab/>
        <w:t>keďže núdzový trustový fond pre Afriku (</w:t>
      </w:r>
      <w:r w:rsidRPr="00392CC1" w:rsidR="009D5368">
        <w:t>ďalej len „</w:t>
      </w:r>
      <w:r w:rsidRPr="00392CC1">
        <w:t>EUTF</w:t>
      </w:r>
      <w:r w:rsidRPr="00392CC1" w:rsidR="009D5368">
        <w:t>“</w:t>
      </w:r>
      <w:r w:rsidRPr="00392CC1">
        <w:t>) bol vytvorený s cieľom riešiť základné príčiny nestability, núteného vysídľovania a neoprávnenej migrácie a prispievať k lepšiemu riadeniu migrácie; keďže Európsky dvor audítorov vo svojom preskúmaní zistil, že EUTF nedosiahol mnohé zo svojich cieľov, pretože neboli vždy jasne identifikované účinné stratégie;</w:t>
      </w:r>
    </w:p>
    <w:p w:rsidR="009D2F3E" w:rsidRPr="00392CC1" w:rsidP="009D2F3E" w14:paraId="4FC0B26D" w14:textId="62059E4E">
      <w:pPr>
        <w:pStyle w:val="NormalHanging"/>
      </w:pPr>
      <w:r w:rsidRPr="00392CC1">
        <w:t>G.</w:t>
      </w:r>
      <w:r w:rsidRPr="00392CC1">
        <w:tab/>
        <w:t>keďže EÚ čelí od roku 2015 bezprecedentným migračným tokom, ktorých riadenie si vyžaduje trvalé úsilie členských štátov, a keďže je preto potrebné posilniť európske rozvojové politiky s cieľom riešiť základné príčiny neoprávnenej migrácie a núteného vysídľovania vzhľadom na to, že v rokoch 2015 až 2024 bolo v členských štátoch EÚ podaných viac ako 8,5 milióna žiadostí o azyl</w:t>
      </w:r>
      <w:r>
        <w:rPr>
          <w:rStyle w:val="FootnoteReference"/>
        </w:rPr>
        <w:footnoteReference w:id="9"/>
      </w:r>
      <w:r w:rsidRPr="00392CC1">
        <w:t>; keďže počet neoprávnených prípadov prekročenia hraníc na vonkajších hraniciach EÚ klesol v roku 2025 o viac ako štvrtinu (26 %), t. j. takmer na 178 000</w:t>
      </w:r>
      <w:r>
        <w:rPr>
          <w:rStyle w:val="FootnoteReference"/>
        </w:rPr>
        <w:footnoteReference w:id="10"/>
      </w:r>
      <w:r w:rsidRPr="00392CC1">
        <w:t>; keďže väčšina migrantov prichádzajúcich do Európy prichádza legálne; keďže čiastkový cieľ č. 7 v rámci cieľa udržateľného rozvoja č. 10 vyzýva krajiny, aby uľahčili riadnu, bezpečnú, legálnu a zodpovednú migráciu a mobilitu ľudí prostredníctvom plánovaných a dobre riadených migračných politík;</w:t>
      </w:r>
    </w:p>
    <w:p w:rsidR="009D2F3E" w:rsidRPr="00392CC1" w:rsidP="009D2F3E" w14:paraId="2E89EA99" w14:textId="699E4302">
      <w:pPr>
        <w:pStyle w:val="NormalHanging"/>
      </w:pPr>
      <w:r w:rsidRPr="00392CC1">
        <w:t>H.</w:t>
      </w:r>
      <w:r w:rsidRPr="00392CC1">
        <w:tab/>
        <w:t>keďže v roku 2024 sa do EÚ prisťahovalo 4,2 milióna ľudí z krajín mimo EÚ</w:t>
      </w:r>
      <w:r>
        <w:rPr>
          <w:rStyle w:val="FootnoteReference"/>
        </w:rPr>
        <w:footnoteReference w:id="11"/>
      </w:r>
      <w:r w:rsidRPr="00392CC1">
        <w:t>;</w:t>
      </w:r>
    </w:p>
    <w:p w:rsidR="009D2F3E" w:rsidRPr="00392CC1" w:rsidP="009D2F3E" w14:paraId="7BF9B1BE" w14:textId="77777777">
      <w:pPr>
        <w:pStyle w:val="NormalHanging"/>
      </w:pPr>
      <w:r w:rsidRPr="00392CC1">
        <w:t>I.</w:t>
      </w:r>
      <w:r w:rsidRPr="00392CC1">
        <w:tab/>
        <w:t>keďže mnohé krajiny pôvodu žiadateľov o azyl sú krajiny s nízkymi a strednými príjmami; keďže miery prijatia žiadateľov o azyl z týchto krajín sú veľmi odlišné;</w:t>
      </w:r>
    </w:p>
    <w:p w:rsidR="009D2F3E" w:rsidRPr="00392CC1" w:rsidP="009D2F3E" w14:paraId="3524AEC6" w14:textId="77777777">
      <w:pPr>
        <w:pStyle w:val="NormalHanging"/>
      </w:pPr>
      <w:r w:rsidRPr="00392CC1">
        <w:t>J.</w:t>
      </w:r>
      <w:r w:rsidRPr="00392CC1">
        <w:tab/>
        <w:t>keďže v roku 2024 krajiny EÚ udelili štatút ochrany 437 900 žiadateľom o azyl, čo je o 6,9 % ako v roku 2023 (409 530); keďže to bol najvyšší počet od rekordných počtov zaznamenaných po utečeneckej kríze súvisiacej s vojnou v Sýrii v rokoch 2016 a 2017; keďže miera uznaných žiadostí na úrovni EÚ, čo znamená podiel kladných rozhodnutí z celkového počtu rozhodnutí o azyle, bola v roku 2024 v prípade prvostupňových rozhodnutí 51,4 %;</w:t>
      </w:r>
    </w:p>
    <w:p w:rsidR="009D2F3E" w:rsidRPr="00392CC1" w:rsidP="009D2F3E" w14:paraId="5B51B95F" w14:textId="01BB98A7">
      <w:pPr>
        <w:pStyle w:val="NormalHanging"/>
      </w:pPr>
      <w:r w:rsidRPr="00392CC1">
        <w:t>K.</w:t>
      </w:r>
      <w:r w:rsidRPr="00392CC1">
        <w:tab/>
        <w:t xml:space="preserve">keďže v roku 2024 bol 124 000 občanom krajín mimo EÚ odopretý vstup do EÚ, 919 000 nemalo žiadny štatút, 453 000 boli vydané rozhodnutia o návrate a približne </w:t>
      </w:r>
      <w:r w:rsidRPr="00392CC1">
        <w:t>110 000 bolo skutočne vrátených do krajiny mimo EÚ</w:t>
      </w:r>
      <w:r>
        <w:rPr>
          <w:rStyle w:val="FootnoteReference"/>
        </w:rPr>
        <w:footnoteReference w:id="12"/>
      </w:r>
      <w:r w:rsidRPr="00392CC1">
        <w:t>; keďže približne 20 % osôb, ktorým boli vydané rozhodnutia o návrate, bolo skutočne vrátených</w:t>
      </w:r>
      <w:r>
        <w:rPr>
          <w:rStyle w:val="FootnoteReference"/>
        </w:rPr>
        <w:footnoteReference w:id="13"/>
      </w:r>
      <w:r w:rsidRPr="00392CC1">
        <w:t>;</w:t>
      </w:r>
    </w:p>
    <w:p w:rsidR="009D2F3E" w:rsidRPr="00392CC1" w:rsidP="009D2F3E" w14:paraId="69414A60" w14:textId="77777777">
      <w:pPr>
        <w:pStyle w:val="NormalHanging"/>
      </w:pPr>
      <w:r w:rsidRPr="00392CC1">
        <w:t>L.</w:t>
      </w:r>
      <w:r w:rsidRPr="00392CC1">
        <w:tab/>
        <w:t>keďže k najčastejším medzinárodným migračným cestám dochádza medzi susednými krajinami; keďže veľká väčšina utečencov, osôb, ktoré potrebujú medzinárodnú ochranu, a vnútorne vysídlených osôb sa nachádza v krajinách s nízkymi a strednými príjmami; keďže hospodárske zaťaženie týchto krajín je obrovské a ovplyvňuje ich vlastnú sociálnu a hospodársku súdržnosť a rozvoj; keďže rozvojová spolupráca preto zohráva kľúčovú úlohu pri podpore vysídleného obyvateľstva a hostiteľských komunít;</w:t>
      </w:r>
    </w:p>
    <w:p w:rsidR="009D2F3E" w:rsidRPr="00392CC1" w:rsidP="009D2F3E" w14:paraId="08CF2F0D" w14:textId="77777777">
      <w:pPr>
        <w:pStyle w:val="NormalHanging"/>
      </w:pPr>
      <w:r w:rsidRPr="00392CC1">
        <w:t>M.</w:t>
      </w:r>
      <w:r w:rsidRPr="00392CC1">
        <w:tab/>
        <w:t>keďže v Afrike prebieha vnútorná migrácia, pričom približne 80 % z celkovej africkej migrácie sa odohráva v rámci kontinentu; keďže v roku 2024 došlo v subsaharskej Afrike k ďalším vnútorným vysídleniam 19,3 milióna ľudí, z toho 11,5 milióna v dôsledku konfliktu a 7,8 milióna v dôsledku katastrof; keďže v rokoch 2015 až 2024 dosiahol celkový počet vnútorne vysídlených osôb v Afrike 38,8 milióna, čo predstavuje 46 % celosvetového počtu, pričom 68 % z nich pochádza z Konžskej demokratickej republiky, Etiópie, Nigérie, Somálska a Sudánu;</w:t>
      </w:r>
    </w:p>
    <w:p w:rsidR="009D2F3E" w:rsidRPr="00392CC1" w:rsidP="009D2F3E" w14:paraId="0F4CC7F6" w14:textId="135624E3">
      <w:pPr>
        <w:pStyle w:val="NormalHanging"/>
      </w:pPr>
      <w:r w:rsidRPr="00392CC1">
        <w:t>N.</w:t>
      </w:r>
      <w:r w:rsidRPr="00392CC1">
        <w:tab/>
        <w:t>keďže k júnu 2025 bolo 117,3 milióna ľudí na celom svete nútených opustiť svoje domovy v dôsledku prenasledovania, konfliktov, násilia, porušovania ľudských práv alebo udalostí vážne narúšajúcich verejný poriadok; keďže 42,5 milióna z toho tvorili utečenci, 67,8 milióna vnútorne vysídlené osoby a 8,42 milióna žiadatelia o azyl</w:t>
      </w:r>
      <w:r>
        <w:rPr>
          <w:rStyle w:val="FootnoteReference"/>
        </w:rPr>
        <w:footnoteReference w:id="14"/>
      </w:r>
      <w:r w:rsidRPr="00392CC1">
        <w:t>;</w:t>
      </w:r>
    </w:p>
    <w:p w:rsidR="009D2F3E" w:rsidRPr="00392CC1" w:rsidP="009D2F3E" w14:paraId="0F9FF1BA" w14:textId="77777777">
      <w:pPr>
        <w:pStyle w:val="NormalHanging"/>
      </w:pPr>
      <w:r w:rsidRPr="00392CC1">
        <w:t>O.</w:t>
      </w:r>
      <w:r w:rsidRPr="00392CC1">
        <w:tab/>
        <w:t>keďže zo správy a prieskumov Úradu Vysokého komisára OSN pre utečencov (UNHCR) zameraných na globálne trendy vyplýva, že väčšina utečencov a vysídlených osôb nechce opustiť svoju krajinu, ale nútia ich k tomu hrozby, ako sú konflikty, prenasledovanie, násilie alebo extrémne ťažké životné podmienky; keďže v prieskume UNHCR z roku 2023 sa zistilo, že prevažná väčšina utečencov by radšej zostala vo svojej komunite, ak by bola zaručená ich bezpečnosť a živobytie;</w:t>
      </w:r>
    </w:p>
    <w:p w:rsidR="009D2F3E" w:rsidRPr="00392CC1" w:rsidP="009D2F3E" w14:paraId="06091962" w14:textId="77777777">
      <w:pPr>
        <w:pStyle w:val="NormalHanging"/>
      </w:pPr>
      <w:r w:rsidRPr="00392CC1">
        <w:t>P.</w:t>
      </w:r>
      <w:r w:rsidRPr="00392CC1">
        <w:tab/>
        <w:t>keďže rozvojová spolupráca zohráva zásadnú úlohu pri znižovaní chudoby a riešení nestabilných situácií tým, že podporuje ľudský rozvoj, presadzuje a podporuje zásady demokracie, právneho štátu, rodovej rovnosti, ľudských práv a základných práv a posilňuje presadzovanie práva, ako aj tým, že vytvára udržateľné hospodárske príležitosti, posilňuje správu vecí verejných a podporuje mier a stabilitu, čím rieši základné príčiny neoprávnenej migrácie;</w:t>
      </w:r>
    </w:p>
    <w:p w:rsidR="009D2F3E" w:rsidRPr="00392CC1" w:rsidP="009D2F3E" w14:paraId="261F698B" w14:textId="77777777">
      <w:pPr>
        <w:pStyle w:val="NormalHanging"/>
      </w:pPr>
      <w:r w:rsidRPr="00392CC1">
        <w:t>Q.</w:t>
      </w:r>
      <w:r w:rsidRPr="00392CC1">
        <w:tab/>
        <w:t xml:space="preserve">keďže zlepšenie životných podmienok, vzdelania a pracovných vyhliadok v krajinách pôvodu je kľúčom k zabezpečeniu toho, aby si ľudia mohli sami budovať budúcnosť vo svojich vlastných komunitách namiesto toho, aby boli nútení migrovať; keďže cielená a účinná spolupráca preto môže znížiť stimuly neoprávnenej migrácie podporovaním </w:t>
      </w:r>
      <w:r w:rsidRPr="00392CC1">
        <w:t>stability, bezpečnosti a sebestačnosti v partnerských krajinách;</w:t>
      </w:r>
    </w:p>
    <w:p w:rsidR="009D2F3E" w:rsidRPr="00392CC1" w:rsidP="009D2F3E" w14:paraId="1E20C207" w14:textId="77777777">
      <w:pPr>
        <w:pStyle w:val="NormalHanging"/>
      </w:pPr>
      <w:r w:rsidRPr="00392CC1">
        <w:t>R.</w:t>
      </w:r>
      <w:r w:rsidRPr="00392CC1">
        <w:tab/>
        <w:t>keďže na migráciu môže mať vplyv zvýšená nestabilita, a to aj v súvislosti so zmenou klímy a zhoršovaním životného prostredia, a vyčerpávanie a nadmerné využívanie prírodných zdrojov; keďže 90 % všetkých prírodných katastrof súvisí s vodou, čo môže mať vplyv na potravinovú neistotu, nárast spoločenských konfliktov a migrácie;</w:t>
      </w:r>
    </w:p>
    <w:p w:rsidR="009D2F3E" w:rsidRPr="00392CC1" w:rsidP="009D2F3E" w14:paraId="69C059C9" w14:textId="77777777">
      <w:pPr>
        <w:pStyle w:val="NormalHanging"/>
      </w:pPr>
      <w:r w:rsidRPr="00392CC1">
        <w:t>S.</w:t>
      </w:r>
      <w:r w:rsidRPr="00392CC1">
        <w:tab/>
        <w:t>keďže vysoká úroveň potravinovej neistoty vedie k vyšším úrovniam cezhraničnej migrácie, pričom každý nárast potravinovej neistoty obyvateľstva o 1 % núti k migrácii o 1,9 % viac ľudí; keďže hospodárske a environmentálne faktory samy osebe síce nepredstavujú dôvody na azyl, významne prispievajú k faktorom zraniteľnosti, ktoré môžu vyžadovať komplexnú medzinárodnú reakciu zameranú na ochranu;</w:t>
      </w:r>
    </w:p>
    <w:p w:rsidR="009D2F3E" w:rsidRPr="00392CC1" w:rsidP="009D2F3E" w14:paraId="13416CA8" w14:textId="77777777">
      <w:pPr>
        <w:pStyle w:val="NormalHanging"/>
      </w:pPr>
      <w:r w:rsidRPr="00392CC1">
        <w:t>T.</w:t>
      </w:r>
      <w:r w:rsidRPr="00392CC1">
        <w:tab/>
        <w:t xml:space="preserve">keďže migračné toky sú často spojené s nedostatkom prírodných zdrojov vrátane vody; keďže 2,2 miliardy osôb na celom svete stále nemá prístup k bezpečnej pitnej vode; keďže cieľom európskej stratégie pre odolnosť v oblasti vody je podporovať odolnosť vodných zdrojov a zabezpečiť prístup k lepšej pitnej vode a hygienickým zariadeniam aspoň pre 70 miliónov ľudí prostredníctvom posilnenej angažovanosti krajín a regiónov v rámci stratégie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>;</w:t>
      </w:r>
    </w:p>
    <w:p w:rsidR="009D2F3E" w:rsidRPr="00392CC1" w:rsidP="009D2F3E" w14:paraId="4FF22D71" w14:textId="77777777">
      <w:pPr>
        <w:pStyle w:val="NormalHanging"/>
      </w:pPr>
      <w:r w:rsidRPr="00392CC1">
        <w:t>U.</w:t>
      </w:r>
      <w:r w:rsidRPr="00392CC1">
        <w:tab/>
        <w:t>keďže v Pakte EÚ o migrácii a azyle sa zdôrazňuje význam vonkajších rozmerov migrácie budovaním komplexných partnerstiev založených na politickom dialógu, vzájomnom záväzku a prístupe zameranom na celú trasu;</w:t>
      </w:r>
    </w:p>
    <w:p w:rsidR="009D2F3E" w:rsidRPr="00392CC1" w:rsidP="009D2F3E" w14:paraId="18C61BAC" w14:textId="77777777">
      <w:pPr>
        <w:pStyle w:val="NormalHanging"/>
      </w:pPr>
      <w:r w:rsidRPr="00392CC1">
        <w:t>V.</w:t>
      </w:r>
      <w:r w:rsidRPr="00392CC1">
        <w:tab/>
        <w:t xml:space="preserve">keďže v Pakte pre Stredozemie sa vyzýva na rozšírenie programu Erasmus+ na niekoľko krajín Blízkeho východu a Afriky s cieľom prepojiť mladých ľudí a podporiť integrovanejšie a </w:t>
      </w:r>
      <w:r w:rsidRPr="00392CC1">
        <w:t>inkluzívnejšie</w:t>
      </w:r>
      <w:r w:rsidRPr="00392CC1">
        <w:t xml:space="preserve"> prostredie vysokoškolského vzdelávania a rozvoja zručností; keďže v pakte sa vyzýva aj na rozšírenie partnerstiev zameraných na talenty, a to aj prostredníctvom spustenia okruhu talentov EÚ, aby sa uľahčili väzby medzi zamestnávateľmi v EÚ a uchádzačmi o zamestnanie z partnerských krajín;</w:t>
      </w:r>
    </w:p>
    <w:p w:rsidR="009D2F3E" w:rsidRPr="00392CC1" w:rsidP="009D2F3E" w14:paraId="0320643D" w14:textId="77777777">
      <w:pPr>
        <w:pStyle w:val="NormalHanging"/>
      </w:pPr>
      <w:r w:rsidRPr="00392CC1">
        <w:t>W.</w:t>
      </w:r>
      <w:r w:rsidRPr="00392CC1">
        <w:tab/>
        <w:t xml:space="preserve">keďže stratégia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 xml:space="preserve"> a investície do ľudského rozvoja by mali ponúkať príležitosť na zosúladenie rozvojovej spolupráce s prioritami partnerských krajín vrátane migrácie, a to tým, že sa v krajinách pôvodu a tranzitu bude podporovať vytváranie pracovných miest, vzdelávanie, odborná príprava, demokratické hodnoty a prísne normy a posilňovať dobrá správa vecí verejných a transparentnosť a udržateľné investície, a to aj do bezpečnosti vody;</w:t>
      </w:r>
    </w:p>
    <w:p w:rsidR="009D2F3E" w:rsidRPr="00392CC1" w:rsidP="009D2F3E" w14:paraId="0CB227F8" w14:textId="77777777">
      <w:pPr>
        <w:pStyle w:val="NormalHanging"/>
      </w:pPr>
      <w:r w:rsidRPr="00392CC1">
        <w:t>X.</w:t>
      </w:r>
      <w:r w:rsidRPr="00392CC1">
        <w:tab/>
        <w:t xml:space="preserve">keďže stratégia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 xml:space="preserve"> by sa mala zamerať aj na podporu udržateľných a dôveryhodných partnerstiev v oblasti zelenej energie a infraštruktúry; keďže adaptácia na zmenu klímy a investície do energie z obnoviteľných zdrojov majú zásadný význam pri riešení sociálno-ekonomických príčin migrácie;</w:t>
      </w:r>
    </w:p>
    <w:p w:rsidR="009D2F3E" w:rsidRPr="00392CC1" w:rsidP="009D2F3E" w14:paraId="29B4043A" w14:textId="77777777">
      <w:pPr>
        <w:pStyle w:val="NormalHanging"/>
      </w:pPr>
      <w:r w:rsidRPr="00392CC1">
        <w:t>Y.</w:t>
      </w:r>
      <w:r w:rsidRPr="00392CC1">
        <w:tab/>
        <w:t>keďže hospodárska spolupráca a súkromné investície sú dôležitými nástrojmi na znižovanie chudoby a zvyšovanie sebestačnosti, ktoré stimulujú udržateľný miestny rast v partnerských krajinách;</w:t>
      </w:r>
    </w:p>
    <w:p w:rsidR="009D2F3E" w:rsidRPr="00392CC1" w:rsidP="009D2F3E" w14:paraId="7A12F934" w14:textId="77777777">
      <w:pPr>
        <w:pStyle w:val="NormalHanging"/>
      </w:pPr>
      <w:r w:rsidRPr="00392CC1">
        <w:t>Z.</w:t>
      </w:r>
      <w:r w:rsidRPr="00392CC1">
        <w:tab/>
        <w:t xml:space="preserve">keďže priemyselný rozvoj sa osvedčil ako jeden z najúčinnejších spôsobov, ako vymaniť ľudí z chudoby; keďže sociálne zodpovedné a udržateľné investovanie do výrobného potenciálu môže vytvárať pracovné príležitosti a môže mať </w:t>
      </w:r>
      <w:r w:rsidRPr="00392CC1">
        <w:t>multiplikačný</w:t>
      </w:r>
      <w:r w:rsidRPr="00392CC1">
        <w:t xml:space="preserve"> účinok;</w:t>
      </w:r>
    </w:p>
    <w:p w:rsidR="009D2F3E" w:rsidRPr="00392CC1" w:rsidP="009D2F3E" w14:paraId="44EF302C" w14:textId="77777777">
      <w:pPr>
        <w:pStyle w:val="NormalHanging"/>
      </w:pPr>
      <w:r w:rsidRPr="00392CC1">
        <w:t>AA.</w:t>
      </w:r>
      <w:r w:rsidRPr="00392CC1">
        <w:tab/>
        <w:t xml:space="preserve">keďže obchodovanie s ľuďmi a </w:t>
      </w:r>
      <w:r w:rsidRPr="00392CC1">
        <w:t>prevádzačstvo</w:t>
      </w:r>
      <w:r w:rsidRPr="00392CC1">
        <w:t xml:space="preserve"> sú hrubým porušovaním základných práv a pripravujú ľudí o dôstojnosť, slobodu a základné práva; keďže zločinecké siete obchodovania s ľuďmi a prevádzačov vykorisťujú migrantov tým, že profitujú z nebezpečných ciest;</w:t>
      </w:r>
    </w:p>
    <w:p w:rsidR="009D2F3E" w:rsidRPr="00392CC1" w:rsidP="009D2F3E" w14:paraId="2717D5FD" w14:textId="77777777">
      <w:pPr>
        <w:pStyle w:val="NormalHanging"/>
      </w:pPr>
      <w:r w:rsidRPr="00392CC1">
        <w:t>AB.</w:t>
      </w:r>
      <w:r w:rsidRPr="00392CC1">
        <w:tab/>
        <w:t xml:space="preserve">keďže niektoré krajiny nemajú nástroje a zdroje na predchádzanie týmto trestným činom a na boj proti nim; keďže medzinárodné partnerstvá môžu účinne prispieť k boju proti obchodovaniu s ľuďmi a </w:t>
      </w:r>
      <w:r w:rsidRPr="00392CC1">
        <w:t>prevádzačstvu</w:t>
      </w:r>
      <w:r w:rsidRPr="00392CC1">
        <w:t>;</w:t>
      </w:r>
    </w:p>
    <w:p w:rsidR="009D2F3E" w:rsidRPr="00392CC1" w:rsidP="009D2F3E" w14:paraId="587901C2" w14:textId="77777777">
      <w:pPr>
        <w:pStyle w:val="NormalHanging"/>
      </w:pPr>
      <w:r w:rsidRPr="00392CC1">
        <w:t>AC.</w:t>
      </w:r>
      <w:r w:rsidRPr="00392CC1">
        <w:tab/>
        <w:t xml:space="preserve">keďže rozvojová spolupráca zohráva zásadnú úlohu pri riešení základných príčin neoprávnenej migrácie a núteného vysídľovania, ako aj v boji proti </w:t>
      </w:r>
      <w:r w:rsidRPr="00392CC1">
        <w:t>prevádzačstvu</w:t>
      </w:r>
      <w:r w:rsidRPr="00392CC1">
        <w:t xml:space="preserve"> ľudí, pri ochrane utečencov a osôb, ktoré potrebujú medzinárodnú ochranu, podpore krajín prijímajúcich utečencov a rozvoji legálnych možností migrácie;</w:t>
      </w:r>
    </w:p>
    <w:p w:rsidR="009D2F3E" w:rsidRPr="00392CC1" w:rsidP="009D2F3E" w14:paraId="354547D1" w14:textId="77777777">
      <w:pPr>
        <w:pStyle w:val="NormalHanging"/>
      </w:pPr>
      <w:r w:rsidRPr="00392CC1">
        <w:t>AD.</w:t>
      </w:r>
      <w:r w:rsidRPr="00392CC1">
        <w:tab/>
        <w:t>keďže bezpečnosť, stabilita, územná celistvosť a dobrá správa vecí verejných sú predpokladom opatrení udržateľného rozvoja a keďže EÚ by mala podporovať aj partnerské krajiny pri posilňovaní kapacít presadzovania práva a riadenia hraníc a v boji proti organizovanej trestnej činnosti;</w:t>
      </w:r>
    </w:p>
    <w:p w:rsidR="009D2F3E" w:rsidRPr="00392CC1" w:rsidP="009D2F3E" w14:paraId="3DE0FCAF" w14:textId="77777777">
      <w:pPr>
        <w:pStyle w:val="NormalHanging"/>
      </w:pPr>
      <w:r w:rsidRPr="00392CC1">
        <w:t>AE.</w:t>
      </w:r>
      <w:r w:rsidRPr="00392CC1">
        <w:tab/>
        <w:t>keďže účinné riadenie migrácie si vyžaduje aj intenzívnejšiu spoluprácu s krajinami pôvodu a tranzitu a rozloženie zločineckých sietí, ktoré zneužívajú zraniteľné osoby; keďže podpora miestneho rozvoja a stability v partnerských krajinách pomáha riešiť základné príčiny migrácie udržateľným spôsobom;</w:t>
      </w:r>
    </w:p>
    <w:p w:rsidR="009D2F3E" w:rsidRPr="00392CC1" w:rsidP="009D2F3E" w14:paraId="7B4AA4A8" w14:textId="77777777">
      <w:pPr>
        <w:pStyle w:val="NormalHanging"/>
      </w:pPr>
      <w:r w:rsidRPr="00392CC1">
        <w:t>AF.</w:t>
      </w:r>
      <w:r w:rsidRPr="00392CC1">
        <w:tab/>
        <w:t>keďže európska podpora fungujúcich azylových systémov v tretích krajinách ako súčasť rozvojovej spolupráce má zásadný význam pre medzinárodnú ochranu žiadateľov o azyl;</w:t>
      </w:r>
    </w:p>
    <w:p w:rsidR="009D2F3E" w:rsidRPr="00392CC1" w:rsidP="009D2F3E" w14:paraId="799BAE20" w14:textId="77777777">
      <w:pPr>
        <w:pStyle w:val="NormalHanging"/>
      </w:pPr>
      <w:r w:rsidRPr="00392CC1">
        <w:t>AG.</w:t>
      </w:r>
      <w:r w:rsidRPr="00392CC1">
        <w:tab/>
        <w:t>keďže politiky návratov a reintegrácie musia v plnej miere rešpektovať ľudské práva; keďže spolupráca v oblasti návratov a reintegrácie môže priniesť vzájomné výhody, ak sa v nej zohľadňuje dobrovoľný, dôstojný a udržateľný návrat do krajín pôvodu;</w:t>
      </w:r>
    </w:p>
    <w:p w:rsidR="009D2F3E" w:rsidRPr="00392CC1" w:rsidP="009D2F3E" w14:paraId="6473ED72" w14:textId="77777777">
      <w:pPr>
        <w:pStyle w:val="NormalHanging"/>
      </w:pPr>
      <w:r w:rsidRPr="00392CC1">
        <w:t>AH.</w:t>
      </w:r>
      <w:r w:rsidRPr="00392CC1">
        <w:tab/>
        <w:t>keďže neoddeliteľnú súčasť účinnej spolupráce s partnerskými krajinami predstavujú readmisné dohody a inovatívne individualizované projekty zamerané na reintegráciu migrantov v ich krajinách pôvodu;</w:t>
      </w:r>
    </w:p>
    <w:p w:rsidR="009D2F3E" w:rsidRPr="00392CC1" w:rsidP="009D2F3E" w14:paraId="4E6916F0" w14:textId="77777777">
      <w:pPr>
        <w:pStyle w:val="NormalHanging"/>
      </w:pPr>
      <w:r w:rsidRPr="00392CC1">
        <w:t>AI.</w:t>
      </w:r>
      <w:r w:rsidRPr="00392CC1">
        <w:tab/>
        <w:t>keďže rozvojová spolupráca zohráva kľúčovú úlohu pri podpore sociálno-ekonomickej integrácie vysídleného obyvateľstva a hostiteľských komunít a pri ochrane osôb v zraniteľných situáciách vrátane žien, detí a osôb so zdravotným postihnutím;</w:t>
      </w:r>
    </w:p>
    <w:p w:rsidR="009D2F3E" w:rsidRPr="00392CC1" w:rsidP="009D2F3E" w14:paraId="30A1DDF0" w14:textId="77777777">
      <w:pPr>
        <w:pStyle w:val="NormalHanging"/>
      </w:pPr>
      <w:r w:rsidRPr="00392CC1">
        <w:t>AJ.</w:t>
      </w:r>
      <w:r w:rsidRPr="00392CC1">
        <w:tab/>
        <w:t>keďže migrácia môže prispieť k udržateľnému rozvoju a inkluzívnemu rastu v krajinách pôvodu aj v cieľových krajinách, ako aj v rámci regiónov a medzi nimi; keďže migrácia má hospodársky vplyv tak na cieľovú krajinu, ako aj na krajinu pôvodu; keďže tento vplyv možno vidieť na tom, že migranti prispievajú k verejným financiám, zamestnanosti a tvorbe pracovných miest, ako aj v úlohe diaspór pri podpore hospodárskeho rozvoja ich krajín pôvodu;</w:t>
      </w:r>
    </w:p>
    <w:p w:rsidR="009D2F3E" w:rsidRPr="00392CC1" w:rsidP="009D2F3E" w14:paraId="4CCC177A" w14:textId="77777777">
      <w:pPr>
        <w:pStyle w:val="NormalHanging"/>
      </w:pPr>
      <w:r w:rsidRPr="00392CC1">
        <w:t>AK.</w:t>
      </w:r>
      <w:r w:rsidRPr="00392CC1">
        <w:tab/>
        <w:t>keďže diaspóry zohrávajú dôležitú úlohu v rozvoji partnerských krajín, najmä tým, že podporujú obchod a hospodársky rozvoj a riešia celý rad otázok súvisiacich s migráciou a mobilitou; keďže globálny nástroj EÚ pre diaspóru môže v tejto súvislosti zohrávať kľúčovú úlohu;</w:t>
      </w:r>
    </w:p>
    <w:p w:rsidR="009D2F3E" w:rsidRPr="00392CC1" w:rsidP="009D2F3E" w14:paraId="4CAD949D" w14:textId="77777777">
      <w:pPr>
        <w:pStyle w:val="NormalHanging"/>
      </w:pPr>
      <w:r w:rsidRPr="00392CC1">
        <w:t>AL.</w:t>
      </w:r>
      <w:r w:rsidRPr="00392CC1">
        <w:tab/>
        <w:t>keďže únik mozgov môže spôsobovať tretím krajinám ťažkosti pri dosahovaní ich politických cieľov súvisiacich s rozvojom aj migráciou;</w:t>
      </w:r>
    </w:p>
    <w:p w:rsidR="009D2F3E" w:rsidRPr="00392CC1" w:rsidP="009D2F3E" w14:paraId="3A2B1717" w14:textId="77777777">
      <w:pPr>
        <w:pStyle w:val="Normal12a"/>
      </w:pPr>
      <w:r w:rsidRPr="00392CC1">
        <w:rPr>
          <w:b/>
          <w:i/>
        </w:rPr>
        <w:t>Prepojenie medzi migráciou a rozvojovou spoluprácou</w:t>
      </w:r>
    </w:p>
    <w:p w:rsidR="009D2F3E" w:rsidRPr="00392CC1" w:rsidP="009D2F3E" w14:paraId="22218ED8" w14:textId="77777777">
      <w:pPr>
        <w:pStyle w:val="NormalHanging12a"/>
      </w:pPr>
      <w:r w:rsidRPr="00392CC1">
        <w:t>1.</w:t>
      </w:r>
      <w:r w:rsidRPr="00392CC1">
        <w:tab/>
        <w:t>zdôrazňuje prepojenie medzi migráciou a rozvojovou spoluprácou a vyzýva Komisiu a členské štáty, aby vo svojich migračných politikách naďalej odhodlane presadzovali súdržnosť politík v záujme rozvoja, a to v plnom súlade s ľudskými právami a Agendou 2030 OSN;</w:t>
      </w:r>
    </w:p>
    <w:p w:rsidR="009D2F3E" w:rsidRPr="00392CC1" w:rsidP="009D2F3E" w14:paraId="7C71C4DD" w14:textId="77777777">
      <w:pPr>
        <w:pStyle w:val="NormalHanging12a"/>
      </w:pPr>
      <w:r w:rsidRPr="00392CC1">
        <w:t>2.</w:t>
      </w:r>
      <w:r w:rsidRPr="00392CC1">
        <w:tab/>
        <w:t>zdôrazňuje, že rozvojová spolupráca a zahraničná a bezpečnostná politika EÚ sa musia vždy vypracúvať a vykonávať plne koherentným spôsobom na základe pragmatického a vzájomne prospešného prístupu orientovaného na výsledky., ktorého cieľom je zabezpečenie stability a hospodárskych príležitostí v partnerských krajinách vrátane krajín pôvodu a tranzitu migračných tokov;</w:t>
      </w:r>
    </w:p>
    <w:p w:rsidR="009D2F3E" w:rsidRPr="00392CC1" w:rsidP="009D2F3E" w14:paraId="339A4EAB" w14:textId="77777777">
      <w:pPr>
        <w:pStyle w:val="NormalHanging12a"/>
      </w:pPr>
      <w:r w:rsidRPr="00392CC1">
        <w:t>3.</w:t>
      </w:r>
      <w:r w:rsidRPr="00392CC1">
        <w:tab/>
        <w:t>zdôrazňuje, že v rozvojovej spolupráci by sa malo okrem iného uprednostňovať odstraňovanie chudoby, znižovanie nerovnosti a udržateľný rozvoj, a to v súlade s cieľmi udržateľného rozvoja, predchádzania konfliktom a budovania mieru prostredníctvom posilnenia hospodárskeho postavenia, reforiem správy vecí verejných a podpory ľudských práv v partnerských krajinách a zároveň by sa mali uprednostňovať dlhodobé investície založené na rozvojových prioritách a potrebách partnerských krajín, a to aj pri riešení základných príčin neoprávnenej migrácie a núteného vysídľovania;</w:t>
      </w:r>
    </w:p>
    <w:p w:rsidR="009D2F3E" w:rsidRPr="00392CC1" w:rsidP="009D2F3E" w14:paraId="41C8BDAE" w14:textId="77777777">
      <w:pPr>
        <w:pStyle w:val="NormalHanging12a"/>
      </w:pPr>
      <w:r w:rsidRPr="00392CC1">
        <w:t>4.</w:t>
      </w:r>
      <w:r w:rsidRPr="00392CC1">
        <w:tab/>
        <w:t>pripomína, že ženy a dievčatá sú často neúmerne postihnuté krízami a chudobou; vyzýva preto Komisiu, aby v rozvojových programoch uplatňovala prístup založený na ľudských právach, ktorý zohľadňuje rodové hľadisko a zraniteľnosť, pričom zdôrazňuje, že je dôležité identifikovať riziká v oblasti ľudských práv, prijímať zmierňujúce opatrenia a zabezpečiť, aby sa osobitný dôraz kládol na všetkých ľudí v zraniteľných situáciách – vrátane osôb so zdravotným postihnutím, starších ľudí, marginalizovaných komunít a žien, dievčat a mladých ľudí, najmä preto, že ženy majú v nestabilných situáciách a pri budovaní mieru, predchádzaní konfliktom a udržateľnom rozvoji zásadnú úlohu, pretože často slúžia v prvej línii a môžu byť rozhodujúcimi katalyzátormi zmien, odolnosti a obnovy; zdôrazňuje, že účasť žien/inkluzívna účasť na rozhodovaní, mediácii, opatreniach v oblasti klímy a rozvoji komunít vedie k účinnejším a udržateľnejším výsledkom;</w:t>
      </w:r>
    </w:p>
    <w:p w:rsidR="009D2F3E" w:rsidRPr="00392CC1" w:rsidP="009D2F3E" w14:paraId="4D218198" w14:textId="77777777">
      <w:pPr>
        <w:pStyle w:val="NormalHanging12a"/>
      </w:pPr>
      <w:r w:rsidRPr="00392CC1">
        <w:t>5.</w:t>
      </w:r>
      <w:r w:rsidRPr="00392CC1">
        <w:tab/>
        <w:t>zdôrazňuje význam prístupu „Tím Európa“, ktorý zabezpečuje súdržnosť medzi inštitúciami EÚ a členskými štátmi, ktoré sa zaoberajú vonkajším rozmerom migrácie; zdôrazňuje, že Tím Európa by mal koordinovať politické, diplomatické, finančné a technické úsilie o rozvoj a prehĺbenie komplexných partnerstiev, ktoré podporujú partnerské krajiny pri bezpečnom, riadnom, pravidelnom a zodpovednom riadení migrácie uplatňovaním účinného prístupu založeného na ľudských právach a zameraného na človeka, ktorý sa zaoberá aj potrebami utečencov a vnútorne vysídlených osôb;</w:t>
      </w:r>
    </w:p>
    <w:p w:rsidR="009D2F3E" w:rsidRPr="00392CC1" w:rsidP="009D2F3E" w14:paraId="197585B4" w14:textId="77777777">
      <w:pPr>
        <w:pStyle w:val="NormalHanging12a"/>
      </w:pPr>
      <w:r w:rsidRPr="00392CC1">
        <w:t>6.</w:t>
      </w:r>
      <w:r w:rsidRPr="00392CC1">
        <w:tab/>
        <w:t>zdôrazňuje, že Komisia by mala v záujme predchádzania korupcii a zlému hospodáreniu zabezpečiť, že budú existovať jasné mechanizmy monitorovania a hodnotenia, a tak sa zaistila účinná zodpovednosť a transparentnosť pri plnení rozpočtu EÚ, a to aj pri riešení prepojenia medzi rozvojom a základnými príčinami migrácie;</w:t>
      </w:r>
    </w:p>
    <w:p w:rsidR="009D2F3E" w:rsidRPr="00392CC1" w:rsidP="009D2F3E" w14:paraId="4C9709EE" w14:textId="77777777">
      <w:pPr>
        <w:pStyle w:val="NormalHanging12a"/>
      </w:pPr>
      <w:r w:rsidRPr="00392CC1">
        <w:t>7.</w:t>
      </w:r>
      <w:r w:rsidRPr="00392CC1">
        <w:tab/>
        <w:t>vyzýva Komisiu a členské štáty, aby posilnili politický dialóg s tretími krajinami s cieľom posilniť a rozvíjať komplexné a vzájomne prospešné prístupy prispôsobené jednotlivým krajinám, ktoré zohľadnia osobitné súvislosti a rozvojové a migračné potreby krajín pôvodu a tranzitu, najmä pokiaľ ide o ľudský rozvoj, dôstojnú prácu, sociálne začlenenie a ochranu migrantov, utečencov a vnútorne vysídlených osôb; zdôrazňuje, že takáto spolupráca by mala byť založená na solidarite, spoločnej zodpovednosti a dodržiavaní ľudských práv;</w:t>
      </w:r>
    </w:p>
    <w:p w:rsidR="009D2F3E" w:rsidRPr="00392CC1" w:rsidP="009D2F3E" w14:paraId="5964CA7F" w14:textId="77777777">
      <w:pPr>
        <w:pStyle w:val="NormalHanging12a"/>
      </w:pPr>
      <w:r w:rsidRPr="00392CC1">
        <w:t>8.</w:t>
      </w:r>
      <w:r w:rsidRPr="00392CC1">
        <w:tab/>
        <w:t xml:space="preserve">zdôrazňuje, že je potrebné dobre poznať osady migrantov a ich vplyv na miestnej úrovni; vyzýva Komisiu a členské štáty, aby vypracovali stratégiu, v ktorej sa zdôrazní potreba miestneho hľadiska, posilnili miestnu zodpovednosť a vychádzali z existujúcich regionálnych priorít, najmä podporou </w:t>
      </w:r>
      <w:r w:rsidRPr="00392CC1">
        <w:t>vnútrokontinentálnych</w:t>
      </w:r>
      <w:r w:rsidRPr="00392CC1">
        <w:t xml:space="preserve"> migračných systémov;</w:t>
      </w:r>
    </w:p>
    <w:p w:rsidR="009D2F3E" w:rsidRPr="00392CC1" w:rsidP="009D2F3E" w14:paraId="0AB95E94" w14:textId="77777777">
      <w:pPr>
        <w:pStyle w:val="NormalHanging12a"/>
      </w:pPr>
      <w:r w:rsidRPr="00392CC1">
        <w:t>9.</w:t>
      </w:r>
      <w:r w:rsidRPr="00392CC1">
        <w:tab/>
        <w:t>vyzýva Komisiu, aby uprednostnila nestabilné geografické kontexty tým, že zohľadní aj údaje týkajúce sa migrácie a informácie založené na výskume s cieľom lepšie identifikovať potreby partnerských krajín a zamerať sa na ich priority, a to aj v oblasti neoprávnenej migrácie a núteného vysídľovania;</w:t>
      </w:r>
    </w:p>
    <w:p w:rsidR="009D2F3E" w:rsidRPr="00392CC1" w:rsidP="009D2F3E" w14:paraId="046E1196" w14:textId="77777777">
      <w:pPr>
        <w:pStyle w:val="NormalHanging12a"/>
      </w:pPr>
      <w:r w:rsidRPr="00392CC1">
        <w:t>10.</w:t>
      </w:r>
      <w:r w:rsidRPr="00392CC1">
        <w:tab/>
        <w:t xml:space="preserve">zdôrazňuje, že stratégia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 xml:space="preserve"> môže zohrávať kľúčovú úlohu pri podpore udržateľného hospodárskeho rozvoja a tvorby pracovných miest v partnerských krajinách, čím sa posilní postavenie miestnych komunít a jednotlivcom umožní, aby aktívne prispievali k rozvoju svojich krajín pôvodu aj hostiteľských komunít, a tak sa riešili základné príčiny neoprávnenej migrácie;</w:t>
      </w:r>
    </w:p>
    <w:p w:rsidR="009D2F3E" w:rsidRPr="00392CC1" w:rsidP="009D2F3E" w14:paraId="0DA5555A" w14:textId="77777777">
      <w:pPr>
        <w:pStyle w:val="NormalHanging12a"/>
      </w:pPr>
      <w:r w:rsidRPr="00392CC1">
        <w:t>11.</w:t>
      </w:r>
      <w:r w:rsidRPr="00392CC1">
        <w:tab/>
        <w:t xml:space="preserve">zdôrazňuje, že je potrebné zabezpečiť väčšie zapojenie súkromného sektora, </w:t>
      </w:r>
      <w:r w:rsidRPr="00392CC1">
        <w:t>diverzifikovať</w:t>
      </w:r>
      <w:r w:rsidRPr="00392CC1">
        <w:t xml:space="preserve"> a realizovať legálne možnosti, uznávať zručnosti, zapájať rozvojové banky EÚ a rozvíjať inovatívne koncepcie kombinovania finančných prostriedkov v rámci Tímu Európa a zároveň prispievať k stratégii </w:t>
      </w:r>
      <w:r w:rsidRPr="00392CC1">
        <w:t>Global</w:t>
      </w:r>
      <w:r w:rsidRPr="00392CC1">
        <w:t xml:space="preserve"> </w:t>
      </w:r>
      <w:r w:rsidRPr="00392CC1">
        <w:t>Gateway</w:t>
      </w:r>
      <w:r w:rsidRPr="00392CC1">
        <w:t>; nabáda na účasť európskeho súkromného sektora na rozvojových projektoch v partnerských krajinách, čím sa zabezpečí podpora bezpečného a transparentného investičného rámca, ktorý uľahčí zapojenie malých a stredných podnikov a vytvorenie miestnych výrobných reťazcov;</w:t>
      </w:r>
    </w:p>
    <w:p w:rsidR="009D2F3E" w:rsidRPr="00392CC1" w:rsidP="009D2F3E" w14:paraId="1AC81778" w14:textId="77777777">
      <w:pPr>
        <w:pStyle w:val="NormalHanging12a"/>
      </w:pPr>
      <w:r w:rsidRPr="00392CC1">
        <w:t>12.</w:t>
      </w:r>
      <w:r w:rsidRPr="00392CC1">
        <w:tab/>
        <w:t>zdôrazňuje, že nedostatok vody, degradácia životného prostredia a krajiny, odlesňovanie a iné katastrofy súvisiace s klímou sú faktory, ktoré spôsobujú migračné toky vrátane núteného vysídľovania; zdôrazňuje, že jednotlivci vysídlení v dôsledku degradácie životného prostredia a katastrof spôsobených klímou si vyžadujú primeranú podporu; vyzýva Komisiu a členské štáty, aby v rámci rozvojových programov uprednostňovali investície do udržateľného riadenia prírodných zdrojov vrátane ochrany vody a pôdy, opätovného zalesňovania, poľnohospodárstva odolného proti zmene klímy a energie z obnoviteľných zdrojov s cieľom posilniť sociálnu súdržnosť a odolnosť komunít, zabrániť napätiu v súvislosti s prírodnými zdrojmi a poskytnúť ľuďom viac možností budovať si udržateľný život v ich krajinách pôvodu;</w:t>
      </w:r>
    </w:p>
    <w:p w:rsidR="009D2F3E" w:rsidRPr="00392CC1" w:rsidP="009D2F3E" w14:paraId="09390BCC" w14:textId="77777777">
      <w:pPr>
        <w:pStyle w:val="NormalHanging12a"/>
      </w:pPr>
      <w:r w:rsidRPr="00392CC1">
        <w:t>13.</w:t>
      </w:r>
      <w:r w:rsidRPr="00392CC1">
        <w:tab/>
        <w:t>zdôrazňuje, že EÚ musí na to, aby sa dosiahol udržateľný vplyv, uplatňovať holistický prístup, ktorý je zameraný na miestnu úroveň, aby sa poskytovala rozvojová pomoc s cieľom prispieť k štrukturálnemu rozvoju prostredníctvom podpory demokracie, právneho štátu, poriadku založeného na pravidlách a inštitúcií;</w:t>
      </w:r>
    </w:p>
    <w:p w:rsidR="009D2F3E" w:rsidRPr="00392CC1" w:rsidP="009D2F3E" w14:paraId="6C86433C" w14:textId="77777777">
      <w:pPr>
        <w:pStyle w:val="NormalHanging12a"/>
      </w:pPr>
      <w:r w:rsidRPr="00392CC1">
        <w:t>14.</w:t>
      </w:r>
      <w:r w:rsidRPr="00392CC1">
        <w:tab/>
        <w:t>zdôrazňuje význam vykonávania rozvojových programov v úzkej spolupráci s miestnymi orgánmi, občianskou spoločnosťou a súkromným sektorom;</w:t>
      </w:r>
    </w:p>
    <w:p w:rsidR="009D2F3E" w:rsidRPr="00392CC1" w:rsidP="009D2F3E" w14:paraId="75CE427D" w14:textId="77777777">
      <w:pPr>
        <w:pStyle w:val="NormalHanging12a"/>
      </w:pPr>
      <w:r w:rsidRPr="00392CC1">
        <w:t>15.</w:t>
      </w:r>
      <w:r w:rsidRPr="00392CC1">
        <w:tab/>
        <w:t xml:space="preserve">zdôrazňuje potrebu bojovať proti </w:t>
      </w:r>
      <w:r w:rsidRPr="00392CC1">
        <w:t>prevádzačstvu</w:t>
      </w:r>
      <w:r w:rsidRPr="00392CC1">
        <w:t xml:space="preserve"> a obchodovaniu s ľuďmi prostredníctvom posilnenej medzinárodnej a mnohostrannej spolupráce s partnerskými krajinami, v prípade potreby aj s miestnymi orgánmi, bezpečnostnými silami a organizáciami občianskej spoločnosti, v oblasti predchádzania trestnej činnosti, ochrany obetí, posilneného presadzovania práva, kampaní na zvyšovanie povedomia verejnosti zameraných na boj proti dezinformáciám, stíhania páchateľov a predchádzania vykorisťovaniu migrantov zločineckými sieťami a prevádzačmi migrantov, ako aj poskytovaním bezpečnejších alternatív vytvorením legálnych spôsobov bezpečnej a legálnej migrácie a mobility pracovnej sily; zdôrazňuje, že prísna kontrola hraníc bez alternatívnych legálnych možností migrácie mení migračné trasy, pričom sa do ciest zavádzajú rôzne kroky a nové tranzitné krajiny, takže sa zvyšuje neistota cesty a migranti sú viac vystavení prevádzačským sieťam, vydieraniu a násiliu;</w:t>
      </w:r>
    </w:p>
    <w:p w:rsidR="009D2F3E" w:rsidRPr="00392CC1" w:rsidP="009D2F3E" w14:paraId="04D9B29F" w14:textId="77777777">
      <w:pPr>
        <w:pStyle w:val="NormalHanging12a"/>
      </w:pPr>
      <w:r w:rsidRPr="00392CC1">
        <w:t>16.</w:t>
      </w:r>
      <w:r w:rsidRPr="00392CC1">
        <w:tab/>
        <w:t>vyzýva Komisiu a členské štáty, aby podporovali spoluprácu s partnerskými krajinami v oblasti migrácie;</w:t>
      </w:r>
    </w:p>
    <w:p w:rsidR="009D2F3E" w:rsidRPr="00392CC1" w:rsidP="009D2F3E" w14:paraId="2EA61EF5" w14:textId="77777777">
      <w:pPr>
        <w:pStyle w:val="NormalHanging12a"/>
      </w:pPr>
      <w:r w:rsidRPr="00392CC1">
        <w:t>17.</w:t>
      </w:r>
      <w:r w:rsidRPr="00392CC1">
        <w:tab/>
        <w:t>pripomína, že humanitárna pomoc by sa mala vždy poskytovať v súlade s humanitárnymi zásadami;</w:t>
      </w:r>
    </w:p>
    <w:p w:rsidR="009D2F3E" w:rsidRPr="00392CC1" w:rsidP="009D2F3E" w14:paraId="35FE6263" w14:textId="77777777">
      <w:pPr>
        <w:pStyle w:val="NormalHanging12a"/>
      </w:pPr>
      <w:r w:rsidRPr="00392CC1">
        <w:t>18.</w:t>
      </w:r>
      <w:r w:rsidRPr="00392CC1">
        <w:tab/>
        <w:t>vyzýva Komisiu, aby ďalej podporovala krajiny pôvodu a susedné hostiteľské krajiny pri riešení zvýšených medzikontinentálnych migračných tokov;</w:t>
      </w:r>
    </w:p>
    <w:p w:rsidR="00600AF1" w:rsidRPr="00392CC1" w:rsidP="009D2F3E" w14:paraId="72DDABEA" w14:textId="6135E2E6">
      <w:pPr>
        <w:pStyle w:val="NormalHanging12a"/>
        <w:rPr>
          <w:bCs/>
          <w:iCs/>
        </w:rPr>
      </w:pPr>
      <w:r w:rsidRPr="00392CC1">
        <w:rPr>
          <w:bCs/>
          <w:iCs/>
        </w:rPr>
        <w:t>19.</w:t>
      </w:r>
      <w:r w:rsidRPr="00392CC1">
        <w:rPr>
          <w:bCs/>
          <w:iCs/>
        </w:rPr>
        <w:tab/>
        <w:t xml:space="preserve">vyzýva Komisiu a členské štáty, aby posilnili svoju schopnosť predchádzať </w:t>
      </w:r>
      <w:r w:rsidRPr="00392CC1">
        <w:rPr>
          <w:bCs/>
          <w:iCs/>
        </w:rPr>
        <w:t>inštrumentalizácii</w:t>
      </w:r>
      <w:r w:rsidRPr="00392CC1">
        <w:rPr>
          <w:bCs/>
          <w:iCs/>
        </w:rPr>
        <w:t xml:space="preserve"> migrantov a reagovať na ňu; zdôrazňuje potrebu posilnenej spolupráce s partnerskými krajinami a príslušnými agentúrami s cieľom odhaľovať takéto aktivity, predchádzať im a bojovať proti nim;</w:t>
      </w:r>
    </w:p>
    <w:p w:rsidR="009D2F3E" w:rsidRPr="00392CC1" w:rsidP="009D2F3E" w14:paraId="7B115171" w14:textId="6B4E70B6">
      <w:pPr>
        <w:pStyle w:val="NormalHanging12a"/>
      </w:pPr>
      <w:r w:rsidRPr="00392CC1">
        <w:t>20</w:t>
      </w:r>
      <w:r w:rsidRPr="00392CC1">
        <w:t>.</w:t>
      </w:r>
      <w:r w:rsidRPr="00392CC1">
        <w:tab/>
        <w:t>zdôrazňuje, že verejné financovanie rozvoja má zásadný význam pre partnerské krajiny a že súkromné investície môžu prispieť k dosiahnutiu cieľov rozvojovej politiky EÚ; konštatuje, že investičné záruky EÚ podnecujú spoločnosti, aby investovali, za predpokladu, že sa vykonáva prísna náležitá starostlivosť s cieľom zabezpečiť súlad so sociálnymi, environmentálnymi normami a normami v oblasti správy, ako aj súlad s cieľmi udržateľného rozvoja; pripomína, že dosiahnutie cieľov udržateľného rozvoja je nevyhnutné na zlepšenie živobytia v tretích krajinách;</w:t>
      </w:r>
    </w:p>
    <w:p w:rsidR="009D2F3E" w:rsidRPr="00392CC1" w:rsidP="009D2F3E" w14:paraId="626E6851" w14:textId="3B46EA2F">
      <w:pPr>
        <w:pStyle w:val="NormalHanging12a"/>
      </w:pPr>
      <w:r w:rsidRPr="00392CC1">
        <w:t>21</w:t>
      </w:r>
      <w:r w:rsidRPr="00392CC1">
        <w:t>.</w:t>
      </w:r>
      <w:r w:rsidRPr="00392CC1">
        <w:tab/>
        <w:t>žiada, aby sa finančné nástroje EÚ, Európsky fond pre udržateľný rozvoj plus a Európska investičná banka zameriavali na vytváranie miestnej ekonomickej návratnosti s cieľom posilniť hospodársku autonómiu a dlhodobú udržateľnosť;</w:t>
      </w:r>
    </w:p>
    <w:p w:rsidR="009D2F3E" w:rsidRPr="00392CC1" w:rsidP="009D2F3E" w14:paraId="40A4C677" w14:textId="2A92CE7D">
      <w:pPr>
        <w:pStyle w:val="NormalHanging12a"/>
      </w:pPr>
      <w:r w:rsidRPr="00392CC1">
        <w:t>22</w:t>
      </w:r>
      <w:r w:rsidRPr="00392CC1">
        <w:t>.</w:t>
      </w:r>
      <w:r w:rsidRPr="00392CC1">
        <w:tab/>
        <w:t>pripomína, že oficiálna rozvojová pomoc je naďalej dôležitým nástrojom na znižovanie chudoby a riešenie nerovností a podporu najzraniteľnejších komunít; dôrazne kritizuje drastické škrty v oficiálnej rozvojovej pomoci, ktoré uskutočnili poprední globálni darcovia; vyzýva EÚ a jej členské štáty, aby dodržiavali svoj záväzok vynakladať 0,7 % svojho hrubého národného dôchodku na oficiálnu rozvojovú pomoc;</w:t>
      </w:r>
    </w:p>
    <w:p w:rsidR="009D2F3E" w:rsidRPr="00392CC1" w:rsidP="009D2F3E" w14:paraId="0C5E914F" w14:textId="5D085AD7">
      <w:pPr>
        <w:pStyle w:val="NormalHanging12a"/>
      </w:pPr>
      <w:r w:rsidRPr="00392CC1">
        <w:t>23</w:t>
      </w:r>
      <w:r w:rsidRPr="00392CC1">
        <w:t>.</w:t>
      </w:r>
      <w:r w:rsidRPr="00392CC1">
        <w:tab/>
        <w:t>vyzýva Komisiu, aby zabezpečila väčšiu zodpovednosť, transparentnosť a parlamentný dohľad pri navrhovaní a vykonávaní všetkých finančných prostriedkov EÚ vrátane nadchádzajúceho nástroja Globálna Európa, ktorý musí byť prednostne zameraný na vykonávanie cieľov udržateľného rozvoja, a to aj pokiaľ ide o riešenie výziev neoprávnenej migrácie;</w:t>
      </w:r>
    </w:p>
    <w:p w:rsidR="009D2F3E" w:rsidRPr="00392CC1" w:rsidP="009D2F3E" w14:paraId="22F94184" w14:textId="2491C43F">
      <w:pPr>
        <w:pStyle w:val="NormalHanging12a"/>
      </w:pPr>
      <w:r w:rsidRPr="00392CC1">
        <w:t>24</w:t>
      </w:r>
      <w:r w:rsidRPr="00392CC1">
        <w:t>.</w:t>
      </w:r>
      <w:r w:rsidRPr="00392CC1">
        <w:tab/>
        <w:t>zdôrazňuje, že rozvoj poľnohospodárstva a vidieka môže spolu s potravinovou a výživovou politikou prispieť k reakcii na niektoré základné príčiny migrácie; pripomína, že prístup k pôde a prírodným zdrojom má zásadný význam pre zaistenie potravinovej a výživovej bezpečnosti miestnych komunít, zlepšenie produktivity malých poľnohospodárov a zároveň prispôsobenie výroby zmene klímy a podporu vykonávania dobrovoľných usmernení Organizácie OSN pre výživu a poľnohospodárstvo týkajúcich sa držby pôdy, v ktorých sa dôraz kladie na práva a potreby legitímnych držiteľov pozemkových práv, najmä žien;</w:t>
      </w:r>
    </w:p>
    <w:p w:rsidR="009D2F3E" w:rsidRPr="00392CC1" w:rsidP="009D2F3E" w14:paraId="4F53392C" w14:textId="07226C13">
      <w:pPr>
        <w:pStyle w:val="NormalHanging12a"/>
      </w:pPr>
      <w:r w:rsidRPr="00392CC1">
        <w:t>25</w:t>
      </w:r>
      <w:r w:rsidRPr="00392CC1">
        <w:t>.</w:t>
      </w:r>
      <w:r w:rsidRPr="00392CC1">
        <w:tab/>
        <w:t>vyzýva Komisiu, aby zvýšila podporu inštitúcií vysokoškolského vzdelávania a technického a odborného vzdelávania a prípravy v partnerských krajinách v rámci svojej rozvojovej stratégie ako spôsob riešenia základných príčin migrácie; zdôrazňuje význam posilnenia ľudského rozvoja investovaním do zručností na miestnej úrovni; vyzýva Komisiu, aby v tejto súvislosti pomáhala partnerským krajinám pri budovaní kapacít; okrem toho vyzýva na zvýšenú podporu mládežníckych iniciatív, aby sa posilnili zručnosti, inovácie a výmena a aby sa migrácia využila ako hnacia sila udržateľného rozvoja;</w:t>
      </w:r>
    </w:p>
    <w:p w:rsidR="009D2F3E" w:rsidRPr="00392CC1" w:rsidP="009D2F3E" w14:paraId="46C52D1E" w14:textId="4E98B772">
      <w:pPr>
        <w:pStyle w:val="NormalHanging12a"/>
      </w:pPr>
      <w:r w:rsidRPr="00392CC1">
        <w:t>26</w:t>
      </w:r>
      <w:r w:rsidRPr="00392CC1">
        <w:t>.</w:t>
      </w:r>
      <w:r w:rsidRPr="00392CC1">
        <w:tab/>
        <w:t>vyzýva Komisiu, aby ďalej skúmala partnerstvá EÚ zamerané na talenty s viacerými tretími krajinami, najmä s krajinami s vysokou mierou emigrácie;</w:t>
      </w:r>
    </w:p>
    <w:p w:rsidR="009D2F3E" w:rsidRPr="00392CC1" w:rsidP="009D2F3E" w14:paraId="1560B377" w14:textId="53C26023">
      <w:pPr>
        <w:pStyle w:val="NormalHanging12a"/>
      </w:pPr>
      <w:r w:rsidRPr="00392CC1">
        <w:t>27</w:t>
      </w:r>
      <w:r w:rsidRPr="00392CC1">
        <w:t>.</w:t>
      </w:r>
      <w:r w:rsidRPr="00392CC1">
        <w:tab/>
        <w:t>zdôrazňuje, že posilnenie hospodárskeho postavenia a vytváranie dôstojných pracovných miest sú hlavné nástroje na znižovanie nerovností a že zlepšujú živobytie v krajinách pôvodu, a tým obmedzujú dôvody neoprávnenej migrácie; žiada, aby sa z finančných prostriedkov EÚ podporovalo aj miestne podnikanie a verejná infraštruktúra;</w:t>
      </w:r>
    </w:p>
    <w:p w:rsidR="009D2F3E" w:rsidRPr="00392CC1" w:rsidP="009D2F3E" w14:paraId="39D18E5C" w14:textId="62EF02BE">
      <w:pPr>
        <w:pStyle w:val="NormalHanging12a"/>
      </w:pPr>
      <w:r w:rsidRPr="00392CC1">
        <w:t>28</w:t>
      </w:r>
      <w:r w:rsidRPr="00392CC1">
        <w:t>.</w:t>
      </w:r>
      <w:r w:rsidRPr="00392CC1">
        <w:tab/>
        <w:t>zdôrazňuje, že mladí ľudia musia stáť v centre partnerstiev a že majú zásadný význam pre udržateľný rozvoj; zdôrazňuje, že je dôležité podporovať výmenné programy, ako je Erasmus+, a iné programy na podporu mobility a zručností mládeže s cieľom poskytovať príležitosti na vzdelávanie a zamestnanie a dať mladým ľuďom také možnosti výberu, aby mohli prosperovať vo svojich krajinách pôvodu;</w:t>
      </w:r>
    </w:p>
    <w:p w:rsidR="009D2F3E" w:rsidRPr="00392CC1" w:rsidP="009D2F3E" w14:paraId="374F26C1" w14:textId="06491FAC">
      <w:pPr>
        <w:pStyle w:val="NormalHanging12a"/>
      </w:pPr>
      <w:r w:rsidRPr="00392CC1">
        <w:t>29</w:t>
      </w:r>
      <w:r w:rsidRPr="00392CC1">
        <w:t>.</w:t>
      </w:r>
      <w:r w:rsidRPr="00392CC1">
        <w:tab/>
        <w:t>vyzýva Komisiu, aby zahrnula poľnohospodárstvo a vodné hospodárstvo medzi svoje priority spolupráce a podporovala projekty, ktoré zlepšujú sebestačnosť a znižujú migračný tlak;</w:t>
      </w:r>
    </w:p>
    <w:p w:rsidR="009D2F3E" w:rsidRPr="00392CC1" w:rsidP="009D2F3E" w14:paraId="728E90F4" w14:textId="3E50CB7F">
      <w:pPr>
        <w:pStyle w:val="NormalHanging12a"/>
      </w:pPr>
      <w:r w:rsidRPr="00392CC1">
        <w:t>30</w:t>
      </w:r>
      <w:r w:rsidRPr="00392CC1">
        <w:t>.</w:t>
      </w:r>
      <w:r w:rsidRPr="00392CC1">
        <w:tab/>
        <w:t>konštatuje, že migrácia a únik mozgov môžu predstavovať pre rozvoj partnerských krajín ťažkosti, pretože vedú k poklesu kvalifikovanej pracovnej sily; pripomína, že rozvojová spolupráca môže zmierniť toto riziko prostredníctvom komplexných stratégií na podporu kvalitných systémov vzdelávania a odbornej prípravy, posilnenie miestnych pracovných príležitostí a podporu prenosu znalostí a zručností; vyzýva preto Komisiu, aby pokračovala vo svojej práci v tejto oblasti vrátane riešenia problému úniku mozgov prostredníctvom rámca rozvojovej politiky a financovania;</w:t>
      </w:r>
    </w:p>
    <w:p w:rsidR="009D2F3E" w:rsidRPr="00392CC1" w:rsidP="009D2F3E" w14:paraId="625BCE7C" w14:textId="3C9BA1F3">
      <w:pPr>
        <w:pStyle w:val="NormalHanging12a"/>
      </w:pPr>
      <w:r w:rsidRPr="00392CC1">
        <w:t>31</w:t>
      </w:r>
      <w:r w:rsidRPr="00392CC1">
        <w:t>.</w:t>
      </w:r>
      <w:r w:rsidRPr="00392CC1">
        <w:tab/>
        <w:t>uznáva kľúčovú úlohu diaspór pri podpore udržateľného rozvoja, investícií a inovácií v ich krajinách pôvodu; zdôrazňuje, že posilnenie postavenia sietí diaspór vytvára recipročné výhody pre partnerské krajiny aj EÚ; vyzýva EÚ a jej členské štáty, aby posilnili spoluprácu s organizáciami diaspóry a vypracúvali inkluzívne programy, ktoré prispejú k vzájomne prospešným formám cirkulujúcej migrácie;</w:t>
      </w:r>
    </w:p>
    <w:p w:rsidR="009D2F3E" w:rsidRPr="00392CC1" w:rsidP="009D2F3E" w14:paraId="770D4FF9" w14:textId="39A0C6D0">
      <w:pPr>
        <w:pStyle w:val="NormalHanging12a"/>
      </w:pPr>
      <w:r w:rsidRPr="00392CC1">
        <w:t>32</w:t>
      </w:r>
      <w:r w:rsidRPr="00392CC1">
        <w:t>.</w:t>
      </w:r>
      <w:r w:rsidRPr="00392CC1">
        <w:tab/>
        <w:t>vyzýva Komisiu a členské štáty, aby investovali do kampaní na zvyšovanie povedomia v rámci EÚ aj v tretích krajinách s cieľom bojovať proti dezinformáciám a šíriť informácie o rizikách neoprávnenej migrácie a aby podporovali chápanie pravidiel EÚ týkajúcich sa povinností v oblasti migrácie pracovnej sily;</w:t>
      </w:r>
    </w:p>
    <w:p w:rsidR="009D2F3E" w:rsidRPr="00392CC1" w:rsidP="009D2F3E" w14:paraId="54C1F6FF" w14:textId="67F7E3BD">
      <w:pPr>
        <w:pStyle w:val="NormalHanging12a"/>
      </w:pPr>
      <w:r w:rsidRPr="00392CC1">
        <w:t>33</w:t>
      </w:r>
      <w:r w:rsidRPr="00392CC1">
        <w:t>.</w:t>
      </w:r>
      <w:r w:rsidRPr="00392CC1">
        <w:tab/>
        <w:t>vyzýva Komisiu a členské štáty, aby zvýšili financovanie na zlepšenie právneho štátu, podpory demokracie, budovania štátu a kapacít a verejných služieb vrátane zdravotníctva, prístupu k čistej vode a vzdelávania;</w:t>
      </w:r>
    </w:p>
    <w:p w:rsidR="009D2F3E" w:rsidRPr="00392CC1" w:rsidP="009D2F3E" w14:paraId="302D7213" w14:textId="2BE8C31F">
      <w:pPr>
        <w:pStyle w:val="NormalHanging12a"/>
      </w:pPr>
      <w:r w:rsidRPr="00392CC1">
        <w:t>34</w:t>
      </w:r>
      <w:r w:rsidRPr="00392CC1">
        <w:t>.</w:t>
      </w:r>
      <w:r w:rsidRPr="00392CC1">
        <w:tab/>
        <w:t>opätovne potvrdzuje, že holistický prístup, ktorý kombinuje rozvojovú spoluprácu a riadenie migrácie, je nevyhnutný, aby sa skutočne zaistila bezpečnosť a solidarita v rámci EÚ, ako aj v krajinách pôvodu a tranzitu;</w:t>
      </w:r>
    </w:p>
    <w:p w:rsidR="009D2F3E" w:rsidRPr="00392CC1" w:rsidP="009D2F3E" w14:paraId="5A7E09C9" w14:textId="1B924099">
      <w:pPr>
        <w:pStyle w:val="NormalHanging12a"/>
      </w:pPr>
      <w:r w:rsidRPr="00392CC1">
        <w:t>35</w:t>
      </w:r>
      <w:r w:rsidRPr="00392CC1">
        <w:t>.</w:t>
      </w:r>
      <w:r w:rsidRPr="00392CC1">
        <w:tab/>
        <w:t>víta kľúčovú prácu humanitárnych, rozvojových a mierových aktérov, najmä organizácií OSN, ďalších medzinárodných organizácií a miestnych aktérov vrátane miestnych orgánov, organizácií občianskej spoločnosti, obhajcov ľudských práv, organizácií žien, mládežníckych organizácií a mimovládnych organizácií, a náboženských komunít a organizácií;</w:t>
      </w:r>
    </w:p>
    <w:p w:rsidR="009D2F3E" w:rsidRPr="00392CC1" w:rsidP="009D2F3E" w14:paraId="304A376A" w14:textId="77777777">
      <w:pPr>
        <w:pStyle w:val="NormalCenter12a"/>
      </w:pPr>
      <w:r w:rsidRPr="00392CC1">
        <w:t>°</w:t>
      </w:r>
    </w:p>
    <w:p w:rsidR="009D2F3E" w:rsidRPr="00392CC1" w:rsidP="009D2F3E" w14:paraId="2A3CBDB8" w14:textId="77777777">
      <w:pPr>
        <w:pStyle w:val="NormalCenter12a"/>
      </w:pPr>
      <w:r w:rsidRPr="00392CC1">
        <w:t>°</w:t>
      </w:r>
      <w:r w:rsidRPr="00392CC1">
        <w:tab/>
        <w:t>°</w:t>
      </w:r>
    </w:p>
    <w:p w:rsidR="004B52A9" w:rsidRPr="00392CC1" w:rsidP="004B52A9" w14:paraId="7746F802" w14:textId="54C4FA3C">
      <w:pPr>
        <w:pStyle w:val="NormalHanging12a"/>
      </w:pPr>
      <w:r w:rsidRPr="00392CC1">
        <w:t>36</w:t>
      </w:r>
      <w:r w:rsidRPr="00392CC1" w:rsidR="009D2F3E">
        <w:t>.</w:t>
      </w:r>
      <w:r w:rsidRPr="00392CC1" w:rsidR="009D2F3E">
        <w:tab/>
        <w:t>poveruje svoju predsedníčku, aby postúpila toto uznesenie Rade, Komisii a Európskej službe pre vonkajšiu činnosť.</w:t>
      </w:r>
    </w:p>
    <w:p w:rsidR="00E365E1" w:rsidRPr="00392CC1" w:rsidP="00B43CAB" w14:paraId="583018E9" w14:textId="4BD220AC"/>
    <w:sectPr w:rsidSect="004B5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67413B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450CEB5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3D40A5A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43CAB" w:rsidRPr="004B52A9" w14:paraId="4B64BDBE" w14:textId="77777777">
      <w:r w:rsidRPr="004B52A9">
        <w:separator/>
      </w:r>
    </w:p>
  </w:footnote>
  <w:footnote w:type="continuationSeparator" w:id="1">
    <w:p w:rsidR="00B43CAB" w:rsidRPr="004B52A9" w14:paraId="317F4DA1" w14:textId="77777777">
      <w:r w:rsidRPr="004B52A9">
        <w:continuationSeparator/>
      </w:r>
    </w:p>
  </w:footnote>
  <w:footnote w:id="2">
    <w:p w:rsidR="009D5368" w:rsidRPr="004B52A9" w:rsidP="004B52A9" w14:paraId="686DD9F0" w14:textId="51F616D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 xml:space="preserve">Ú. v. EÚ L 209, 14.6.2021, s. 1, ELI: </w:t>
      </w:r>
      <w:hyperlink r:id="rId1" w:tgtFrame="http://data.europa.eu/eli/reg/2021/947/oj" w:history="1">
        <w:r w:rsidRPr="004B52A9">
          <w:rPr>
            <w:rStyle w:val="Hyperlink"/>
            <w:sz w:val="24"/>
            <w:lang w:val="sk-SK"/>
          </w:rPr>
          <w:t>http://data.europa.eu/eli/reg/2021/947/oj</w:t>
        </w:r>
      </w:hyperlink>
      <w:r w:rsidRPr="004B52A9">
        <w:rPr>
          <w:sz w:val="24"/>
          <w:lang w:val="sk-SK"/>
        </w:rPr>
        <w:t>.</w:t>
      </w:r>
    </w:p>
  </w:footnote>
  <w:footnote w:id="3">
    <w:p w:rsidR="009D5368" w:rsidRPr="004B52A9" w:rsidP="004B52A9" w14:paraId="12D1C37A" w14:textId="53D7C95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 xml:space="preserve">Ú. v. </w:t>
      </w:r>
      <w:r w:rsidRPr="004B52A9">
        <w:rPr>
          <w:sz w:val="24"/>
          <w:lang w:val="sk-SK"/>
        </w:rPr>
        <w:t xml:space="preserve">EÚ L, 2024/1351, 22.5.2024, ELI: </w:t>
      </w:r>
      <w:hyperlink r:id="rId2" w:tgtFrame="http://data.europa.eu/eli/reg/2024/1351/oj" w:history="1">
        <w:r w:rsidRPr="004B52A9">
          <w:rPr>
            <w:rStyle w:val="Hyperlink"/>
            <w:sz w:val="24"/>
            <w:lang w:val="sk-SK"/>
          </w:rPr>
          <w:t>http://data.europa.eu/eli/reg/2024/1351/oj</w:t>
        </w:r>
      </w:hyperlink>
      <w:r w:rsidRPr="004B52A9">
        <w:rPr>
          <w:sz w:val="24"/>
          <w:lang w:val="sk-SK"/>
        </w:rPr>
        <w:t>.</w:t>
      </w:r>
    </w:p>
  </w:footnote>
  <w:footnote w:id="4">
    <w:p w:rsidR="009D5368" w:rsidRPr="004B52A9" w:rsidP="004B52A9" w14:paraId="742ECFA5" w14:textId="59F70D5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>Ú. v. </w:t>
      </w:r>
      <w:r w:rsidRPr="004B52A9">
        <w:rPr>
          <w:sz w:val="24"/>
          <w:lang w:val="sk-SK"/>
        </w:rPr>
        <w:t xml:space="preserve">EÚ L, 2023/2862, 28.12.2023, ELI: </w:t>
      </w:r>
      <w:hyperlink r:id="rId3" w:tgtFrame="http://data.europa.eu/eli/agree_internation/2023/2862/oj" w:history="1">
        <w:r w:rsidRPr="004B52A9">
          <w:rPr>
            <w:rStyle w:val="Hyperlink"/>
            <w:sz w:val="24"/>
            <w:lang w:val="sk-SK"/>
          </w:rPr>
          <w:t>http://data.europa.eu/eli/agree_internation/2023/2862/oj</w:t>
        </w:r>
      </w:hyperlink>
      <w:r w:rsidRPr="004B52A9">
        <w:rPr>
          <w:sz w:val="24"/>
          <w:lang w:val="sk-SK"/>
        </w:rPr>
        <w:t>.</w:t>
      </w:r>
    </w:p>
  </w:footnote>
  <w:footnote w:id="5">
    <w:p w:rsidR="009D5368" w:rsidRPr="004B52A9" w:rsidP="004B52A9" w14:paraId="26BC0724" w14:textId="751BAF1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 xml:space="preserve">Ú. v. </w:t>
      </w:r>
      <w:r w:rsidRPr="004B52A9">
        <w:rPr>
          <w:sz w:val="24"/>
          <w:lang w:val="sk-SK"/>
        </w:rPr>
        <w:t xml:space="preserve">EÚ C, C/2026/576, 24.2.2026, ELI: </w:t>
      </w:r>
      <w:hyperlink r:id="rId4" w:tgtFrame="http://data.europa.eu/eli/C/2026/576/oj" w:history="1">
        <w:r w:rsidRPr="004B52A9">
          <w:rPr>
            <w:rStyle w:val="Hyperlink"/>
            <w:sz w:val="24"/>
            <w:lang w:val="sk-SK"/>
          </w:rPr>
          <w:t>http://data.europa.eu/eli/C/2026/576/oj</w:t>
        </w:r>
      </w:hyperlink>
      <w:r w:rsidRPr="004B52A9">
        <w:rPr>
          <w:sz w:val="24"/>
          <w:lang w:val="sk-SK"/>
        </w:rPr>
        <w:t>.</w:t>
      </w:r>
    </w:p>
  </w:footnote>
  <w:footnote w:id="6">
    <w:p w:rsidR="009D5368" w:rsidRPr="004B52A9" w:rsidP="004B52A9" w14:paraId="3011C36A" w14:textId="7C681B8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r w:rsidRPr="004B52A9">
        <w:rPr>
          <w:sz w:val="24"/>
          <w:lang w:val="sk-SK"/>
        </w:rPr>
        <w:t>Talleraas</w:t>
      </w:r>
      <w:r w:rsidRPr="004B52A9">
        <w:rPr>
          <w:sz w:val="24"/>
          <w:lang w:val="sk-SK"/>
        </w:rPr>
        <w:t xml:space="preserve">, C., </w:t>
      </w:r>
      <w:r w:rsidRPr="004B52A9">
        <w:rPr>
          <w:i/>
          <w:sz w:val="24"/>
          <w:lang w:val="sk-SK"/>
        </w:rPr>
        <w:t>The</w:t>
      </w:r>
      <w:r w:rsidRPr="004B52A9">
        <w:rPr>
          <w:i/>
          <w:sz w:val="24"/>
          <w:lang w:val="sk-SK"/>
        </w:rPr>
        <w:t xml:space="preserve"> role of EU </w:t>
      </w:r>
      <w:r w:rsidRPr="004B52A9">
        <w:rPr>
          <w:i/>
          <w:sz w:val="24"/>
          <w:lang w:val="sk-SK"/>
        </w:rPr>
        <w:t>development</w:t>
      </w:r>
      <w:r w:rsidRPr="004B52A9">
        <w:rPr>
          <w:i/>
          <w:sz w:val="24"/>
          <w:lang w:val="sk-SK"/>
        </w:rPr>
        <w:t xml:space="preserve"> </w:t>
      </w:r>
      <w:r w:rsidRPr="004B52A9">
        <w:rPr>
          <w:i/>
          <w:sz w:val="24"/>
          <w:lang w:val="sk-SK"/>
        </w:rPr>
        <w:t>cooperation</w:t>
      </w:r>
      <w:r w:rsidRPr="004B52A9">
        <w:rPr>
          <w:i/>
          <w:sz w:val="24"/>
          <w:lang w:val="sk-SK"/>
        </w:rPr>
        <w:t xml:space="preserve"> in </w:t>
      </w:r>
      <w:r w:rsidRPr="004B52A9">
        <w:rPr>
          <w:i/>
          <w:sz w:val="24"/>
          <w:lang w:val="sk-SK"/>
        </w:rPr>
        <w:t>addressing</w:t>
      </w:r>
      <w:r w:rsidRPr="004B52A9">
        <w:rPr>
          <w:i/>
          <w:sz w:val="24"/>
          <w:lang w:val="sk-SK"/>
        </w:rPr>
        <w:t xml:space="preserve"> </w:t>
      </w:r>
      <w:r w:rsidRPr="004B52A9">
        <w:rPr>
          <w:i/>
          <w:sz w:val="24"/>
          <w:lang w:val="sk-SK"/>
        </w:rPr>
        <w:t>irregular</w:t>
      </w:r>
      <w:r w:rsidRPr="004B52A9">
        <w:rPr>
          <w:i/>
          <w:sz w:val="24"/>
          <w:lang w:val="sk-SK"/>
        </w:rPr>
        <w:t xml:space="preserve"> </w:t>
      </w:r>
      <w:r w:rsidRPr="004B52A9">
        <w:rPr>
          <w:i/>
          <w:sz w:val="24"/>
          <w:lang w:val="sk-SK"/>
        </w:rPr>
        <w:t>migration</w:t>
      </w:r>
      <w:r w:rsidRPr="004B52A9">
        <w:rPr>
          <w:i/>
          <w:sz w:val="24"/>
          <w:lang w:val="sk-SK"/>
        </w:rPr>
        <w:t xml:space="preserve"> in </w:t>
      </w:r>
      <w:r w:rsidRPr="004B52A9">
        <w:rPr>
          <w:i/>
          <w:sz w:val="24"/>
          <w:lang w:val="sk-SK"/>
        </w:rPr>
        <w:t>Africa</w:t>
      </w:r>
      <w:r w:rsidRPr="004B52A9">
        <w:rPr>
          <w:sz w:val="24"/>
          <w:lang w:val="sk-SK"/>
        </w:rPr>
        <w:t xml:space="preserve"> (Úloha rozvojovej spolupráce EÚ pri riešení neoprávnenej migrácie v Afrike), oddelenie analýzy a podpory vonkajších politík, generálne riaditeľstvo pre vonkajšie politiky Únie, október 2025.</w:t>
      </w:r>
    </w:p>
  </w:footnote>
  <w:footnote w:id="7">
    <w:p w:rsidR="009D5368" w:rsidRPr="004B52A9" w:rsidP="004B52A9" w14:paraId="63DDD0F9" w14:textId="4FB3F7C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>Ú. v. EÚ C 494, 8.12.2021, s. 80.</w:t>
      </w:r>
    </w:p>
  </w:footnote>
  <w:footnote w:id="8">
    <w:p w:rsidR="009D5368" w:rsidRPr="004B52A9" w:rsidP="004B52A9" w14:paraId="0AA63BC7" w14:textId="2E54639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r w:rsidRPr="004B52A9">
        <w:rPr>
          <w:sz w:val="24"/>
          <w:lang w:val="sk-SK"/>
        </w:rPr>
        <w:t xml:space="preserve">Essentials of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Management, </w:t>
      </w:r>
      <w:r w:rsidRPr="004B52A9">
        <w:rPr>
          <w:sz w:val="24"/>
          <w:lang w:val="sk-SK"/>
        </w:rPr>
        <w:t>Drivers</w:t>
      </w:r>
      <w:r w:rsidRPr="004B52A9">
        <w:rPr>
          <w:sz w:val="24"/>
          <w:lang w:val="sk-SK"/>
        </w:rPr>
        <w:t xml:space="preserve"> of </w:t>
      </w:r>
      <w:r w:rsidRPr="004B52A9">
        <w:rPr>
          <w:sz w:val="24"/>
          <w:lang w:val="sk-SK"/>
        </w:rPr>
        <w:t>international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(Hnacie sily medzinárodnej migrácie), </w:t>
      </w:r>
      <w:hyperlink r:id="rId5" w:tgtFrame="https://emm.iom.int/handbooks/global-context-international-migration/drivers-international-migration" w:history="1">
        <w:r w:rsidRPr="004B52A9">
          <w:rPr>
            <w:rStyle w:val="Hyperlink"/>
            <w:sz w:val="24"/>
            <w:lang w:val="sk-SK"/>
          </w:rPr>
          <w:t>https://emm.iom.int/handbooks/global-context-international-migration/drivers-international-migration</w:t>
        </w:r>
      </w:hyperlink>
      <w:r w:rsidRPr="004B52A9">
        <w:rPr>
          <w:sz w:val="24"/>
          <w:lang w:val="sk-SK"/>
        </w:rPr>
        <w:t>.</w:t>
      </w:r>
    </w:p>
  </w:footnote>
  <w:footnote w:id="9">
    <w:p w:rsidR="009D5368" w:rsidRPr="004B52A9" w:rsidP="004B52A9" w14:paraId="37E526FD" w14:textId="7E6A5664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 xml:space="preserve">Agentúra EÚ pre azyl, 3.4. </w:t>
      </w:r>
      <w:r w:rsidRPr="004B52A9">
        <w:rPr>
          <w:sz w:val="24"/>
          <w:lang w:val="sk-SK"/>
        </w:rPr>
        <w:t>Data</w:t>
      </w:r>
      <w:r w:rsidRPr="004B52A9">
        <w:rPr>
          <w:sz w:val="24"/>
          <w:lang w:val="sk-SK"/>
        </w:rPr>
        <w:t xml:space="preserve"> on </w:t>
      </w:r>
      <w:r w:rsidRPr="004B52A9">
        <w:rPr>
          <w:sz w:val="24"/>
          <w:lang w:val="sk-SK"/>
        </w:rPr>
        <w:t>applications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for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international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protection</w:t>
      </w:r>
      <w:r w:rsidRPr="004B52A9">
        <w:rPr>
          <w:sz w:val="24"/>
          <w:lang w:val="sk-SK"/>
        </w:rPr>
        <w:t xml:space="preserve"> (Údaje o žiadostiach o medzinárodnú ochranu), </w:t>
      </w:r>
      <w:hyperlink r:id="rId6" w:tgtFrame="https://euaa.europa.eu/asylum-report-2025/34-data-applications-international-protection" w:history="1">
        <w:r w:rsidRPr="004B52A9">
          <w:rPr>
            <w:rStyle w:val="Hyperlink"/>
            <w:sz w:val="24"/>
            <w:lang w:val="sk-SK"/>
          </w:rPr>
          <w:t>https://euaa.europa.eu/asylum-report-2025/34-data-applications-international-protection</w:t>
        </w:r>
      </w:hyperlink>
      <w:r w:rsidRPr="004B52A9">
        <w:rPr>
          <w:sz w:val="24"/>
          <w:lang w:val="sk-SK"/>
        </w:rPr>
        <w:t>.</w:t>
      </w:r>
    </w:p>
  </w:footnote>
  <w:footnote w:id="10">
    <w:p w:rsidR="009D5368" w:rsidRPr="004B52A9" w:rsidP="004B52A9" w14:paraId="41CC9F3C" w14:textId="197C928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hyperlink r:id="rId7" w:tgtFrame="https://www.frontex.europa.eu/media-centre/news/news-release/frontex-irregular-border-crossings-down-26-in-2025-europe-must-stay-prepared-lyKpVb" w:history="1">
        <w:r w:rsidRPr="004B52A9">
          <w:rPr>
            <w:rStyle w:val="Hyperlink"/>
            <w:sz w:val="24"/>
            <w:lang w:val="sk-SK"/>
          </w:rPr>
          <w:t>https://www.frontex.europa.eu/media-centre/news/news-release/frontex-irregular-border-crossings-down-26-in-2025-europe-must-stay-prepared-lyKpVb</w:t>
        </w:r>
      </w:hyperlink>
      <w:r w:rsidRPr="004B52A9">
        <w:rPr>
          <w:sz w:val="24"/>
          <w:lang w:val="sk-SK"/>
        </w:rPr>
        <w:t>.</w:t>
      </w:r>
    </w:p>
  </w:footnote>
  <w:footnote w:id="11">
    <w:p w:rsidR="009D5368" w:rsidRPr="004B52A9" w:rsidP="004B52A9" w14:paraId="15AB59BC" w14:textId="25FEC19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  <w:t xml:space="preserve">Tento údaj nezahŕňa v prípade niektorých členských štátov žiadateľov o azyl a utečencov z Ukrajiny pod dočasnou ochranou. </w:t>
      </w:r>
      <w:r w:rsidRPr="004B52A9">
        <w:rPr>
          <w:sz w:val="24"/>
          <w:lang w:val="sk-SK"/>
        </w:rPr>
        <w:t>Eurostat</w:t>
      </w:r>
      <w:r w:rsidRPr="004B52A9">
        <w:rPr>
          <w:sz w:val="24"/>
          <w:lang w:val="sk-SK"/>
        </w:rPr>
        <w:t xml:space="preserve">,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to and </w:t>
      </w:r>
      <w:r w:rsidRPr="004B52A9">
        <w:rPr>
          <w:sz w:val="24"/>
          <w:lang w:val="sk-SK"/>
        </w:rPr>
        <w:t>from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the</w:t>
      </w:r>
      <w:r w:rsidRPr="004B52A9">
        <w:rPr>
          <w:sz w:val="24"/>
          <w:lang w:val="sk-SK"/>
        </w:rPr>
        <w:t xml:space="preserve"> EU (Migrácia do a z EÚ), </w:t>
      </w:r>
      <w:hyperlink r:id="rId8" w:tgtFrame="https://ec.europa.eu/eurostat/statistics-explained/index.php?title=Migration_to_and_from_the_EU" w:history="1">
        <w:r w:rsidRPr="004B52A9">
          <w:rPr>
            <w:rStyle w:val="Hyperlink"/>
            <w:sz w:val="24"/>
            <w:lang w:val="sk-SK"/>
          </w:rPr>
          <w:t>https://ec.europa.eu/eurostat/statistics-explained/index.php?title=Migration_to_and_from_the_EU</w:t>
        </w:r>
      </w:hyperlink>
      <w:r w:rsidRPr="004B52A9">
        <w:rPr>
          <w:sz w:val="24"/>
          <w:lang w:val="sk-SK"/>
        </w:rPr>
        <w:t>.</w:t>
      </w:r>
    </w:p>
  </w:footnote>
  <w:footnote w:id="12">
    <w:p w:rsidR="009D5368" w:rsidRPr="004B52A9" w:rsidP="004B52A9" w14:paraId="16B7FD35" w14:textId="3A387C0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r w:rsidRPr="004B52A9">
        <w:rPr>
          <w:sz w:val="24"/>
          <w:lang w:val="sk-SK"/>
        </w:rPr>
        <w:t>Eurostat</w:t>
      </w:r>
      <w:r w:rsidRPr="004B52A9">
        <w:rPr>
          <w:sz w:val="24"/>
          <w:lang w:val="sk-SK"/>
        </w:rPr>
        <w:t xml:space="preserve">,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and </w:t>
      </w:r>
      <w:r w:rsidRPr="004B52A9">
        <w:rPr>
          <w:sz w:val="24"/>
          <w:lang w:val="sk-SK"/>
        </w:rPr>
        <w:t>asylum</w:t>
      </w:r>
      <w:r w:rsidRPr="004B52A9">
        <w:rPr>
          <w:sz w:val="24"/>
          <w:lang w:val="sk-SK"/>
        </w:rPr>
        <w:t xml:space="preserve"> in </w:t>
      </w:r>
      <w:r w:rsidRPr="004B52A9">
        <w:rPr>
          <w:sz w:val="24"/>
          <w:lang w:val="sk-SK"/>
        </w:rPr>
        <w:t>Europe</w:t>
      </w:r>
      <w:r w:rsidRPr="004B52A9">
        <w:rPr>
          <w:sz w:val="24"/>
          <w:lang w:val="sk-SK"/>
        </w:rPr>
        <w:t xml:space="preserve"> – 2025 </w:t>
      </w:r>
      <w:r w:rsidRPr="004B52A9">
        <w:rPr>
          <w:sz w:val="24"/>
          <w:lang w:val="sk-SK"/>
        </w:rPr>
        <w:t>edition</w:t>
      </w:r>
      <w:r w:rsidRPr="004B52A9">
        <w:rPr>
          <w:sz w:val="24"/>
          <w:lang w:val="sk-SK"/>
        </w:rPr>
        <w:t xml:space="preserve">, </w:t>
      </w:r>
      <w:r w:rsidRPr="004B52A9">
        <w:rPr>
          <w:sz w:val="24"/>
          <w:lang w:val="sk-SK"/>
        </w:rPr>
        <w:t>irregular</w:t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and </w:t>
      </w:r>
      <w:r w:rsidRPr="004B52A9">
        <w:rPr>
          <w:sz w:val="24"/>
          <w:lang w:val="sk-SK"/>
        </w:rPr>
        <w:t>return</w:t>
      </w:r>
      <w:r w:rsidRPr="004B52A9">
        <w:rPr>
          <w:sz w:val="24"/>
          <w:lang w:val="sk-SK"/>
        </w:rPr>
        <w:t xml:space="preserve"> (Migrácia a azyl v Európe – vydanie 2025, neoprávnená migrácia a návrat), </w:t>
      </w:r>
      <w:hyperlink r:id="rId9" w:anchor="irregular-migration-and-return" w:tgtFrame="https://ec.europa.eu/eurostat/web/interactive-publications/migration-2025#irregular-migration-and-return" w:history="1">
        <w:r w:rsidRPr="004B52A9">
          <w:rPr>
            <w:rStyle w:val="Hyperlink"/>
            <w:sz w:val="24"/>
            <w:lang w:val="sk-SK"/>
          </w:rPr>
          <w:t>https://ec.europa.eu/eurostat/web/interactive-publications/migration-2025#irregular-migration-and-return</w:t>
        </w:r>
      </w:hyperlink>
      <w:r w:rsidRPr="004B52A9">
        <w:rPr>
          <w:sz w:val="24"/>
          <w:lang w:val="sk-SK"/>
        </w:rPr>
        <w:t>.</w:t>
      </w:r>
    </w:p>
  </w:footnote>
  <w:footnote w:id="13">
    <w:p w:rsidR="009D5368" w:rsidRPr="004B52A9" w:rsidP="004B52A9" w14:paraId="087B6AC4" w14:textId="5746ABB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r w:rsidRPr="004B52A9">
        <w:rPr>
          <w:sz w:val="24"/>
          <w:lang w:val="sk-SK"/>
        </w:rPr>
        <w:t>Eurostat</w:t>
      </w:r>
      <w:r w:rsidRPr="004B52A9">
        <w:rPr>
          <w:sz w:val="24"/>
          <w:lang w:val="sk-SK"/>
        </w:rPr>
        <w:t xml:space="preserve">, </w:t>
      </w:r>
      <w:r w:rsidRPr="004B52A9">
        <w:rPr>
          <w:sz w:val="24"/>
          <w:lang w:val="sk-SK"/>
        </w:rPr>
        <w:t>Migration</w:t>
      </w:r>
      <w:r w:rsidRPr="004B52A9">
        <w:rPr>
          <w:sz w:val="24"/>
          <w:lang w:val="sk-SK"/>
        </w:rPr>
        <w:t xml:space="preserve"> and </w:t>
      </w:r>
      <w:r w:rsidRPr="004B52A9">
        <w:rPr>
          <w:sz w:val="24"/>
          <w:lang w:val="sk-SK"/>
        </w:rPr>
        <w:t>asylum</w:t>
      </w:r>
      <w:r w:rsidRPr="004B52A9">
        <w:rPr>
          <w:sz w:val="24"/>
          <w:lang w:val="sk-SK"/>
        </w:rPr>
        <w:t xml:space="preserve"> in </w:t>
      </w:r>
      <w:r w:rsidRPr="004B52A9">
        <w:rPr>
          <w:sz w:val="24"/>
          <w:lang w:val="sk-SK"/>
        </w:rPr>
        <w:t>Europe</w:t>
      </w:r>
      <w:r w:rsidRPr="004B52A9">
        <w:rPr>
          <w:sz w:val="24"/>
          <w:lang w:val="sk-SK"/>
        </w:rPr>
        <w:t xml:space="preserve"> – 2025 </w:t>
      </w:r>
      <w:r w:rsidRPr="004B52A9">
        <w:rPr>
          <w:sz w:val="24"/>
          <w:lang w:val="sk-SK"/>
        </w:rPr>
        <w:t>edition</w:t>
      </w:r>
      <w:r w:rsidRPr="004B52A9">
        <w:rPr>
          <w:sz w:val="24"/>
          <w:lang w:val="sk-SK"/>
        </w:rPr>
        <w:t xml:space="preserve">, </w:t>
      </w:r>
      <w:r w:rsidRPr="004B52A9">
        <w:rPr>
          <w:sz w:val="24"/>
          <w:lang w:val="sk-SK"/>
        </w:rPr>
        <w:t>Orders</w:t>
      </w:r>
      <w:r w:rsidRPr="004B52A9">
        <w:rPr>
          <w:sz w:val="24"/>
          <w:lang w:val="sk-SK"/>
        </w:rPr>
        <w:t xml:space="preserve"> to </w:t>
      </w:r>
      <w:r w:rsidRPr="004B52A9">
        <w:rPr>
          <w:sz w:val="24"/>
          <w:lang w:val="sk-SK"/>
        </w:rPr>
        <w:t>leave</w:t>
      </w:r>
      <w:r w:rsidRPr="004B52A9">
        <w:rPr>
          <w:sz w:val="24"/>
          <w:lang w:val="sk-SK"/>
        </w:rPr>
        <w:t xml:space="preserve"> and </w:t>
      </w:r>
      <w:r w:rsidRPr="004B52A9">
        <w:rPr>
          <w:sz w:val="24"/>
          <w:lang w:val="sk-SK"/>
        </w:rPr>
        <w:t>returns</w:t>
      </w:r>
      <w:r w:rsidRPr="004B52A9">
        <w:rPr>
          <w:sz w:val="24"/>
          <w:lang w:val="sk-SK"/>
        </w:rPr>
        <w:t xml:space="preserve"> (Migrácia a azyl v Európe – vydanie 2025, Príkazy na opustenie krajiny a návrat), </w:t>
      </w:r>
      <w:hyperlink r:id="rId9" w:anchor="orders-to-leave-and-returns-of-non-eu-citizens" w:tgtFrame="https://ec.europa.eu/eurostat/web/interactive-publications/migration-2025#orders-to-leave-and-returns-of-non-eu-citizens" w:history="1">
        <w:r w:rsidRPr="004B52A9">
          <w:rPr>
            <w:rStyle w:val="Hyperlink"/>
            <w:sz w:val="24"/>
            <w:lang w:val="sk-SK"/>
          </w:rPr>
          <w:t>https://ec.europa.eu/eurostat/web/interactive-publications/migration-2025#orders-to-leave-and-returns-of-non-eu-citizens</w:t>
        </w:r>
      </w:hyperlink>
      <w:r w:rsidRPr="004B52A9">
        <w:rPr>
          <w:sz w:val="24"/>
          <w:lang w:val="sk-SK"/>
        </w:rPr>
        <w:t>.</w:t>
      </w:r>
    </w:p>
  </w:footnote>
  <w:footnote w:id="14">
    <w:p w:rsidR="009D5368" w:rsidRPr="004B52A9" w:rsidP="004B52A9" w14:paraId="1627E3AD" w14:textId="115B02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B52A9">
        <w:rPr>
          <w:sz w:val="24"/>
          <w:lang w:val="sk-SK"/>
        </w:rPr>
        <w:t xml:space="preserve"> </w:t>
      </w:r>
      <w:r w:rsidRPr="004B52A9">
        <w:rPr>
          <w:sz w:val="24"/>
          <w:lang w:val="sk-SK"/>
        </w:rPr>
        <w:tab/>
      </w:r>
      <w:hyperlink r:id="rId10" w:tgtFrame="https://www.unhcr.org/about-unhcr/overview/figures-glance" w:history="1">
        <w:r w:rsidRPr="004B52A9">
          <w:rPr>
            <w:rStyle w:val="Hyperlink"/>
            <w:sz w:val="24"/>
            <w:lang w:val="sk-SK"/>
          </w:rPr>
          <w:t>https://www.unhcr.org/about-unhcr/overview/figures-glance</w:t>
        </w:r>
      </w:hyperlink>
      <w:r w:rsidRPr="004B52A9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18062DA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7E50151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52A9" w14:paraId="62816E1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9679351">
    <w:abstractNumId w:val="9"/>
  </w:num>
  <w:num w:numId="2" w16cid:durableId="2025669265">
    <w:abstractNumId w:val="9"/>
  </w:num>
  <w:num w:numId="3" w16cid:durableId="1738477640">
    <w:abstractNumId w:val="7"/>
  </w:num>
  <w:num w:numId="4" w16cid:durableId="1461607037">
    <w:abstractNumId w:val="7"/>
  </w:num>
  <w:num w:numId="5" w16cid:durableId="741022466">
    <w:abstractNumId w:val="6"/>
  </w:num>
  <w:num w:numId="6" w16cid:durableId="108354627">
    <w:abstractNumId w:val="6"/>
  </w:num>
  <w:num w:numId="7" w16cid:durableId="1322390667">
    <w:abstractNumId w:val="5"/>
  </w:num>
  <w:num w:numId="8" w16cid:durableId="205920850">
    <w:abstractNumId w:val="5"/>
  </w:num>
  <w:num w:numId="9" w16cid:durableId="1096051024">
    <w:abstractNumId w:val="4"/>
  </w:num>
  <w:num w:numId="10" w16cid:durableId="817458456">
    <w:abstractNumId w:val="4"/>
  </w:num>
  <w:num w:numId="11" w16cid:durableId="779494915">
    <w:abstractNumId w:val="8"/>
  </w:num>
  <w:num w:numId="12" w16cid:durableId="1374845649">
    <w:abstractNumId w:val="8"/>
  </w:num>
  <w:num w:numId="13" w16cid:durableId="448277249">
    <w:abstractNumId w:val="3"/>
  </w:num>
  <w:num w:numId="14" w16cid:durableId="4475912">
    <w:abstractNumId w:val="3"/>
  </w:num>
  <w:num w:numId="15" w16cid:durableId="1860073567">
    <w:abstractNumId w:val="2"/>
  </w:num>
  <w:num w:numId="16" w16cid:durableId="1444761662">
    <w:abstractNumId w:val="2"/>
  </w:num>
  <w:num w:numId="17" w16cid:durableId="410274124">
    <w:abstractNumId w:val="1"/>
  </w:num>
  <w:num w:numId="18" w16cid:durableId="597951764">
    <w:abstractNumId w:val="1"/>
  </w:num>
  <w:num w:numId="19" w16cid:durableId="410662800">
    <w:abstractNumId w:val="0"/>
  </w:num>
  <w:num w:numId="20" w16cid:durableId="1223174398">
    <w:abstractNumId w:val="0"/>
  </w:num>
  <w:num w:numId="21" w16cid:durableId="770009362">
    <w:abstractNumId w:val="9"/>
  </w:num>
  <w:num w:numId="22" w16cid:durableId="1528371804">
    <w:abstractNumId w:val="7"/>
  </w:num>
  <w:num w:numId="23" w16cid:durableId="1496797819">
    <w:abstractNumId w:val="6"/>
  </w:num>
  <w:num w:numId="24" w16cid:durableId="705451688">
    <w:abstractNumId w:val="5"/>
  </w:num>
  <w:num w:numId="25" w16cid:durableId="2123644343">
    <w:abstractNumId w:val="4"/>
  </w:num>
  <w:num w:numId="26" w16cid:durableId="573855411">
    <w:abstractNumId w:val="8"/>
  </w:num>
  <w:num w:numId="27" w16cid:durableId="698507810">
    <w:abstractNumId w:val="3"/>
  </w:num>
  <w:num w:numId="28" w16cid:durableId="1229996845">
    <w:abstractNumId w:val="2"/>
  </w:num>
  <w:num w:numId="29" w16cid:durableId="1504934089">
    <w:abstractNumId w:val="1"/>
  </w:num>
  <w:num w:numId="30" w16cid:durableId="1190920723">
    <w:abstractNumId w:val="0"/>
  </w:num>
  <w:num w:numId="31" w16cid:durableId="230427155">
    <w:abstractNumId w:val="9"/>
  </w:num>
  <w:num w:numId="32" w16cid:durableId="501358264">
    <w:abstractNumId w:val="7"/>
  </w:num>
  <w:num w:numId="33" w16cid:durableId="1400638811">
    <w:abstractNumId w:val="6"/>
  </w:num>
  <w:num w:numId="34" w16cid:durableId="1758014391">
    <w:abstractNumId w:val="5"/>
  </w:num>
  <w:num w:numId="35" w16cid:durableId="1737436137">
    <w:abstractNumId w:val="4"/>
  </w:num>
  <w:num w:numId="36" w16cid:durableId="783621758">
    <w:abstractNumId w:val="8"/>
  </w:num>
  <w:num w:numId="37" w16cid:durableId="1090202474">
    <w:abstractNumId w:val="3"/>
  </w:num>
  <w:num w:numId="38" w16cid:durableId="1606838452">
    <w:abstractNumId w:val="2"/>
  </w:num>
  <w:num w:numId="39" w16cid:durableId="2023974453">
    <w:abstractNumId w:val="1"/>
  </w:num>
  <w:num w:numId="40" w16cid:durableId="2080588910">
    <w:abstractNumId w:val="0"/>
  </w:num>
  <w:num w:numId="41" w16cid:durableId="116872578">
    <w:abstractNumId w:val="10"/>
  </w:num>
  <w:num w:numId="42" w16cid:durableId="624316801">
    <w:abstractNumId w:val="10"/>
  </w:num>
  <w:num w:numId="43" w16cid:durableId="2024673153">
    <w:abstractNumId w:val="10"/>
  </w:num>
  <w:num w:numId="44" w16cid:durableId="661591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C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1C8E"/>
    <w:rsid w:val="002B5493"/>
    <w:rsid w:val="00343214"/>
    <w:rsid w:val="00361C00"/>
    <w:rsid w:val="00392CC1"/>
    <w:rsid w:val="00395FA1"/>
    <w:rsid w:val="003E15D4"/>
    <w:rsid w:val="00411CCE"/>
    <w:rsid w:val="0041666E"/>
    <w:rsid w:val="00421060"/>
    <w:rsid w:val="00471C19"/>
    <w:rsid w:val="004867E3"/>
    <w:rsid w:val="00494A28"/>
    <w:rsid w:val="004B3497"/>
    <w:rsid w:val="004B52A9"/>
    <w:rsid w:val="004C0004"/>
    <w:rsid w:val="004C5D52"/>
    <w:rsid w:val="0050519A"/>
    <w:rsid w:val="005072A1"/>
    <w:rsid w:val="00514517"/>
    <w:rsid w:val="00545827"/>
    <w:rsid w:val="00560270"/>
    <w:rsid w:val="00573A0D"/>
    <w:rsid w:val="005C2568"/>
    <w:rsid w:val="005F1B17"/>
    <w:rsid w:val="00600AF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F3E"/>
    <w:rsid w:val="009D536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CA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EF7"/>
    <w:rsid w:val="00F74202"/>
    <w:rsid w:val="00F87713"/>
    <w:rsid w:val="00FB4360"/>
    <w:rsid w:val="00FD0C70"/>
  </w:rsids>
  <w:docVars>
    <w:docVar w:name="dvdocse" w:val="A10-0147/2026"/>
    <w:docVar w:name="dvlangue" w:val="SK"/>
    <w:docVar w:name="dvnumam" w:val="0"/>
    <w:docVar w:name="dvpe" w:val="776.883"/>
    <w:docVar w:name="dvrapporteur" w:val="Spravodajca: "/>
    <w:docVar w:name="dvtitre" w:val="Uznesenie Európskeho parlamentu z/zo xx. xxx 2026 o posilnení rozvojovej spolupráce s cieľom riešiť neoprávnené pohyby obyvateľstva a ich základné príčiny v partnerských krajinách(2025/21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521C4A"/>
  <w15:chartTrackingRefBased/>
  <w15:docId w15:val="{54AD62E5-3996-4CEF-9AB4-A11E14487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D2F3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D2F3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D2F3E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D2F3E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D2F3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D2F3E"/>
    <w:rPr>
      <w:color w:val="0000FF"/>
      <w:u w:val="single"/>
    </w:rPr>
  </w:style>
  <w:style w:type="paragraph" w:styleId="Revision">
    <w:name w:val="Revision"/>
    <w:hidden/>
    <w:uiPriority w:val="99"/>
    <w:semiHidden/>
    <w:rsid w:val="009D536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10" Type="http://schemas.openxmlformats.org/officeDocument/2006/relationships/hyperlink" Target="https://www.unhcr.org/about-unhcr/overview/figures-glance" TargetMode="External" /><Relationship Id="rId2" Type="http://schemas.openxmlformats.org/officeDocument/2006/relationships/hyperlink" Target="http://data.europa.eu/eli/reg/2024/1351/oj" TargetMode="External" /><Relationship Id="rId3" Type="http://schemas.openxmlformats.org/officeDocument/2006/relationships/hyperlink" Target="http://data.europa.eu/eli/agree_internation/2023/2862/oj" TargetMode="External" /><Relationship Id="rId4" Type="http://schemas.openxmlformats.org/officeDocument/2006/relationships/hyperlink" Target="http://data.europa.eu/eli/C/2026/576/oj" TargetMode="External" /><Relationship Id="rId5" Type="http://schemas.openxmlformats.org/officeDocument/2006/relationships/hyperlink" Target="https://emm.iom.int/handbooks/global-context-international-migration/drivers-international-migration" TargetMode="External" /><Relationship Id="rId6" Type="http://schemas.openxmlformats.org/officeDocument/2006/relationships/hyperlink" Target="https://euaa.europa.eu/asylum-report-2025/34-data-applications-international-protection" TargetMode="External" /><Relationship Id="rId7" Type="http://schemas.openxmlformats.org/officeDocument/2006/relationships/hyperlink" Target="https://www.frontex.europa.eu/media-centre/news/news-release/frontex-irregular-border-crossings-down-26-in-2025-europe-must-stay-prepared-lyKpVb" TargetMode="External" /><Relationship Id="rId8" Type="http://schemas.openxmlformats.org/officeDocument/2006/relationships/hyperlink" Target="https://ec.europa.eu/eurostat/statistics-explained/index.php?title=Migration_to_and_from_the_EU" TargetMode="External" /><Relationship Id="rId9" Type="http://schemas.openxmlformats.org/officeDocument/2006/relationships/hyperlink" Target="https://ec.europa.eu/eurostat/web/interactive-publications/migration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4420</Words>
  <Characters>27413</Characters>
  <Application>Microsoft Office Word</Application>
  <DocSecurity>0</DocSecurity>
  <Lines>228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2026-06-16T13:21:00Z</dcterms:created>
  <dcterms:modified xsi:type="dcterms:W3CDTF">2026-06-16T13:21:00Z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A10-0147/2026</vt:lpwstr>
  </property>
  <property fmtid="{D5CDD505-2E9C-101B-9397-08002B2CF9AE}" pid="4" name="&lt;Type&gt;">
    <vt:lpwstr>RR</vt:lpwstr>
  </property>
</Properties>
</file>