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69C9320A" w14:textId="77777777" w:rsidTr="0010095E">
        <w:tblPrEx>
          <w:tblW w:w="9072" w:type="dxa"/>
          <w:tblLook w:val="01E0"/>
        </w:tblPrEx>
        <w:trPr>
          <w:trHeight w:hRule="exact" w:val="1418"/>
        </w:trPr>
        <w:tc>
          <w:tcPr>
            <w:tcW w:w="6804" w:type="dxa"/>
            <w:shd w:val="clear" w:color="auto" w:fill="auto"/>
            <w:vAlign w:val="center"/>
          </w:tcPr>
          <w:p w:rsidR="00751A4A" w:rsidRPr="00D37AC5" w:rsidP="0010095E" w14:paraId="095C01F6" w14:textId="77777777">
            <w:pPr>
              <w:pStyle w:val="EPName"/>
            </w:pPr>
            <w:r w:rsidRPr="00D37AC5">
              <w:t>Europaparlamentet</w:t>
            </w:r>
          </w:p>
          <w:p w:rsidR="00751A4A" w:rsidRPr="00D37AC5" w:rsidP="005F1B17" w14:paraId="29C3E53A" w14:textId="77777777">
            <w:pPr>
              <w:pStyle w:val="EPTerm"/>
              <w:rPr>
                <w:rStyle w:val="HideTWBExt"/>
                <w:noProof w:val="0"/>
                <w:vanish w:val="0"/>
                <w:color w:val="auto"/>
              </w:rPr>
            </w:pPr>
            <w:r w:rsidRPr="00D37AC5">
              <w:t>2024</w:t>
            </w:r>
            <w:r w:rsidRPr="00D37AC5" w:rsidR="00817416">
              <w:t>-202</w:t>
            </w:r>
            <w:r w:rsidRPr="00D37AC5">
              <w:t>9</w:t>
            </w:r>
          </w:p>
        </w:tc>
        <w:tc>
          <w:tcPr>
            <w:tcW w:w="2268" w:type="dxa"/>
            <w:shd w:val="clear" w:color="auto" w:fill="auto"/>
          </w:tcPr>
          <w:p w:rsidR="00751A4A" w:rsidRPr="00D37AC5" w:rsidP="0010095E" w14:paraId="5B3DB803" w14:textId="77777777">
            <w:pPr>
              <w:pStyle w:val="EPLogo"/>
            </w:pPr>
            <w:r w:rsidRPr="00D37AC5">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D37AC5" w:rsidP="004C5D52" w14:paraId="66919980" w14:textId="77777777">
      <w:pPr>
        <w:pStyle w:val="LineTop"/>
      </w:pPr>
    </w:p>
    <w:p w:rsidR="00680577" w:rsidRPr="00D37AC5" w:rsidP="00680577" w14:paraId="7ABAA49B" w14:textId="77777777">
      <w:pPr>
        <w:pStyle w:val="EPBodyTA1"/>
      </w:pPr>
      <w:r w:rsidRPr="00D37AC5">
        <w:t>ANTAGNA TEXTER</w:t>
      </w:r>
    </w:p>
    <w:p w:rsidR="00D058B8" w:rsidRPr="00D37AC5" w:rsidP="00D058B8" w14:paraId="6549B7BB" w14:textId="77777777">
      <w:pPr>
        <w:pStyle w:val="LineBottom"/>
      </w:pPr>
    </w:p>
    <w:p w:rsidR="00F20B78" w:rsidRPr="00D37AC5" w:rsidP="00F20B78" w14:paraId="581A70A7" w14:textId="0D73A3F8">
      <w:pPr>
        <w:pStyle w:val="ATHeading1"/>
      </w:pPr>
      <w:bookmarkStart w:id="0" w:name="TANumber"/>
      <w:r w:rsidRPr="00D37AC5">
        <w:t>P10_TA(2026)0</w:t>
      </w:r>
      <w:bookmarkEnd w:id="0"/>
      <w:r w:rsidRPr="00D37AC5" w:rsidR="002A4441">
        <w:t>205</w:t>
      </w:r>
    </w:p>
    <w:p w:rsidR="00F20B78" w:rsidRPr="00D37AC5" w:rsidP="00F20B78" w14:paraId="096089D8" w14:textId="77777777">
      <w:pPr>
        <w:pStyle w:val="ATHeading2"/>
      </w:pPr>
      <w:bookmarkStart w:id="1" w:name="title"/>
      <w:r w:rsidRPr="00D37AC5">
        <w:t>Stärkt utvecklingssamarbete för att ta itu med irreguljära migrationsrörelser och deras bakomliggande orsaker i partnerländer</w:t>
      </w:r>
      <w:bookmarkEnd w:id="1"/>
    </w:p>
    <w:p w:rsidR="00F20B78" w:rsidRPr="00D37AC5" w:rsidP="00F20B78" w14:paraId="5794C868" w14:textId="77777777">
      <w:pPr>
        <w:rPr>
          <w:i/>
          <w:vanish/>
        </w:rPr>
      </w:pPr>
      <w:r>
        <w:rPr>
          <w:i/>
        </w:rPr>
        <w:fldChar w:fldCharType="begin"/>
      </w:r>
      <w:r w:rsidRPr="00D37AC5">
        <w:rPr>
          <w:i/>
        </w:rPr>
        <w:instrText xml:space="preserve"> TC"(</w:instrText>
      </w:r>
      <w:bookmarkStart w:id="2" w:name="DocNumber"/>
      <w:r w:rsidRPr="00D37AC5">
        <w:rPr>
          <w:i/>
        </w:rPr>
        <w:instrText>A10-0147/2026</w:instrText>
      </w:r>
      <w:bookmarkEnd w:id="2"/>
      <w:r w:rsidRPr="00D37AC5">
        <w:rPr>
          <w:i/>
        </w:rPr>
        <w:instrText xml:space="preserve"> - Föredragande: Lukas Mandl)"\l3 \n&gt; \* MERGEFORMAT </w:instrText>
      </w:r>
      <w:r>
        <w:rPr>
          <w:i/>
        </w:rPr>
        <w:fldChar w:fldCharType="end"/>
      </w:r>
    </w:p>
    <w:p w:rsidR="00F20B78" w:rsidRPr="00D37AC5" w:rsidP="00F20B78" w14:paraId="01D92CAE" w14:textId="77777777">
      <w:pPr>
        <w:rPr>
          <w:vanish/>
        </w:rPr>
      </w:pPr>
      <w:bookmarkStart w:id="3" w:name="Commission"/>
      <w:r w:rsidRPr="00D37AC5">
        <w:rPr>
          <w:vanish/>
        </w:rPr>
        <w:t>Utskottet för utveckling</w:t>
      </w:r>
      <w:bookmarkEnd w:id="3"/>
    </w:p>
    <w:p w:rsidR="00F20B78" w:rsidRPr="00D37AC5" w:rsidP="00F20B78" w14:paraId="0393BC19" w14:textId="77777777">
      <w:pPr>
        <w:rPr>
          <w:vanish/>
        </w:rPr>
      </w:pPr>
      <w:bookmarkStart w:id="4" w:name="PE"/>
      <w:r w:rsidRPr="00D37AC5">
        <w:rPr>
          <w:vanish/>
        </w:rPr>
        <w:t>PE776.883</w:t>
      </w:r>
      <w:bookmarkEnd w:id="4"/>
    </w:p>
    <w:p w:rsidR="00F20B78" w:rsidRPr="00D37AC5" w:rsidP="00F20B78" w14:paraId="55A3B6FE" w14:textId="15C671E4">
      <w:pPr>
        <w:pStyle w:val="ATHeading3"/>
      </w:pPr>
      <w:bookmarkStart w:id="5" w:name="Sujet"/>
      <w:r w:rsidRPr="00D37AC5">
        <w:t xml:space="preserve">Europaparlamentets resolution av den </w:t>
      </w:r>
      <w:r w:rsidRPr="00D37AC5" w:rsidR="00E34F53">
        <w:t>16</w:t>
      </w:r>
      <w:r w:rsidRPr="00D37AC5">
        <w:t xml:space="preserve"> </w:t>
      </w:r>
      <w:r w:rsidRPr="00D37AC5" w:rsidR="00E34F53">
        <w:t>juni</w:t>
      </w:r>
      <w:r w:rsidRPr="00D37AC5">
        <w:t xml:space="preserve"> 2026 om stärkt utvecklingssamarbete för att ta itu med irreguljära migrationsrörelser och deras bakomliggande orsaker i partnerländer</w:t>
      </w:r>
      <w:bookmarkEnd w:id="5"/>
      <w:r w:rsidRPr="00D37AC5">
        <w:t xml:space="preserve"> </w:t>
      </w:r>
      <w:bookmarkStart w:id="6" w:name="References"/>
      <w:r w:rsidRPr="00D37AC5">
        <w:t>(2025/2111(INI))</w:t>
      </w:r>
      <w:bookmarkEnd w:id="6"/>
    </w:p>
    <w:p w:rsidR="00436578" w:rsidRPr="00D37AC5" w:rsidP="00436578" w14:paraId="15EBB354" w14:textId="77777777">
      <w:pPr>
        <w:pStyle w:val="Normal12"/>
      </w:pPr>
      <w:r w:rsidRPr="00D37AC5">
        <w:t>Europaparlamentet utfärdar denna resolution</w:t>
      </w:r>
    </w:p>
    <w:p w:rsidR="00436578" w:rsidRPr="00D37AC5" w:rsidP="00436578" w14:paraId="0E4B4FDF" w14:textId="77777777">
      <w:pPr>
        <w:pStyle w:val="NormalHanging"/>
      </w:pPr>
      <w:r w:rsidRPr="00D37AC5">
        <w:t>–</w:t>
      </w:r>
      <w:r w:rsidRPr="00D37AC5">
        <w:tab/>
        <w:t>med beaktande av artiklarna 79 och 208 i fördraget om Europeiska unionens funktionssätt (EUF-fördraget),</w:t>
      </w:r>
    </w:p>
    <w:p w:rsidR="00436578" w:rsidRPr="00D37AC5" w:rsidP="00436578" w14:paraId="7A43D3E2" w14:textId="77777777">
      <w:pPr>
        <w:pStyle w:val="NormalHanging"/>
      </w:pPr>
      <w:r w:rsidRPr="00D37AC5">
        <w:t>–</w:t>
      </w:r>
      <w:r w:rsidRPr="00D37AC5">
        <w:tab/>
        <w:t>med beaktande av artiklarna 3.5 och 21 i fördraget om Europeiska unionen (EU-fördraget),</w:t>
      </w:r>
    </w:p>
    <w:p w:rsidR="00436578" w:rsidRPr="00D37AC5" w:rsidP="00436578" w14:paraId="172475F2" w14:textId="77777777">
      <w:pPr>
        <w:pStyle w:val="NormalHanging"/>
      </w:pPr>
      <w:r w:rsidRPr="00D37AC5">
        <w:t>–</w:t>
      </w:r>
      <w:r w:rsidRPr="00D37AC5">
        <w:tab/>
        <w:t>med beaktande av arbetsdokumentet från kommissionens avdelningar av den 30 juni 2021 ”</w:t>
      </w:r>
      <w:r w:rsidRPr="00D37AC5">
        <w:t>Applying</w:t>
      </w:r>
      <w:r w:rsidRPr="00D37AC5">
        <w:t xml:space="preserve"> the Human </w:t>
      </w:r>
      <w:r w:rsidRPr="00D37AC5">
        <w:t>Rights</w:t>
      </w:r>
      <w:r w:rsidRPr="00D37AC5">
        <w:t xml:space="preserve"> </w:t>
      </w:r>
      <w:r w:rsidRPr="00D37AC5">
        <w:t>Based</w:t>
      </w:r>
      <w:r w:rsidRPr="00D37AC5">
        <w:t xml:space="preserve"> Approach to international partnerships – An </w:t>
      </w:r>
      <w:r w:rsidRPr="00D37AC5">
        <w:t>updated</w:t>
      </w:r>
      <w:r w:rsidRPr="00D37AC5">
        <w:t xml:space="preserve"> </w:t>
      </w:r>
      <w:r w:rsidRPr="00D37AC5">
        <w:t>Toolbox</w:t>
      </w:r>
      <w:r w:rsidRPr="00D37AC5">
        <w:t xml:space="preserve"> for </w:t>
      </w:r>
      <w:r w:rsidRPr="00D37AC5">
        <w:t>placing</w:t>
      </w:r>
      <w:r w:rsidRPr="00D37AC5">
        <w:t xml:space="preserve"> </w:t>
      </w:r>
      <w:r w:rsidRPr="00D37AC5">
        <w:t>rights-holders</w:t>
      </w:r>
      <w:r w:rsidRPr="00D37AC5">
        <w:t xml:space="preserve"> at the </w:t>
      </w:r>
      <w:r w:rsidRPr="00D37AC5">
        <w:t>centre</w:t>
      </w:r>
      <w:r w:rsidRPr="00D37AC5">
        <w:t xml:space="preserve"> </w:t>
      </w:r>
      <w:r w:rsidRPr="00D37AC5">
        <w:t>of</w:t>
      </w:r>
      <w:r w:rsidRPr="00D37AC5">
        <w:t xml:space="preserve"> </w:t>
      </w:r>
      <w:r w:rsidRPr="00D37AC5">
        <w:t>EU’s</w:t>
      </w:r>
      <w:r w:rsidRPr="00D37AC5">
        <w:t xml:space="preserve"> </w:t>
      </w:r>
      <w:r w:rsidRPr="00D37AC5">
        <w:t>Neighbourhood</w:t>
      </w:r>
      <w:r w:rsidRPr="00D37AC5">
        <w:t xml:space="preserve">, </w:t>
      </w:r>
      <w:r w:rsidRPr="00D37AC5">
        <w:t>Development</w:t>
      </w:r>
      <w:r w:rsidRPr="00D37AC5">
        <w:t xml:space="preserve"> and International </w:t>
      </w:r>
      <w:r w:rsidRPr="00D37AC5">
        <w:t>Cooperation</w:t>
      </w:r>
      <w:r w:rsidRPr="00D37AC5">
        <w:t>” (SWD(2021)0179),</w:t>
      </w:r>
    </w:p>
    <w:p w:rsidR="00436578" w:rsidRPr="00D37AC5" w:rsidP="00436578" w14:paraId="6CCD8DAB" w14:textId="4A8B2F14">
      <w:pPr>
        <w:pStyle w:val="NormalHanging"/>
      </w:pPr>
      <w:r w:rsidRPr="00D37AC5">
        <w:t>–</w:t>
      </w:r>
      <w:r w:rsidRPr="00D37AC5">
        <w:tab/>
        <w:t>med beaktande av Europaparlamentets och rådets förordning (EU) 2021/947 av den 9 juni 2021 om inrättande av instrumentet för grannskapet, utvecklingssamarbete och internationellt samarbete – Europa i världen</w:t>
      </w:r>
      <w:r>
        <w:rPr>
          <w:rStyle w:val="FootnoteReference"/>
        </w:rPr>
        <w:footnoteReference w:id="2"/>
      </w:r>
      <w:r w:rsidRPr="00D37AC5">
        <w:t>,</w:t>
      </w:r>
    </w:p>
    <w:p w:rsidR="00436578" w:rsidRPr="00D37AC5" w:rsidP="00436578" w14:paraId="24C0C146" w14:textId="77777777">
      <w:pPr>
        <w:pStyle w:val="NormalHanging"/>
      </w:pPr>
      <w:r w:rsidRPr="00D37AC5">
        <w:t>–</w:t>
      </w:r>
      <w:r w:rsidRPr="00D37AC5">
        <w:tab/>
        <w:t>med beaktande av kommissionens förslag av den 16 juli 2025 till Europaparlamentets och rådets förordning om inrättande av Europa i världen (COM(2025)0551),</w:t>
      </w:r>
    </w:p>
    <w:p w:rsidR="00436578" w:rsidRPr="00D37AC5" w:rsidP="00436578" w14:paraId="11C3607E" w14:textId="14FE2EB6">
      <w:pPr>
        <w:pStyle w:val="NormalHanging"/>
      </w:pPr>
      <w:r w:rsidRPr="00D37AC5">
        <w:t>–</w:t>
      </w:r>
      <w:r w:rsidRPr="00D37AC5">
        <w:tab/>
        <w:t>med beaktande av Europaparlamentets och rådets förordning (EU) 2024/1351 av den 14 maj 2024 om asyl- och migrationshantering, om ändring av förordningarna (EU) 2021/1147 och (EU) 2021/1060 och om upphävande av förordning (EU) nr 604/2013</w:t>
      </w:r>
      <w:r>
        <w:rPr>
          <w:rStyle w:val="FootnoteReference"/>
        </w:rPr>
        <w:footnoteReference w:id="3"/>
      </w:r>
      <w:r w:rsidRPr="00D37AC5">
        <w:t>,</w:t>
      </w:r>
    </w:p>
    <w:p w:rsidR="00436578" w:rsidRPr="00D37AC5" w:rsidP="00436578" w14:paraId="0F596EE2" w14:textId="77777777">
      <w:pPr>
        <w:pStyle w:val="NormalHanging"/>
      </w:pPr>
      <w:r w:rsidRPr="00D37AC5">
        <w:t>–</w:t>
      </w:r>
      <w:r w:rsidRPr="00D37AC5">
        <w:tab/>
        <w:t>med beaktande av kommissionens förslag av den 11 mars 2025 till Europaparlamentets och rådets förordning om inrättandet av ett gemensamt system för återvändande av tredjelandsmedborgare som vistas olagligt i unionen och om upphävande av Europaparlamentets och rådets direktiv 2008/115/EG, rådets direktiv 2001/40/EG och, rådets beslut 2004/191/EG (COM(2025)0101),</w:t>
      </w:r>
    </w:p>
    <w:p w:rsidR="00436578" w:rsidRPr="00D37AC5" w:rsidP="00436578" w14:paraId="74FF94E9" w14:textId="44764DA5">
      <w:pPr>
        <w:pStyle w:val="NormalHanging"/>
      </w:pPr>
      <w:r w:rsidRPr="00D37AC5">
        <w:t>–</w:t>
      </w:r>
      <w:r w:rsidRPr="00D37AC5">
        <w:tab/>
        <w:t xml:space="preserve">med beaktande av partnerskapsavtalet mellan Europeiska unionen och dess </w:t>
      </w:r>
      <w:r w:rsidRPr="00D37AC5">
        <w:t>medlemsstater, å ena sidan, och medlemmarna i Organisationen för stater i Afrika, Karibien och Stillahavsområdet, å andra sidan (Samoaavtalet)</w:t>
      </w:r>
      <w:r>
        <w:rPr>
          <w:rStyle w:val="FootnoteReference"/>
        </w:rPr>
        <w:footnoteReference w:id="4"/>
      </w:r>
      <w:r w:rsidRPr="00D37AC5">
        <w:t>,</w:t>
      </w:r>
    </w:p>
    <w:p w:rsidR="00436578" w:rsidRPr="00D37AC5" w:rsidP="00436578" w14:paraId="0C00B36C" w14:textId="77777777">
      <w:pPr>
        <w:pStyle w:val="NormalHanging"/>
      </w:pPr>
      <w:r w:rsidRPr="00D37AC5">
        <w:t>–</w:t>
      </w:r>
      <w:r w:rsidRPr="00D37AC5">
        <w:tab/>
        <w:t>med beaktande av kommissionens meddelande av den 27 april 2022 om att locka kompetens och talang till EU (COM(2022)0657),</w:t>
      </w:r>
    </w:p>
    <w:p w:rsidR="00436578" w:rsidRPr="00D37AC5" w:rsidP="00436578" w14:paraId="11EFE49E" w14:textId="77777777">
      <w:pPr>
        <w:pStyle w:val="NormalHanging"/>
      </w:pPr>
      <w:r w:rsidRPr="00D37AC5">
        <w:t>–</w:t>
      </w:r>
      <w:r w:rsidRPr="00D37AC5">
        <w:tab/>
        <w:t>med beaktande av pakten för Medelhavsområdet,</w:t>
      </w:r>
    </w:p>
    <w:p w:rsidR="00436578" w:rsidRPr="00D37AC5" w:rsidP="00436578" w14:paraId="3B224595" w14:textId="77777777">
      <w:pPr>
        <w:pStyle w:val="NormalHanging"/>
      </w:pPr>
      <w:r w:rsidRPr="00D37AC5">
        <w:t>–</w:t>
      </w:r>
      <w:r w:rsidRPr="00D37AC5">
        <w:tab/>
        <w:t>med beaktande av den gemensamma förklaringen av den 7 juni 2017 från rådet och företrädarna för medlemsstaternas regeringar, församlade i rådet, Europaparlamentet och kommissionen om nytt europeiskt samförstånd om utveckling – Vår värld, vår värdighet, vår framtid,</w:t>
      </w:r>
    </w:p>
    <w:p w:rsidR="00436578" w:rsidRPr="00D37AC5" w:rsidP="00436578" w14:paraId="2CD44A35" w14:textId="77777777">
      <w:pPr>
        <w:pStyle w:val="NormalHanging"/>
      </w:pPr>
      <w:r w:rsidRPr="00D37AC5">
        <w:t>–</w:t>
      </w:r>
      <w:r w:rsidRPr="00D37AC5">
        <w:tab/>
        <w:t>med beaktande av EU:s förvaltningsfond för nödåtgärder i Afrika och Europeiska revisionsrättens särskilda rapport 17/2024 av den 25 september 2024 ”EU:s förvaltningsfond för nödåtgärder i Afrika – Trots nya strategier var stödet fortfarande ofokuserat”,</w:t>
      </w:r>
    </w:p>
    <w:p w:rsidR="00436578" w:rsidRPr="00D37AC5" w:rsidP="00436578" w14:paraId="672FAE5D" w14:textId="77777777">
      <w:pPr>
        <w:pStyle w:val="NormalHanging"/>
      </w:pPr>
      <w:r w:rsidRPr="00D37AC5">
        <w:t>–</w:t>
      </w:r>
      <w:r w:rsidRPr="00D37AC5">
        <w:tab/>
        <w:t xml:space="preserve">med beaktande av kommissionens meddelande av den 4 juni 2025 ”Europeisk strategi för </w:t>
      </w:r>
      <w:r w:rsidRPr="00D37AC5">
        <w:t>vattenresiliens</w:t>
      </w:r>
      <w:r w:rsidRPr="00D37AC5">
        <w:t>” (COM(2025)0280),</w:t>
      </w:r>
    </w:p>
    <w:p w:rsidR="00436578" w:rsidRPr="00D37AC5" w:rsidP="00436578" w14:paraId="2B412132" w14:textId="25DB9320">
      <w:pPr>
        <w:pStyle w:val="NormalHanging"/>
      </w:pPr>
      <w:r w:rsidRPr="00D37AC5">
        <w:t>–</w:t>
      </w:r>
      <w:r w:rsidRPr="00D37AC5">
        <w:tab/>
        <w:t xml:space="preserve">med beaktande av sin resolution av den 7 maj 2025 om den europeiska strategin för </w:t>
      </w:r>
      <w:r w:rsidRPr="00D37AC5">
        <w:t>vattenresiliens</w:t>
      </w:r>
      <w:r>
        <w:rPr>
          <w:rStyle w:val="FootnoteReference"/>
        </w:rPr>
        <w:footnoteReference w:id="5"/>
      </w:r>
      <w:r w:rsidRPr="00D37AC5">
        <w:t>,</w:t>
      </w:r>
    </w:p>
    <w:p w:rsidR="00436578" w:rsidRPr="00D37AC5" w:rsidP="00436578" w14:paraId="7CA334DB" w14:textId="63ABE02E">
      <w:pPr>
        <w:pStyle w:val="NormalHanging"/>
      </w:pPr>
      <w:r w:rsidRPr="00D37AC5">
        <w:t>–</w:t>
      </w:r>
      <w:r w:rsidRPr="00D37AC5">
        <w:tab/>
        <w:t xml:space="preserve">med beaktande av det gemensamma meddelandet av den 1 december 2021 från kommissionen och unionens höga representant för utrikes frågor och säkerhetspolitik: Global </w:t>
      </w:r>
      <w:r w:rsidRPr="00D37AC5">
        <w:t>Gateway</w:t>
      </w:r>
      <w:r w:rsidRPr="00D37AC5">
        <w:t xml:space="preserve"> (JOIN(2021)0030),</w:t>
      </w:r>
    </w:p>
    <w:p w:rsidR="00436578" w:rsidRPr="00D37AC5" w:rsidP="00436578" w14:paraId="1C2FB085" w14:textId="2A1EF2F5">
      <w:pPr>
        <w:pStyle w:val="NormalHanging"/>
      </w:pPr>
      <w:r w:rsidRPr="00D37AC5">
        <w:t>–</w:t>
      </w:r>
      <w:r w:rsidRPr="00D37AC5">
        <w:tab/>
        <w:t>med beaktande av det gemensamma meddelandet från kommissionen och unionens höga representant för utrikes frågor och säkerhetspolitik av den 2 oktober 2024 EU:s externa energiengagemang i en föränderlig värld (JOIN(2024)0025),</w:t>
      </w:r>
    </w:p>
    <w:p w:rsidR="00436578" w:rsidRPr="00D37AC5" w:rsidP="00436578" w14:paraId="6C9394A3" w14:textId="77777777">
      <w:pPr>
        <w:pStyle w:val="NormalHanging"/>
      </w:pPr>
      <w:r w:rsidRPr="00D37AC5">
        <w:t>–</w:t>
      </w:r>
      <w:r w:rsidRPr="00D37AC5">
        <w:tab/>
        <w:t>med beaktande av Europeiska rådets slutsatser av den 17 oktober 2024 om migration,</w:t>
      </w:r>
    </w:p>
    <w:p w:rsidR="00436578" w:rsidRPr="00D37AC5" w:rsidP="00436578" w14:paraId="74BA2580" w14:textId="77777777">
      <w:pPr>
        <w:pStyle w:val="NormalHanging"/>
      </w:pPr>
      <w:r w:rsidRPr="00D37AC5">
        <w:t>–</w:t>
      </w:r>
      <w:r w:rsidRPr="00D37AC5">
        <w:tab/>
        <w:t>med beaktande av FN:s generalförsamlings resolution 73/195 av den 19 december 2018 ”Global pakt för säker, ordnad och reguljär migration”,</w:t>
      </w:r>
    </w:p>
    <w:p w:rsidR="00436578" w:rsidRPr="00D37AC5" w:rsidP="00436578" w14:paraId="243D9C1C" w14:textId="77777777">
      <w:pPr>
        <w:pStyle w:val="NormalHanging"/>
      </w:pPr>
      <w:r w:rsidRPr="00D37AC5">
        <w:t>–</w:t>
      </w:r>
      <w:r w:rsidRPr="00D37AC5">
        <w:tab/>
        <w:t>med beaktande av FN:s generalförsamlings resolution 71/1 av den 19 september 2016 om New York-deklarationen om flyktingar och migranter,</w:t>
      </w:r>
    </w:p>
    <w:p w:rsidR="00436578" w:rsidRPr="00D37AC5" w:rsidP="00436578" w14:paraId="6A9A9458" w14:textId="77777777">
      <w:pPr>
        <w:pStyle w:val="NormalHanging"/>
      </w:pPr>
      <w:r w:rsidRPr="00D37AC5">
        <w:t>–</w:t>
      </w:r>
      <w:r w:rsidRPr="00D37AC5">
        <w:tab/>
        <w:t>med beaktande av FN:s generalförsamlings resolution 70/1 ”Att förändra vår värld: Agenda 2030 för hållbar utveckling” , som antogs vid FN:s toppmöte om hållbar utveckling den 25 september 2015 i New York, och som fastställer målen för hållbar utveckling, särskilt med beaktande av mål 10.7 för hållbar utveckling,</w:t>
      </w:r>
    </w:p>
    <w:p w:rsidR="00436578" w:rsidRPr="00D37AC5" w:rsidP="00436578" w14:paraId="4739DA52" w14:textId="77777777">
      <w:pPr>
        <w:pStyle w:val="NormalHanging"/>
      </w:pPr>
      <w:r w:rsidRPr="00D37AC5">
        <w:t>–</w:t>
      </w:r>
      <w:r w:rsidRPr="00D37AC5">
        <w:tab/>
        <w:t>med beaktande av konventionen om flyktingars rättsliga ställning från 1951 och det tillhörande New York-protokollet från 1967,</w:t>
      </w:r>
    </w:p>
    <w:p w:rsidR="00436578" w:rsidRPr="00D37AC5" w:rsidP="00436578" w14:paraId="11795A47" w14:textId="77777777">
      <w:pPr>
        <w:pStyle w:val="NormalHanging"/>
      </w:pPr>
      <w:r w:rsidRPr="00D37AC5">
        <w:t>–</w:t>
      </w:r>
      <w:r w:rsidRPr="00D37AC5">
        <w:tab/>
        <w:t>med beaktande av riktlinjerna från OECD:s kommitté för utvecklingsbistånd om migrationsrelaterad verksamhet i samband med offentligt utvecklingsbistånd och den tillhörande verktygslådan,</w:t>
      </w:r>
    </w:p>
    <w:p w:rsidR="00436578" w:rsidRPr="00D37AC5" w:rsidP="00436578" w14:paraId="77890B24" w14:textId="77777777">
      <w:pPr>
        <w:pStyle w:val="NormalHanging"/>
      </w:pPr>
      <w:r w:rsidRPr="00D37AC5">
        <w:t>–</w:t>
      </w:r>
      <w:r w:rsidRPr="00D37AC5">
        <w:tab/>
        <w:t>med beaktande av den europeiska konventionen om de mänskliga rättigheterna från 1950,</w:t>
      </w:r>
    </w:p>
    <w:p w:rsidR="00436578" w:rsidRPr="00D37AC5" w:rsidP="00436578" w14:paraId="5F7D4A81" w14:textId="4669EF9B">
      <w:pPr>
        <w:pStyle w:val="NormalHanging"/>
      </w:pPr>
      <w:r w:rsidRPr="00D37AC5">
        <w:t>–</w:t>
      </w:r>
      <w:r w:rsidRPr="00D37AC5">
        <w:tab/>
        <w:t>med beaktande av utvecklingsutskottets studie om den roll som EU:s utvecklingssamarbete spelar vid hanteringen av irreguljär migration i Afrika</w:t>
      </w:r>
      <w:r>
        <w:rPr>
          <w:rStyle w:val="FootnoteReference"/>
        </w:rPr>
        <w:footnoteReference w:id="6"/>
      </w:r>
      <w:r w:rsidRPr="00D37AC5">
        <w:t>,</w:t>
      </w:r>
    </w:p>
    <w:p w:rsidR="00436578" w:rsidRPr="00D37AC5" w:rsidP="00436578" w14:paraId="64A01C64" w14:textId="4A2E1747">
      <w:pPr>
        <w:pStyle w:val="NormalHanging"/>
      </w:pPr>
      <w:r w:rsidRPr="00D37AC5">
        <w:t>–</w:t>
      </w:r>
      <w:r w:rsidRPr="00D37AC5">
        <w:tab/>
        <w:t>med beaktande av sin resolution av den 25 mars 2021 om en ny EU–Afrika-strategi – ett partnerskap för hållbar och inkluderande utveckling</w:t>
      </w:r>
      <w:r>
        <w:rPr>
          <w:rStyle w:val="FootnoteReference"/>
        </w:rPr>
        <w:footnoteReference w:id="7"/>
      </w:r>
      <w:r w:rsidRPr="00D37AC5">
        <w:t>,</w:t>
      </w:r>
    </w:p>
    <w:p w:rsidR="00436578" w:rsidRPr="00D37AC5" w:rsidP="00436578" w14:paraId="6D6E06E3" w14:textId="77777777">
      <w:pPr>
        <w:pStyle w:val="NormalHanging"/>
      </w:pPr>
      <w:r w:rsidRPr="00D37AC5">
        <w:t>–</w:t>
      </w:r>
      <w:r w:rsidRPr="00D37AC5">
        <w:tab/>
        <w:t>med beaktande av artikel 55 i arbetsordningen,</w:t>
      </w:r>
    </w:p>
    <w:p w:rsidR="00436578" w:rsidRPr="00D37AC5" w:rsidP="00436578" w14:paraId="310B1526" w14:textId="77777777">
      <w:pPr>
        <w:pStyle w:val="NormalHanging"/>
      </w:pPr>
      <w:r w:rsidRPr="00D37AC5">
        <w:t>–</w:t>
      </w:r>
      <w:r w:rsidRPr="00D37AC5">
        <w:tab/>
        <w:t>med beaktande av betänkandet från utskottet för utveckling (A10-0147/2026), och av följande skäl:</w:t>
      </w:r>
    </w:p>
    <w:p w:rsidR="00436578" w:rsidRPr="00D37AC5" w:rsidP="00436578" w14:paraId="11370ED3" w14:textId="3089471C">
      <w:pPr>
        <w:pStyle w:val="NormalHanging"/>
      </w:pPr>
      <w:r w:rsidRPr="00D37AC5">
        <w:t>A.</w:t>
      </w:r>
      <w:r w:rsidRPr="00D37AC5">
        <w:tab/>
        <w:t>Migration och rörlighet, fred, god förvaltning, stabilitet, tillväxt för alla och hållbar utveckling är starkt knutna till varandra. Migrationen drivs på av faktorer på både makro- och mikronivå, såsom väpnade konflikter, politisk instabilitet, ekonomiska svårigheter, bristande möjligheter och fattigdom, begränsad tillgång till sociala skyddsmekanismer, otillräckligt tillhandahållande av tjänster, marginalisering, diskriminering eller förföljelse av utsatta personer, även när det gäller deras religions- eller trosfrihet, osäker livsmedelsförsörjning och begränsad tillgång till rent vatten samt miljöförstöring och klimatförändringar</w:t>
      </w:r>
      <w:r>
        <w:rPr>
          <w:rStyle w:val="FootnoteReference"/>
        </w:rPr>
        <w:footnoteReference w:id="8"/>
      </w:r>
      <w:r w:rsidRPr="00D37AC5">
        <w:t>.</w:t>
      </w:r>
    </w:p>
    <w:p w:rsidR="00436578" w:rsidRPr="00D37AC5" w:rsidP="00436578" w14:paraId="08407B17" w14:textId="77777777">
      <w:pPr>
        <w:pStyle w:val="NormalHanging"/>
      </w:pPr>
      <w:r w:rsidRPr="00D37AC5">
        <w:t>B.</w:t>
      </w:r>
      <w:r w:rsidRPr="00D37AC5">
        <w:tab/>
        <w:t>Irreguljära migrationsrörelser omfattar olika kategorier av migranter, såsom flyktingar och asylsökande som söker internationellt skydd. Personer som ansöker om internationellt skydd kan stanna kvar i de ansvariga medlemsstaterna i avvaktan på ett beslut om deras ansökan.</w:t>
      </w:r>
    </w:p>
    <w:p w:rsidR="00436578" w:rsidRPr="00D37AC5" w:rsidP="00436578" w14:paraId="2CBECAF1" w14:textId="77777777">
      <w:pPr>
        <w:pStyle w:val="NormalHanging"/>
      </w:pPr>
      <w:r w:rsidRPr="00D37AC5">
        <w:t>C.</w:t>
      </w:r>
      <w:r w:rsidRPr="00D37AC5">
        <w:tab/>
        <w:t>Utvecklingssamarbete spelar en grundläggande roll för att utrota fattigdom, hantera instabila kontexter, främja mänsklig utveckling och hållbarhet i alla dess dimensioner, ta itu med globala utmaningar genom internationella partnerskap som upprätthåller och främjar europeiska värden och intressen och bidrar till fred och välstånd i världen.</w:t>
      </w:r>
    </w:p>
    <w:p w:rsidR="00436578" w:rsidRPr="00D37AC5" w:rsidP="00436578" w14:paraId="2E7C5220" w14:textId="77777777">
      <w:pPr>
        <w:pStyle w:val="NormalHanging"/>
      </w:pPr>
      <w:r w:rsidRPr="00D37AC5">
        <w:t>D.</w:t>
      </w:r>
      <w:r w:rsidRPr="00D37AC5">
        <w:tab/>
        <w:t>EU:s utvecklingspolitik främjar hållbar utveckling och stabilitet i utvecklingsländerna, med det slutliga målet att utrota extrem fattigdom i linje med Agenda 2030 och målen för hållbar utveckling, i enlighet med artikel 208 i EUF-fördraget, samtidigt som principen om en konsekvent politik för utveckling upprätthålls.</w:t>
      </w:r>
    </w:p>
    <w:p w:rsidR="00436578" w:rsidRPr="00D37AC5" w:rsidP="00436578" w14:paraId="72674F8B" w14:textId="77777777">
      <w:pPr>
        <w:pStyle w:val="NormalHanging"/>
      </w:pPr>
      <w:r w:rsidRPr="00D37AC5">
        <w:t>E.</w:t>
      </w:r>
      <w:r w:rsidRPr="00D37AC5">
        <w:tab/>
        <w:t xml:space="preserve">Utvecklingssamarbetet måste bygga på verifierbara resultat och på ett konkret </w:t>
      </w:r>
      <w:r w:rsidRPr="00D37AC5">
        <w:t>gemensamt åtagande för hållbar utveckling.</w:t>
      </w:r>
    </w:p>
    <w:p w:rsidR="00436578" w:rsidRPr="00D37AC5" w:rsidP="00436578" w14:paraId="00637100" w14:textId="77777777">
      <w:pPr>
        <w:pStyle w:val="NormalHanging"/>
      </w:pPr>
      <w:r w:rsidRPr="00D37AC5">
        <w:t>F.</w:t>
      </w:r>
      <w:r w:rsidRPr="00D37AC5">
        <w:tab/>
        <w:t>EU:s förvaltningsfond (EUTF) inrättades för att ta itu med de bakomliggande orsakerna till instabilitet, tvångsförflyttningar och irreguljär migration och för att bidra till en bättre migrationshantering. Europeiska revisionsrätten konstaterade i sin granskning att EUTF inte uppnådde många av sina mål eftersom ändamålsenliga strategier inte alltid var tydligt identifierade.</w:t>
      </w:r>
    </w:p>
    <w:p w:rsidR="00436578" w:rsidRPr="00D37AC5" w:rsidP="00436578" w14:paraId="01F2B6E4" w14:textId="4FC31B1A">
      <w:pPr>
        <w:pStyle w:val="NormalHanging"/>
      </w:pPr>
      <w:r w:rsidRPr="00D37AC5">
        <w:t>G.</w:t>
      </w:r>
      <w:r w:rsidRPr="00D37AC5">
        <w:tab/>
        <w:t>Sedan 2015 har EU ställts inför aldrig tidigare skådade migrationsströmmar, vars hantering har krävt ihållande insatser från medlemsstaternas sida, och det är därför nödvändigt att stärka EU:s utvecklingspolitik för att ta itu med de bakomliggande orsakerna till irreguljär migration och tvångsförflyttningar, med tanke på att över 8,5 miljoner asylansökningar lämnades in i EU:s medlemsstater mellan 2015 och 2024</w:t>
      </w:r>
      <w:r>
        <w:rPr>
          <w:rStyle w:val="FootnoteReference"/>
        </w:rPr>
        <w:footnoteReference w:id="9"/>
      </w:r>
      <w:r w:rsidRPr="00D37AC5">
        <w:t>. De irreguljära gränspassagerna vid EU:s yttre gränser minskade med över en fjärdedel (26 %) under 2025 till nästan 178 000</w:t>
      </w:r>
      <w:r>
        <w:rPr>
          <w:rStyle w:val="FootnoteReference"/>
        </w:rPr>
        <w:footnoteReference w:id="10"/>
      </w:r>
      <w:r w:rsidRPr="00D37AC5">
        <w:t xml:space="preserve">. En majoritet av de migranter som kommer till Europa anländer via lagliga kanaler. Enligt hållbarhetsmål 10.7 ska länder underlätta en ordnad, säker, reguljär och ansvarsfull migration och rörlighet för personer genom planerad och väl förvaltad </w:t>
      </w:r>
      <w:r w:rsidRPr="00D37AC5">
        <w:t>migrationspolitik</w:t>
      </w:r>
      <w:r w:rsidRPr="00D37AC5">
        <w:t>.</w:t>
      </w:r>
    </w:p>
    <w:p w:rsidR="00436578" w:rsidRPr="00D37AC5" w:rsidP="00436578" w14:paraId="575EEA8C" w14:textId="26535E1F">
      <w:pPr>
        <w:pStyle w:val="NormalHanging"/>
      </w:pPr>
      <w:r w:rsidRPr="00D37AC5">
        <w:t>H.</w:t>
      </w:r>
      <w:r w:rsidRPr="00D37AC5">
        <w:tab/>
        <w:t>4,2 miljoner människor migrerade till EU från länder utanför EU under 2024</w:t>
      </w:r>
      <w:r>
        <w:rPr>
          <w:rStyle w:val="FootnoteReference"/>
        </w:rPr>
        <w:footnoteReference w:id="11"/>
      </w:r>
      <w:r w:rsidRPr="00D37AC5">
        <w:t>.</w:t>
      </w:r>
    </w:p>
    <w:p w:rsidR="00436578" w:rsidRPr="00D37AC5" w:rsidP="00436578" w14:paraId="6F58DB08" w14:textId="77777777">
      <w:pPr>
        <w:pStyle w:val="NormalHanging"/>
      </w:pPr>
      <w:r w:rsidRPr="00D37AC5">
        <w:t>I.</w:t>
      </w:r>
      <w:r w:rsidRPr="00D37AC5">
        <w:tab/>
        <w:t>Många av de asylsökandes ursprungsländer är låg- och medelinkomstländer. Andelen godkända asylsökande från dessa länder varierar avsevärt.</w:t>
      </w:r>
    </w:p>
    <w:p w:rsidR="00436578" w:rsidRPr="00D37AC5" w:rsidP="00436578" w14:paraId="3ED7A82F" w14:textId="77777777">
      <w:pPr>
        <w:pStyle w:val="NormalHanging"/>
      </w:pPr>
      <w:r w:rsidRPr="00D37AC5">
        <w:t>J.</w:t>
      </w:r>
      <w:r w:rsidRPr="00D37AC5">
        <w:tab/>
        <w:t>Under 2024 beviljade EU-länderna 437 900 asylsökande skyddsstatus, vilket är en ökning med 6,9 % jämfört med 2023 (409 530). Detta var det högsta antalet sedan de toppar 2016 och 2017 som registrerades efter flyktingkrisen i samband med kriget i Syrien. Andelen godkända ansökningar på EU-nivå, det vill säga alla positiva beslut i förhållande till det totala antalet asylbeslut, var 51,4 % för beslut i första instans 2024.</w:t>
      </w:r>
    </w:p>
    <w:p w:rsidR="00436578" w:rsidRPr="00D37AC5" w:rsidP="00436578" w14:paraId="725BEAAA" w14:textId="63DE5C6E">
      <w:pPr>
        <w:pStyle w:val="NormalHanging"/>
      </w:pPr>
      <w:r w:rsidRPr="00D37AC5">
        <w:t>K.</w:t>
      </w:r>
      <w:r w:rsidRPr="00D37AC5">
        <w:tab/>
        <w:t>Under 2024 nekades 124 000 tredjelandsmedborgare inresa till EU, 919 000 befanns sakna status, 453 000 utfärdades beslut om återvändande och omkring 110 000 återsändes i praktiken till ett land utanför EU</w:t>
      </w:r>
      <w:r>
        <w:rPr>
          <w:rStyle w:val="FootnoteReference"/>
        </w:rPr>
        <w:footnoteReference w:id="12"/>
      </w:r>
      <w:r w:rsidRPr="00D37AC5">
        <w:t>. Omkring 20 % av dem som har fått beslut om återvändande har faktiskt återvänt</w:t>
      </w:r>
      <w:r>
        <w:rPr>
          <w:rStyle w:val="FootnoteReference"/>
        </w:rPr>
        <w:footnoteReference w:id="13"/>
      </w:r>
      <w:r w:rsidRPr="00D37AC5">
        <w:t>.</w:t>
      </w:r>
    </w:p>
    <w:p w:rsidR="00436578" w:rsidRPr="00D37AC5" w:rsidP="00436578" w14:paraId="4B46628F" w14:textId="77777777">
      <w:pPr>
        <w:pStyle w:val="NormalHanging"/>
      </w:pPr>
      <w:r w:rsidRPr="00D37AC5">
        <w:t>L.</w:t>
      </w:r>
      <w:r w:rsidRPr="00D37AC5">
        <w:tab/>
        <w:t xml:space="preserve">De vanligaste internationella migrationsresorna går mellan grannländer. Den stora </w:t>
      </w:r>
      <w:r w:rsidRPr="00D37AC5">
        <w:t>majoriteten av flyktingarna, personer i behov av internationellt skydd och internflyktingar, tas emot av låg- och medelinkomstländer. Den ekonomiska bördan för dessa länder är tung och påverkar deras egen sociala och ekonomiska sammanhållning och utveckling. Utvecklingssamarbete spelar därför en avgörande roll för att stödja fördrivna befolkningsgrupper och värdsamhällen.</w:t>
      </w:r>
    </w:p>
    <w:p w:rsidR="00436578" w:rsidRPr="00D37AC5" w:rsidP="00436578" w14:paraId="663FE9E1" w14:textId="77777777">
      <w:pPr>
        <w:pStyle w:val="NormalHanging"/>
      </w:pPr>
      <w:r w:rsidRPr="00D37AC5">
        <w:t>M.</w:t>
      </w:r>
      <w:r w:rsidRPr="00D37AC5">
        <w:tab/>
        <w:t>Afrika konfronteras med intern migration, och omkring 80 % av all afrikansk migration sker inom kontinenten. Under 2024 registrerade Afrika söder om Sahara 19,3 miljoner nya internflyktingar, varav 11,5 miljoner hade orsakats av konflikter och 7,8 miljoner av katastrofer. Det totala antalet internflyktingar i Afrika uppgick till 38,8 miljoner mellan 2015 och 2024, vilket motsvarar 46 % av det totala antalet i världen, varav 68 % kommer från Demokratiska republiken Kongo, Etiopien, Nigeria, Somalia och Sudan.</w:t>
      </w:r>
    </w:p>
    <w:p w:rsidR="00436578" w:rsidRPr="00D37AC5" w:rsidP="00436578" w14:paraId="3CFC4617" w14:textId="0B280B79">
      <w:pPr>
        <w:pStyle w:val="NormalHanging"/>
      </w:pPr>
      <w:r w:rsidRPr="00D37AC5">
        <w:t>N.</w:t>
      </w:r>
      <w:r w:rsidRPr="00D37AC5">
        <w:tab/>
        <w:t>I juni 2025 hade 117,3 miljoner personer tvingats fly från sina hem globalt på grund av förföljelse, konflikter, våld, kränkningar av de mänskliga rättigheterna eller händelser som allvarligt störde den allmänna ordningen. Av dessa var 42,5 miljoner flyktingar, 67,8 miljoner internflyktingar och 8,42 miljoner asylsökande</w:t>
      </w:r>
      <w:r>
        <w:rPr>
          <w:rStyle w:val="FootnoteReference"/>
        </w:rPr>
        <w:footnoteReference w:id="14"/>
      </w:r>
      <w:r w:rsidRPr="00D37AC5">
        <w:t>.</w:t>
      </w:r>
    </w:p>
    <w:p w:rsidR="00436578" w:rsidRPr="00D37AC5" w:rsidP="00436578" w14:paraId="3519A2AB" w14:textId="77777777">
      <w:pPr>
        <w:pStyle w:val="NormalHanging"/>
      </w:pPr>
      <w:r w:rsidRPr="00D37AC5">
        <w:t>O.</w:t>
      </w:r>
      <w:r w:rsidRPr="00D37AC5">
        <w:tab/>
        <w:t xml:space="preserve">UNHCR:s Global Trends </w:t>
      </w:r>
      <w:r w:rsidRPr="00D37AC5">
        <w:t>Report</w:t>
      </w:r>
      <w:r w:rsidRPr="00D37AC5">
        <w:t xml:space="preserve"> och undersökningar visar att de flesta flyktingar och internflyktingar inte vill lämna sina länder utan tvingas göra det på grund av hot om exempelvis konflikter, förföljelse, våld eller extrema svårigheter. En undersökning från UNHCR 2023 visade att den stora majoriteten av flyktingar skulle föredra att stanna i sina samhällen om deras säkerhet och försörjning garanterades.</w:t>
      </w:r>
    </w:p>
    <w:p w:rsidR="00436578" w:rsidRPr="00D37AC5" w:rsidP="00436578" w14:paraId="33824A72" w14:textId="77777777">
      <w:pPr>
        <w:pStyle w:val="NormalHanging"/>
      </w:pPr>
      <w:r w:rsidRPr="00D37AC5">
        <w:t>P.</w:t>
      </w:r>
      <w:r w:rsidRPr="00D37AC5">
        <w:tab/>
        <w:t>Utvecklingssamarbetet spelar en grundläggande roll för att minska fattigdomen och hantera instabila situationer genom att stödja mänsklig utveckling, främja och stödja principerna om demokrati, rättsstatsprincipen, jämställdhet, mänskliga rättigheter och grundläggande rättigheter och genom att stärka brottsbekämpningen samt skapa hållbara ekonomiska möjligheter, förbättra styrningen och främja fred och stabilitet, och på så sätt ta itu med de bakomliggande orsakerna till irreguljär migration.</w:t>
      </w:r>
    </w:p>
    <w:p w:rsidR="00436578" w:rsidRPr="00D37AC5" w:rsidP="00436578" w14:paraId="286EC677" w14:textId="77777777">
      <w:pPr>
        <w:pStyle w:val="NormalHanging"/>
      </w:pPr>
      <w:r w:rsidRPr="00D37AC5">
        <w:t>Q.</w:t>
      </w:r>
      <w:r w:rsidRPr="00D37AC5">
        <w:tab/>
        <w:t>Förbättrade levnadsvillkor, utbildning och sysselsättningsmöjligheter i ursprungsländerna är avgörande för att säkerställa att människor kan bygga en framtid för sig själva i sina egna samhällen i stället för att tvingas migrera. Ett målinriktat och effektivt samarbete kan således minska incitamenten till irreguljär migration genom att främja stabilitet, säkerhet och självförsörjning i partnerländerna.</w:t>
      </w:r>
    </w:p>
    <w:p w:rsidR="00436578" w:rsidRPr="00D37AC5" w:rsidP="00436578" w14:paraId="3CC08EE9" w14:textId="77777777">
      <w:pPr>
        <w:pStyle w:val="NormalHanging"/>
      </w:pPr>
      <w:r w:rsidRPr="00D37AC5">
        <w:t>R.</w:t>
      </w:r>
      <w:r w:rsidRPr="00D37AC5">
        <w:tab/>
        <w:t>Ökad instabilitet, även när det gäller klimatförändringar och miljöförstöring, samt utarmning och överexploatering av naturresurser, kan påverka migrationen. 90 % av alla naturkatastrofer är vattenrelaterade, med möjliga konsekvenser i form av osäker livsmedelsförsörjning, ökade konflikter i samhället och migration.</w:t>
      </w:r>
    </w:p>
    <w:p w:rsidR="00436578" w:rsidRPr="00D37AC5" w:rsidP="00436578" w14:paraId="423745A7" w14:textId="77777777">
      <w:pPr>
        <w:pStyle w:val="NormalHanging"/>
      </w:pPr>
      <w:r w:rsidRPr="00D37AC5">
        <w:t>S.</w:t>
      </w:r>
      <w:r w:rsidRPr="00D37AC5">
        <w:tab/>
        <w:t>Höga nivåer av osäker livsmedelsförsörjning leder till högre nivåer av migration över gränserna, där en enprocentig ökning av den osäkra livsmedelsförsörjningen i en befolkningsgrupp tvingar 1,9 procent fler personer att migrera. Även om ekonomiska och miljömässiga drivkrafter inte i sig utgör asylskäl bidrar de avsevärt till sårbarhetsfaktorer som kan kräva ett internationellt övergripande skyddsinriktat svar.</w:t>
      </w:r>
    </w:p>
    <w:p w:rsidR="00436578" w:rsidRPr="00D37AC5" w:rsidP="00436578" w14:paraId="5D77FCAB" w14:textId="77777777">
      <w:pPr>
        <w:pStyle w:val="NormalHanging"/>
      </w:pPr>
      <w:r w:rsidRPr="00D37AC5">
        <w:t>T.</w:t>
      </w:r>
      <w:r w:rsidRPr="00D37AC5">
        <w:tab/>
        <w:t xml:space="preserve">Migrationsflöden är ofta kopplade till knappa naturresurser, inbegripet vatten. </w:t>
      </w:r>
      <w:r w:rsidRPr="00D37AC5">
        <w:t xml:space="preserve">2,2 miljarder personer i världen saknar fortfarande tillgång till säkert dricksvatten. Den europeiska strategin för </w:t>
      </w:r>
      <w:r w:rsidRPr="00D37AC5">
        <w:t>vattenresiliens</w:t>
      </w:r>
      <w:r w:rsidRPr="00D37AC5">
        <w:t xml:space="preserve"> syftar till att främja </w:t>
      </w:r>
      <w:r w:rsidRPr="00D37AC5">
        <w:t>vattenresiliens</w:t>
      </w:r>
      <w:r w:rsidRPr="00D37AC5">
        <w:t xml:space="preserve"> och säkerställa tillgång till bättre dricksvatten och sanitet för minst 70 miljoner personer genom förstärkt samarbete med länder och regioner inom ramen för Global </w:t>
      </w:r>
      <w:r w:rsidRPr="00D37AC5">
        <w:t>Gateway</w:t>
      </w:r>
      <w:r w:rsidRPr="00D37AC5">
        <w:t>.</w:t>
      </w:r>
    </w:p>
    <w:p w:rsidR="00436578" w:rsidRPr="00D37AC5" w:rsidP="00436578" w14:paraId="5F2526A1" w14:textId="77777777">
      <w:pPr>
        <w:pStyle w:val="NormalHanging"/>
      </w:pPr>
      <w:r w:rsidRPr="00D37AC5">
        <w:t>U.</w:t>
      </w:r>
      <w:r w:rsidRPr="00D37AC5">
        <w:tab/>
        <w:t>I EU:s migrations- och asylpakt betonas vikten av migrationens externa dimension genom att utveckla omfattande partnerskap som bygger på politisk dialog, ömsesidigt engagemang och ett tillvägagångssätt som inbegriper hela rutten.</w:t>
      </w:r>
    </w:p>
    <w:p w:rsidR="00436578" w:rsidRPr="00D37AC5" w:rsidP="00436578" w14:paraId="2F47C7A7" w14:textId="77777777">
      <w:pPr>
        <w:pStyle w:val="NormalHanging"/>
      </w:pPr>
      <w:r w:rsidRPr="00D37AC5">
        <w:t>V.</w:t>
      </w:r>
      <w:r w:rsidRPr="00D37AC5">
        <w:tab/>
        <w:t xml:space="preserve">I pakten för Medelhavsområdet föreskrivs en utvidgning av Erasmus+ till flera länder i Mellanöstern och Afrika för att koppla samman ungdomar och stödja en mer integrerad och inkluderande miljö när det gäller högre utbildning och kompetensutveckling. I pakten efterlyses också en ökning av talangpartnerskapen, bland annat genom lanseringen av EU:s talangreserv för att underlätta kopplingarna mellan arbetsgivare i EU och arbetssökande från partnerländer. </w:t>
      </w:r>
    </w:p>
    <w:p w:rsidR="00436578" w:rsidRPr="00D37AC5" w:rsidP="00436578" w14:paraId="6FC33159" w14:textId="77777777">
      <w:pPr>
        <w:pStyle w:val="NormalHanging"/>
      </w:pPr>
      <w:r w:rsidRPr="00D37AC5">
        <w:t>W.</w:t>
      </w:r>
      <w:r w:rsidRPr="00D37AC5">
        <w:tab/>
        <w:t xml:space="preserve">Global </w:t>
      </w:r>
      <w:r w:rsidRPr="00D37AC5">
        <w:t>Gateway</w:t>
      </w:r>
      <w:r w:rsidRPr="00D37AC5">
        <w:t>-strategin och investeringar i mänsklig utveckling bör erbjuda en möjlighet att anpassa utvecklingssamarbetet till partnerländernas prioriteringar, inbegripet migration, genom att främja skapande av arbetstillfällen, utbildning, yrkesutbildning, demokratiska värden och höga standarder, stärka god samhällsstyrning och transparens samt hållbara investeringar, inbegripet i tryggad vattenförsörjning, i ursprungs- och transitländer.</w:t>
      </w:r>
    </w:p>
    <w:p w:rsidR="00436578" w:rsidRPr="00D37AC5" w:rsidP="00436578" w14:paraId="2E4921D0" w14:textId="77777777">
      <w:pPr>
        <w:pStyle w:val="NormalHanging"/>
      </w:pPr>
      <w:r w:rsidRPr="00D37AC5">
        <w:t>X.</w:t>
      </w:r>
      <w:r w:rsidRPr="00D37AC5">
        <w:tab/>
        <w:t xml:space="preserve">Global </w:t>
      </w:r>
      <w:r w:rsidRPr="00D37AC5">
        <w:t>Global</w:t>
      </w:r>
      <w:r w:rsidRPr="00D37AC5">
        <w:t xml:space="preserve"> </w:t>
      </w:r>
      <w:r w:rsidRPr="00D37AC5">
        <w:t>Gateway</w:t>
      </w:r>
      <w:r w:rsidRPr="00D37AC5">
        <w:t>-strategin har också som mål att främja hållbara och betrodda partnerskap inom grön energi och infrastruktur. Klimatanpassning och investeringar i förnybar energi är nödvändiga för att hantera de socioekonomiska drivkrafterna bakom migration.</w:t>
      </w:r>
    </w:p>
    <w:p w:rsidR="00436578" w:rsidRPr="00D37AC5" w:rsidP="00436578" w14:paraId="46A2F36A" w14:textId="77777777">
      <w:pPr>
        <w:pStyle w:val="NormalHanging"/>
      </w:pPr>
      <w:r w:rsidRPr="00D37AC5">
        <w:t>Y.</w:t>
      </w:r>
      <w:r w:rsidRPr="00D37AC5">
        <w:tab/>
        <w:t>Ekonomiskt samarbete och privata investeringar är avgörande verktyg för att minska fattigdomen och öka självförsörjningen, och därmed stimulera lokal tillväxt i partnerländerna.</w:t>
      </w:r>
    </w:p>
    <w:p w:rsidR="00436578" w:rsidRPr="00D37AC5" w:rsidP="00436578" w14:paraId="746114F4" w14:textId="77777777">
      <w:pPr>
        <w:pStyle w:val="NormalHanging"/>
      </w:pPr>
      <w:r w:rsidRPr="00D37AC5">
        <w:t>Z.</w:t>
      </w:r>
      <w:r w:rsidRPr="00D37AC5">
        <w:tab/>
        <w:t>Industriell utveckling har visat sig vara ett av de mest kraftfulla sätten att lyfta människor ur fattigdom. Att investera i produktivitetskapacitet på ett socialt ansvarsfullt och hållbart sätt kan skapa arbetstillfällen och kan ha en multiplikatoreffekt.</w:t>
      </w:r>
    </w:p>
    <w:p w:rsidR="00436578" w:rsidRPr="00D37AC5" w:rsidP="00436578" w14:paraId="4B6DC09D" w14:textId="77777777">
      <w:pPr>
        <w:pStyle w:val="NormalHanging"/>
      </w:pPr>
      <w:r w:rsidRPr="00D37AC5">
        <w:t>AA.</w:t>
      </w:r>
      <w:r w:rsidRPr="00D37AC5">
        <w:tab/>
        <w:t>Människohandel och människosmuggling är en grov kränkning av de grundläggande rättigheterna och berövar människor deras värdighet, frihet och grundläggande rättigheter. Brottsliga nätverk för människohandel och människosmuggling utnyttjar migranter genom att dra nytta av farliga resor.</w:t>
      </w:r>
    </w:p>
    <w:p w:rsidR="00436578" w:rsidRPr="00D37AC5" w:rsidP="00436578" w14:paraId="4C831722" w14:textId="77777777">
      <w:pPr>
        <w:pStyle w:val="NormalHanging"/>
      </w:pPr>
      <w:r w:rsidRPr="00D37AC5">
        <w:t>AB.</w:t>
      </w:r>
      <w:r w:rsidRPr="00D37AC5">
        <w:tab/>
        <w:t>Många länder saknar de verktyg och resurser som behövs för att förhindra och bekämpa dessa brott. Internationella partnerskap kan på ett effektivt sätt bidra till kampen mot människohandel och människosmuggling.</w:t>
      </w:r>
    </w:p>
    <w:p w:rsidR="00436578" w:rsidRPr="00D37AC5" w:rsidP="00436578" w14:paraId="5C1B53DC" w14:textId="77777777">
      <w:pPr>
        <w:pStyle w:val="NormalHanging"/>
      </w:pPr>
      <w:r w:rsidRPr="00D37AC5">
        <w:t>AC.</w:t>
      </w:r>
      <w:r w:rsidRPr="00D37AC5">
        <w:tab/>
        <w:t>Utvecklingssamarbete spelar en viktig roll när det gäller att bidra till att ta itu med de bakomliggande orsakerna till irreguljär migration och tvångsförflyttningar samt bekämpa människosmuggling, skydda flyktingar och människor i behov av internationellt skydd, stödja länder som tar emot flyktingar och utveckla lagliga migrationsvägar.</w:t>
      </w:r>
    </w:p>
    <w:p w:rsidR="00436578" w:rsidRPr="00D37AC5" w:rsidP="00436578" w14:paraId="1F6CF6F7" w14:textId="77777777">
      <w:pPr>
        <w:pStyle w:val="NormalHanging"/>
      </w:pPr>
      <w:r w:rsidRPr="00D37AC5">
        <w:t>AD.</w:t>
      </w:r>
      <w:r w:rsidRPr="00D37AC5">
        <w:tab/>
        <w:t xml:space="preserve">Säkerhet, stabilitet, territoriell integritet och god samhällsstyrning är förutsättningar för </w:t>
      </w:r>
      <w:r w:rsidRPr="00D37AC5">
        <w:t>åtgärder för hållbar utveckling, och EU bör också stödja partnerländerna när det gäller att stärka kapaciteten för brottsbekämpning och gränsförvaltning samt bekämpa organiserad brottslighet.</w:t>
      </w:r>
    </w:p>
    <w:p w:rsidR="00436578" w:rsidRPr="00D37AC5" w:rsidP="00436578" w14:paraId="324B259E" w14:textId="77777777">
      <w:pPr>
        <w:pStyle w:val="NormalHanging"/>
      </w:pPr>
      <w:r w:rsidRPr="00D37AC5">
        <w:t>AE.</w:t>
      </w:r>
      <w:r w:rsidRPr="00D37AC5">
        <w:tab/>
        <w:t>En effektiv migrationshantering kräver också ett starkare samarbete med ursprungs- och transitländer och nedmontering av kriminella nätverk som utnyttjar utsatta människor. Stöd till lokal utveckling och stabilitet i partnerländer bidrar till att på ett hållbart sätt ta itu med de bakomliggande orsakerna till migration.</w:t>
      </w:r>
    </w:p>
    <w:p w:rsidR="00436578" w:rsidRPr="00D37AC5" w:rsidP="00436578" w14:paraId="07EEE79B" w14:textId="77777777">
      <w:pPr>
        <w:pStyle w:val="NormalHanging"/>
      </w:pPr>
      <w:r w:rsidRPr="00D37AC5">
        <w:t>AF.</w:t>
      </w:r>
      <w:r w:rsidRPr="00D37AC5">
        <w:tab/>
        <w:t>Europeiskt stöd till fungerande asylsystem i tredjeländer som en del av utvecklingssamarbetet är av avgörande betydelse för det internationella skyddet av asylsökande.</w:t>
      </w:r>
    </w:p>
    <w:p w:rsidR="00436578" w:rsidRPr="00D37AC5" w:rsidP="00436578" w14:paraId="7337EA8A" w14:textId="77777777">
      <w:pPr>
        <w:pStyle w:val="NormalHanging"/>
      </w:pPr>
      <w:r w:rsidRPr="00D37AC5">
        <w:t>AG.</w:t>
      </w:r>
      <w:r w:rsidRPr="00D37AC5">
        <w:tab/>
        <w:t>Politiken för återvändande och återanpassning måste fullt ut upprätthålla de mänskliga rättigheterna. Samarbete om återvändande och återanpassning kan medföra ömsesidiga fördelar när hänsyn tas till frivilligt, värdigt och hållbart återvändande till ursprungsländerna.</w:t>
      </w:r>
    </w:p>
    <w:p w:rsidR="00436578" w:rsidRPr="00D37AC5" w:rsidP="00436578" w14:paraId="432DAA0B" w14:textId="77777777">
      <w:pPr>
        <w:pStyle w:val="NormalHanging"/>
      </w:pPr>
      <w:r w:rsidRPr="00D37AC5">
        <w:t>AH.</w:t>
      </w:r>
      <w:r w:rsidRPr="00D37AC5">
        <w:tab/>
        <w:t>Återtagandeavtal och innovativa skräddarsydda projekt som syftar till att återintegrera migranter i deras ursprungsländer utgör en integrerad del av ett effektivt samarbete med partnerländer.</w:t>
      </w:r>
    </w:p>
    <w:p w:rsidR="00436578" w:rsidRPr="00D37AC5" w:rsidP="00436578" w14:paraId="49E12FDA" w14:textId="77777777">
      <w:pPr>
        <w:pStyle w:val="NormalHanging"/>
      </w:pPr>
      <w:r w:rsidRPr="00D37AC5">
        <w:t>AI.</w:t>
      </w:r>
      <w:r w:rsidRPr="00D37AC5">
        <w:tab/>
        <w:t>Utvecklingssamarbete spelar en avgörande roll när det gäller att stödja den socioekonomiska integrationen av fördrivna befolkningsgrupper och värdsamhällen och skydda personer i utsatta situationer, däribland kvinnor, barn och personer med funktionsnedsättning.</w:t>
      </w:r>
    </w:p>
    <w:p w:rsidR="00436578" w:rsidRPr="00D37AC5" w:rsidP="00436578" w14:paraId="5EF59F73" w14:textId="77777777">
      <w:pPr>
        <w:pStyle w:val="NormalHanging"/>
      </w:pPr>
      <w:r w:rsidRPr="00D37AC5">
        <w:t>AJ.</w:t>
      </w:r>
      <w:r w:rsidRPr="00D37AC5">
        <w:tab/>
        <w:t xml:space="preserve">Migration kan bidra till hållbar utveckling och tillväxt för alla både i ursprungs- och destinationsländerna samt inom och mellan regioner. Migration har ekonomiska konsekvenser för både destinationslandet och ursprungslandet. Dessa konsekvenser kan ses i migranternas bidrag till de offentliga finanserna, sysselsättningen och </w:t>
      </w:r>
      <w:r w:rsidRPr="00D37AC5">
        <w:t>jobbskapandet</w:t>
      </w:r>
      <w:r w:rsidRPr="00D37AC5">
        <w:t xml:space="preserve"> samt diasporagruppers roll när det gäller att stödja den ekonomiska utvecklingen i deras ursprungsländer.</w:t>
      </w:r>
    </w:p>
    <w:p w:rsidR="00436578" w:rsidRPr="00D37AC5" w:rsidP="00436578" w14:paraId="0FF2F624" w14:textId="77777777">
      <w:pPr>
        <w:pStyle w:val="NormalHanging"/>
      </w:pPr>
      <w:r w:rsidRPr="00D37AC5">
        <w:t>AK.</w:t>
      </w:r>
      <w:r w:rsidRPr="00D37AC5">
        <w:tab/>
        <w:t>Diasporagrupper spelar en viktig roll i partnerländernas utveckling, särskilt när det gäller att främja handel och ekonomisk utveckling samt när det gäller att ta itu med en rad frågor som rör migration och rörlighet. EU:s globala diasporafacilitet spelar en avgörande roll i detta sammanhang.</w:t>
      </w:r>
    </w:p>
    <w:p w:rsidR="00436578" w:rsidRPr="00D37AC5" w:rsidP="00436578" w14:paraId="76D9841D" w14:textId="77777777">
      <w:pPr>
        <w:pStyle w:val="NormalHanging"/>
      </w:pPr>
      <w:r w:rsidRPr="00D37AC5">
        <w:t>AL.</w:t>
      </w:r>
      <w:r w:rsidRPr="00D37AC5">
        <w:tab/>
        <w:t>Kompetensflykt kan innebära utmaningar för tredjeländer att uppnå sina politiska mål med anknytning till både utveckling och migration.</w:t>
      </w:r>
    </w:p>
    <w:p w:rsidR="00436578" w:rsidRPr="00D37AC5" w:rsidP="00436578" w14:paraId="11AE3FDA" w14:textId="77777777">
      <w:pPr>
        <w:pStyle w:val="Normal12a"/>
      </w:pPr>
      <w:r w:rsidRPr="00D37AC5">
        <w:rPr>
          <w:b/>
          <w:i/>
        </w:rPr>
        <w:t>Kopplingarna mellan migration och utvecklingssamarbete</w:t>
      </w:r>
    </w:p>
    <w:p w:rsidR="00436578" w:rsidRPr="00D37AC5" w:rsidP="00436578" w14:paraId="64D456A6" w14:textId="77777777">
      <w:pPr>
        <w:pStyle w:val="NormalHanging12a"/>
      </w:pPr>
      <w:r w:rsidRPr="00D37AC5">
        <w:t>1.</w:t>
      </w:r>
      <w:r w:rsidRPr="00D37AC5">
        <w:tab/>
        <w:t xml:space="preserve">Europaparlamentet understryker kopplingen mellan migration och utvecklingssamarbete och uppmanar kommissionen och medlemsstaterna att fortsätta att förpliktiga sig att föra en konsekvent politik för utveckling i sin </w:t>
      </w:r>
      <w:r w:rsidRPr="00D37AC5">
        <w:t>migrationspolitik</w:t>
      </w:r>
      <w:r w:rsidRPr="00D37AC5">
        <w:t>, med full respekt för de mänskliga rättigheterna och FN:s Agenda 2030.</w:t>
      </w:r>
    </w:p>
    <w:p w:rsidR="00436578" w:rsidRPr="00D37AC5" w:rsidP="00436578" w14:paraId="410D10F2" w14:textId="77777777">
      <w:pPr>
        <w:pStyle w:val="NormalHanging12a"/>
      </w:pPr>
      <w:r w:rsidRPr="00D37AC5">
        <w:t>2.</w:t>
      </w:r>
      <w:r w:rsidRPr="00D37AC5">
        <w:tab/>
        <w:t xml:space="preserve">Europaparlamentet betonar att utvecklingssamarbetet och EU:s utrikes- och säkerhetspolitik alltid måste utarbetas och genomföras på ett fullt samstämmigt sätt, med en pragmatisk och ömsesidigt fördelaktig, resultatinriktad strategi som syftar till att </w:t>
      </w:r>
      <w:r w:rsidRPr="00D37AC5">
        <w:t>säkerställa stabilitet och ekonomiska möjligheter i partnerländerna, inbegripet ursprungs- och transitländer för migrationsströmmar.</w:t>
      </w:r>
    </w:p>
    <w:p w:rsidR="00436578" w:rsidRPr="00D37AC5" w:rsidP="00436578" w14:paraId="2D4FEA4F" w14:textId="77777777">
      <w:pPr>
        <w:pStyle w:val="NormalHanging12a"/>
      </w:pPr>
      <w:r w:rsidRPr="00D37AC5">
        <w:t>3.</w:t>
      </w:r>
      <w:r w:rsidRPr="00D37AC5">
        <w:tab/>
        <w:t>Europaparlamentet betonar att utvecklingssamarbetet bör prioritera fattigdomsutrotning, minskad ojämlikhet och hållbar utveckling, i linje med målen för hållbar utveckling, konfliktförebyggande och fredsbyggande genom ekonomisk egenmakt, reformer av samhällsstyrningen och främjande av mänskliga rättigheter i partnerländerna, samtidigt som man också prioriterar bland annat långsiktiga investeringar baserade på partnerländernas utvecklingsprioriteringar och utvecklingsbehov, inte minst när man tar itu med de bakomliggande orsakerna till irreguljär migration och tvångsförflyttningar.</w:t>
      </w:r>
    </w:p>
    <w:p w:rsidR="00436578" w:rsidRPr="00D37AC5" w:rsidP="00436578" w14:paraId="6DDC9CBB" w14:textId="77777777">
      <w:pPr>
        <w:pStyle w:val="NormalHanging12a"/>
      </w:pPr>
      <w:r w:rsidRPr="00D37AC5">
        <w:t>4.</w:t>
      </w:r>
      <w:r w:rsidRPr="00D37AC5">
        <w:tab/>
        <w:t xml:space="preserve">Europaparlamentet påminner om att kvinnor och flickor ofta drabbas oproportionerligt hårt av kriser och fattigdom. Parlamentet uppmanar därför kommissionen att tillämpa en människorättsbaserad, jämställdhets- och utsatthetsmedveten strategi i utvecklingsprogrammen, och understryker vikten av att identifiera risker för de mänskliga rättigheterna, vidta riskreducerande åtgärder och se till att särskilt fokus läggs på alla människor i utsatta situationer – inbegripet personer med funktionsnedsättning, äldre, marginaliserade grupper och kvinnor, flickor och ungdomar – särskilt eftersom kvinnors roll i instabila sammanhang och för fredsbyggande, konfliktförebyggande och hållbar utveckling är avgörande, eftersom de ofta agerar som aktörer i frontlinjen och kan vara viktiga katalysatorer för förändring, </w:t>
      </w:r>
      <w:r w:rsidRPr="00D37AC5">
        <w:t>resiliens</w:t>
      </w:r>
      <w:r w:rsidRPr="00D37AC5">
        <w:t xml:space="preserve"> och återhämtning. Kvinnors deltagande och inkludering i beslutsfattande, medling, klimatåtgärder och samhällsutveckling leder till effektivare och mer hållbara resultat.</w:t>
      </w:r>
    </w:p>
    <w:p w:rsidR="00436578" w:rsidRPr="00D37AC5" w:rsidP="00436578" w14:paraId="4375AF70" w14:textId="77777777">
      <w:pPr>
        <w:pStyle w:val="NormalHanging12a"/>
      </w:pPr>
      <w:r w:rsidRPr="00D37AC5">
        <w:t>5.</w:t>
      </w:r>
      <w:r w:rsidRPr="00D37AC5">
        <w:tab/>
        <w:t xml:space="preserve">Europaparlamentet betonar vikten av en Team </w:t>
      </w:r>
      <w:r w:rsidRPr="00D37AC5">
        <w:t>Europe</w:t>
      </w:r>
      <w:r w:rsidRPr="00D37AC5">
        <w:t xml:space="preserve">-strategi som säkerställer samstämmighet mellan EU-institutionerna och medlemsstaterna som arbetar med migrationens externa dimension. Parlamentet understryker att Team </w:t>
      </w:r>
      <w:r w:rsidRPr="00D37AC5">
        <w:t>Europe</w:t>
      </w:r>
      <w:r w:rsidRPr="00D37AC5">
        <w:t xml:space="preserve"> bör samordna politiska, diplomatiska, finansiella och tekniska insatser för att utveckla och fördjupa omfattande partnerskap som stöder partnerländerna i hanteringen av migration på ett säkert, ordnat, reguljärt och ansvarsfullt sätt genom att tillämpa en effektiv människorättsbaserad och människocentrerad strategi som också tillgodoser flyktingars och internflyktingars behov.</w:t>
      </w:r>
    </w:p>
    <w:p w:rsidR="00436578" w:rsidRPr="00D37AC5" w:rsidP="00436578" w14:paraId="14D83F1F" w14:textId="77777777">
      <w:pPr>
        <w:pStyle w:val="NormalHanging12a"/>
      </w:pPr>
      <w:r w:rsidRPr="00D37AC5">
        <w:t>6.</w:t>
      </w:r>
      <w:r w:rsidRPr="00D37AC5">
        <w:tab/>
        <w:t>Europaparlamentet betonar att kommissionen, i syfte att förebygga korruption och undvika misshushållning, bör se till att det finns tydliga övervaknings- och utvärderingsmekanismer för att tillhandahålla effektiv ansvarsskyldighet och transparens i genomförandet av EU:s budget, även när det gäller att ta itu med kopplingen mellan utveckling och de bakomliggande orsakerna till migration.</w:t>
      </w:r>
    </w:p>
    <w:p w:rsidR="00436578" w:rsidRPr="00D37AC5" w:rsidP="00436578" w14:paraId="46FA3D29" w14:textId="77777777">
      <w:pPr>
        <w:pStyle w:val="NormalHanging12a"/>
      </w:pPr>
      <w:r w:rsidRPr="00D37AC5">
        <w:t>7.</w:t>
      </w:r>
      <w:r w:rsidRPr="00D37AC5">
        <w:tab/>
        <w:t>Europaparlamentet uppmanar kommissionen och medlemsstaterna att stärka den politiska dialogen med tredjeländer, att stärka och utveckla övergripande och ömsesidigt fördelaktiga strategier för varje enskilt land som tar hänsyn till ursprungs- och transitländernas specifika sammanhang och utvecklings- och migrationsbehov, särskilt när det gäller mänsklig utveckling, anständigt arbete, social inkludering och skydd av migranter, flyktingar och internflyktingar. Parlamentet betonar att ett sådant samarbete bör bygga på solidaritet, delat ansvar och respekt för de mänskliga rättigheterna.</w:t>
      </w:r>
    </w:p>
    <w:p w:rsidR="00436578" w:rsidRPr="00D37AC5" w:rsidP="00436578" w14:paraId="090930E1" w14:textId="77777777">
      <w:pPr>
        <w:pStyle w:val="NormalHanging12a"/>
      </w:pPr>
      <w:r w:rsidRPr="00D37AC5">
        <w:t>8.</w:t>
      </w:r>
      <w:r w:rsidRPr="00D37AC5">
        <w:tab/>
        <w:t xml:space="preserve">Europaparlamentet betonar att det behövs en tydlig förståelse av var och hur migranter bosätter sig och vad detta får för lokala effekter. Parlamentet uppmanar kommissionen och medlemsstaterna att utveckla en strategi som belyser behovet av ett lokalt </w:t>
      </w:r>
      <w:r w:rsidRPr="00D37AC5">
        <w:t>perspektiv, för att stärka det lokala egenansvaret och bygga vidare på befintliga regionala prioriteringar, särskilt genom att stödja intrakontinentala migrationssystem.</w:t>
      </w:r>
    </w:p>
    <w:p w:rsidR="00436578" w:rsidRPr="00D37AC5" w:rsidP="00436578" w14:paraId="40A4D931" w14:textId="77777777">
      <w:pPr>
        <w:pStyle w:val="NormalHanging12a"/>
      </w:pPr>
      <w:r w:rsidRPr="00D37AC5">
        <w:t>9.</w:t>
      </w:r>
      <w:r w:rsidRPr="00D37AC5">
        <w:tab/>
        <w:t>Europaparlamentet uppmanar kommissionen att prioritera instabila geografiska sammanhang genom att även ta hänsyn till migrationsspecifika uppgifter och forskningsbaserad information för att bättre identifiera partnerländernas behov och inrikta sina prioriteringar, bland annat när det gäller irreguljär migration och tvångsförflyttning.</w:t>
      </w:r>
    </w:p>
    <w:p w:rsidR="00436578" w:rsidRPr="00D37AC5" w:rsidP="00436578" w14:paraId="0F2D0226" w14:textId="77777777">
      <w:pPr>
        <w:pStyle w:val="NormalHanging12a"/>
      </w:pPr>
      <w:r w:rsidRPr="00D37AC5">
        <w:t>10.</w:t>
      </w:r>
      <w:r w:rsidRPr="00D37AC5">
        <w:tab/>
        <w:t xml:space="preserve">Europaparlamentet understryker att Global </w:t>
      </w:r>
      <w:r w:rsidRPr="00D37AC5">
        <w:t>Gateway</w:t>
      </w:r>
      <w:r w:rsidRPr="00D37AC5">
        <w:t xml:space="preserve"> kan spela en nyckelroll för att främja hållbar ekonomisk utveckling och skapande av arbetstillfällen i partnerländer, och därigenom ge lokalsamhällen egenmakt och göra det möjligt för enskilda personer att aktivt bidra till utvecklingen i både sina ursprungsländer och värdsamhällen, och på så sätt ta itu med de bakomliggande orsakerna till irreguljär migration.</w:t>
      </w:r>
    </w:p>
    <w:p w:rsidR="00436578" w:rsidRPr="00D37AC5" w:rsidP="00436578" w14:paraId="4CB81B02" w14:textId="77777777">
      <w:pPr>
        <w:pStyle w:val="NormalHanging12a"/>
      </w:pPr>
      <w:r w:rsidRPr="00D37AC5">
        <w:t>11.</w:t>
      </w:r>
      <w:r w:rsidRPr="00D37AC5">
        <w:tab/>
        <w:t xml:space="preserve">Europaparlamentet understryker behovet av att säkerställa större involvering av den privata sektorn, för att diversifiera och genomföra lagliga vägar, erkänna kompetens, engagera EU-utvecklingsbanker och utveckla innovativa strategier för att kombinera medel inom ramen för Team </w:t>
      </w:r>
      <w:r w:rsidRPr="00D37AC5">
        <w:t>Europe</w:t>
      </w:r>
      <w:r w:rsidRPr="00D37AC5">
        <w:t xml:space="preserve"> och samtidigt bidra till Global </w:t>
      </w:r>
      <w:r w:rsidRPr="00D37AC5">
        <w:t>Gateway</w:t>
      </w:r>
      <w:r w:rsidRPr="00D37AC5">
        <w:t>. Parlamentet uppmuntrar den europeiska privata sektorn att delta i utvecklingsprojekt i partnerländer och garantera stöd för en säker och transparent investeringsram för att få små och medelstora företag att delta och för skapande av lokala produktionskedjor.</w:t>
      </w:r>
    </w:p>
    <w:p w:rsidR="00436578" w:rsidRPr="00D37AC5" w:rsidP="00436578" w14:paraId="4DF10633" w14:textId="77777777">
      <w:pPr>
        <w:pStyle w:val="NormalHanging12a"/>
      </w:pPr>
      <w:r w:rsidRPr="00D37AC5">
        <w:t>12.</w:t>
      </w:r>
      <w:r w:rsidRPr="00D37AC5">
        <w:tab/>
        <w:t xml:space="preserve">Europaparlamentet understryker att vattenbrist, miljö- och markförstöring, avskogning och andra klimatrelaterade katastrofer är faktorer som ligger bakom migrationsströmmarna, inbegripet tvångsförflyttningar. Parlamentet betonar att personer som fördrivits på grund av miljöförstöring och klimatrelaterade katastrofer behöver lämpligt stöd. Parlamentet uppmanar kommissionen och medlemsstaterna att prioritera investeringar i hållbar förvaltning av naturresurser, inbegripet bevarande av vatten och mark, återbeskogning, </w:t>
      </w:r>
      <w:r w:rsidRPr="00D37AC5">
        <w:t>klimatresilient</w:t>
      </w:r>
      <w:r w:rsidRPr="00D37AC5">
        <w:t xml:space="preserve"> jordbruk och förnybar energi inom utvecklingsprogram, för att stärka den sociala sammanhållningen och samhällens </w:t>
      </w:r>
      <w:r w:rsidRPr="00D37AC5">
        <w:t>resiliens</w:t>
      </w:r>
      <w:r w:rsidRPr="00D37AC5">
        <w:t>, förhindra spänningar när det gäller naturresurser och öka människors möjligheter att bygga upp hållbara liv i sina ursprungsländer.</w:t>
      </w:r>
    </w:p>
    <w:p w:rsidR="00436578" w:rsidRPr="00D37AC5" w:rsidP="00436578" w14:paraId="3287B0A3" w14:textId="77777777">
      <w:pPr>
        <w:pStyle w:val="NormalHanging12a"/>
      </w:pPr>
      <w:r w:rsidRPr="00D37AC5">
        <w:t>13.</w:t>
      </w:r>
      <w:r w:rsidRPr="00D37AC5">
        <w:tab/>
        <w:t>Europaparlamentet betonar att EU måste anamma en helhetssyn, med fokus på den lokala nivån, med målet att tillhandahålla utvecklingsbistånd för att bidra till strukturell utveckling genom stöd till demokrati, rättsstatsprincipen, den regelbaserade ordningen och institutioner, i syfte att uppnå hållbara effekter.</w:t>
      </w:r>
    </w:p>
    <w:p w:rsidR="00436578" w:rsidRPr="00D37AC5" w:rsidP="00436578" w14:paraId="1A903C74" w14:textId="77777777">
      <w:pPr>
        <w:pStyle w:val="NormalHanging12a"/>
      </w:pPr>
      <w:r w:rsidRPr="00D37AC5">
        <w:t>14.</w:t>
      </w:r>
      <w:r w:rsidRPr="00D37AC5">
        <w:tab/>
        <w:t>Europaparlamentet understryker vikten av att genomföra utvecklingsprogram i nära samarbete med lokala myndigheter, det civila samhället och den privata sektorn.</w:t>
      </w:r>
    </w:p>
    <w:p w:rsidR="00436578" w:rsidRPr="00D37AC5" w:rsidP="00436578" w14:paraId="2A6BDC73" w14:textId="77777777">
      <w:pPr>
        <w:pStyle w:val="NormalHanging12a"/>
      </w:pPr>
      <w:r w:rsidRPr="00D37AC5">
        <w:t>15.</w:t>
      </w:r>
      <w:r w:rsidRPr="00D37AC5">
        <w:tab/>
        <w:t xml:space="preserve">Europaparlamentet betonar behovet av att bekämpa människosmuggling och människohandel genom förstärkt internationellt och multilateralt samarbete med partnerländer, inbegripet, när så är lämpligt, med lokala myndigheter, säkerhetsstyrkor och organisationer i det civila samhället, om förebyggande av brottslighet, skydd av offer, förbättrad brottsbekämpning, kampanjer för att öka allmänhetens medvetenhet för att motverka desinformation, lagföring av förövare och förebyggande av kriminella nätverks och migrantsmugglares utnyttjande av migranter, samt genom att tillhandahålla säkrare alternativ genom att skapa lagliga kanaler för säker och reguljär migration och arbetskraftens rörlighet. Parlamentet understryker att strikta gränskontroller utan </w:t>
      </w:r>
      <w:r w:rsidRPr="00D37AC5">
        <w:t>alternativa lagliga migrationsvägar bara flyttar rutterna och gör att det uppstår andra resvägar och nya transitländer, vilket ökar otryggheten under resan och migranternas exponering för smugglingsnätverk, utpressning och våld.</w:t>
      </w:r>
    </w:p>
    <w:p w:rsidR="00436578" w:rsidRPr="00D37AC5" w:rsidP="00436578" w14:paraId="06F4E4FF" w14:textId="77777777">
      <w:pPr>
        <w:pStyle w:val="NormalHanging12a"/>
      </w:pPr>
      <w:r w:rsidRPr="00D37AC5">
        <w:t>16.</w:t>
      </w:r>
      <w:r w:rsidRPr="00D37AC5">
        <w:tab/>
        <w:t>Europaparlamentet uppmanar kommissionen och medlemsstaterna att främja samarbete med partnerländer om migration.</w:t>
      </w:r>
    </w:p>
    <w:p w:rsidR="00436578" w:rsidRPr="00D37AC5" w:rsidP="00436578" w14:paraId="7C01CD78" w14:textId="77777777">
      <w:pPr>
        <w:pStyle w:val="NormalHanging12a"/>
      </w:pPr>
      <w:r w:rsidRPr="00D37AC5">
        <w:t>17.</w:t>
      </w:r>
      <w:r w:rsidRPr="00D37AC5">
        <w:tab/>
        <w:t>Europaparlamentet påminner om att humanitärt bistånd alltid bör tillhandahållas i enlighet med humanitära principer.</w:t>
      </w:r>
    </w:p>
    <w:p w:rsidR="00436578" w:rsidRPr="00D37AC5" w:rsidP="00436578" w14:paraId="6C3475B1" w14:textId="77777777">
      <w:pPr>
        <w:pStyle w:val="NormalHanging12a"/>
      </w:pPr>
      <w:r w:rsidRPr="00D37AC5">
        <w:t>18.</w:t>
      </w:r>
      <w:r w:rsidRPr="00D37AC5">
        <w:tab/>
        <w:t>Europaparlamentet uppmanar kommissionen att ytterligare stödja ursprungsländerna och de angränsande värdländerna i hanteringen av de ökade interkontinentala migrationsströmmarna.</w:t>
      </w:r>
    </w:p>
    <w:p w:rsidR="002A4441" w:rsidRPr="00D37AC5" w:rsidP="00436578" w14:paraId="0FD45156" w14:textId="503121BD">
      <w:pPr>
        <w:pStyle w:val="NormalHanging12a"/>
        <w:rPr>
          <w:bCs/>
          <w:iCs/>
        </w:rPr>
      </w:pPr>
      <w:r w:rsidRPr="00D37AC5">
        <w:rPr>
          <w:bCs/>
          <w:iCs/>
        </w:rPr>
        <w:t>19.</w:t>
      </w:r>
      <w:r w:rsidRPr="00D37AC5">
        <w:rPr>
          <w:bCs/>
          <w:iCs/>
        </w:rPr>
        <w:tab/>
        <w:t xml:space="preserve">Europaparlamentet uppmanar kommissionen och medlemsstaterna att stärka sin kapacitet att förebygga och reagera på </w:t>
      </w:r>
      <w:r w:rsidRPr="00D37AC5">
        <w:rPr>
          <w:bCs/>
          <w:iCs/>
        </w:rPr>
        <w:t>instrumentaliseringen</w:t>
      </w:r>
      <w:r w:rsidRPr="00D37AC5">
        <w:rPr>
          <w:bCs/>
          <w:iCs/>
        </w:rPr>
        <w:t xml:space="preserve"> av migranter. Parlamentet betonar behovet av ökat samarbete med partnerländer och relevanta organ för att upptäcka, förebygga och motverka sådana åtgärder.</w:t>
      </w:r>
    </w:p>
    <w:p w:rsidR="00436578" w:rsidRPr="00D37AC5" w:rsidP="00436578" w14:paraId="3394064E" w14:textId="7B1728DC">
      <w:pPr>
        <w:pStyle w:val="NormalHanging12a"/>
      </w:pPr>
      <w:r w:rsidRPr="00D37AC5">
        <w:t>20</w:t>
      </w:r>
      <w:r w:rsidRPr="00D37AC5">
        <w:t>.</w:t>
      </w:r>
      <w:r w:rsidRPr="00D37AC5">
        <w:tab/>
        <w:t>Europaparlamentet understryker att offentlig utvecklingsfinansiering är avgörande för partnerländerna och att privata investeringar kan bidra till att uppnå målen för EU:s utvecklingspolitik, och noterar att investeringsgarantier från EU uppmuntrar företag att göra investeringar, förutsatt att noggrann tillbörlig aktsamhet genomförs för att säkerställa efterlevnad av sociala, miljömässiga och styrningsrelaterade standarder samt anpassning till målen för hållbar utveckling. Parlamentet påminner om att uppnåendet av målen för hållbar utveckling är avgörande för att förbättra försörjningsmöjligheterna i tredjeländer.</w:t>
      </w:r>
    </w:p>
    <w:p w:rsidR="00436578" w:rsidRPr="00D37AC5" w:rsidP="00436578" w14:paraId="50C2B3AE" w14:textId="42876826">
      <w:pPr>
        <w:pStyle w:val="NormalHanging12a"/>
      </w:pPr>
      <w:r w:rsidRPr="00D37AC5">
        <w:t>21</w:t>
      </w:r>
      <w:r w:rsidRPr="00D37AC5">
        <w:t>.</w:t>
      </w:r>
      <w:r w:rsidRPr="00D37AC5">
        <w:tab/>
        <w:t>Europaparlamentet begär att EU:s finansieringsinstrument och Europeiska fonden för hållbar utveckling plus och Europeiska investeringsbanken ska syfta till att generera lokal ekonomisk avkastning i syfte att stärka det ekonomiska oberoendet och den långsiktiga hållbarheten.</w:t>
      </w:r>
    </w:p>
    <w:p w:rsidR="00436578" w:rsidRPr="00D37AC5" w:rsidP="00436578" w14:paraId="5873EFC7" w14:textId="5FB346C1">
      <w:pPr>
        <w:pStyle w:val="NormalHanging12a"/>
      </w:pPr>
      <w:r w:rsidRPr="00D37AC5">
        <w:t>22</w:t>
      </w:r>
      <w:r w:rsidRPr="00D37AC5">
        <w:t>.</w:t>
      </w:r>
      <w:r w:rsidRPr="00D37AC5">
        <w:tab/>
        <w:t>Europaparlamentet påminner om att offentligt utvecklingsbistånd förblir ett viktigt verktyg för att minska fattigdomen och ta itu med ojämlikheter och stödja de mest utsatta befolkningsgrupperna. Parlamentet kritiserar starkt de kraftiga sänkningar av det offentliga utvecklingsbiståndet som har gjorts av ledande globala biståndsgivare. Parlamentet uppmanar EU och dess medlemsstater att respektera sitt åtagande att använda 0,7 % av bruttonationalinkomsten till offentligt utvecklingsbistånd.</w:t>
      </w:r>
    </w:p>
    <w:p w:rsidR="00436578" w:rsidRPr="00D37AC5" w:rsidP="00436578" w14:paraId="72C28FC3" w14:textId="7BAE48DB">
      <w:pPr>
        <w:pStyle w:val="NormalHanging12a"/>
      </w:pPr>
      <w:r w:rsidRPr="00D37AC5">
        <w:t>23</w:t>
      </w:r>
      <w:r w:rsidRPr="00D37AC5">
        <w:t>.</w:t>
      </w:r>
      <w:r w:rsidRPr="00D37AC5">
        <w:tab/>
        <w:t>Europaparlamentet uppmanar kommissionen att säkerställa större ansvarsskyldighet, transparens och parlamentarisk tillsyn i utformningen och genomförandet av all EU-finansiering, inbegripet det kommande instrumentet Europa i världen, som måste prioritera genomförandet av målen för hållbar utveckling, även när det gäller att ta itu med utmaningar i samband med irreguljär migration.</w:t>
      </w:r>
    </w:p>
    <w:p w:rsidR="00436578" w:rsidRPr="00D37AC5" w:rsidP="00436578" w14:paraId="2D123051" w14:textId="682DE53A">
      <w:pPr>
        <w:pStyle w:val="NormalHanging12a"/>
      </w:pPr>
      <w:r w:rsidRPr="00D37AC5">
        <w:t>24</w:t>
      </w:r>
      <w:r w:rsidRPr="00D37AC5">
        <w:t>.</w:t>
      </w:r>
      <w:r w:rsidRPr="00D37AC5">
        <w:tab/>
        <w:t xml:space="preserve">Europaparlamentet betonar att jordbruk och landsbygdsutveckling, tillsammans med livsmedels- och näringspolitik, kan bidra till hanteringen av några av migrationens bakomliggande orsaker. Parlamentet påminner om att tillgång till mark och naturresurser är avgörande för att säkerställa livsmedels- och näringstryggheten i lokalsamhällena, förbättra småbrukarnas produktivitet och samtidigt anpassa </w:t>
      </w:r>
      <w:r w:rsidRPr="00D37AC5">
        <w:t>produktionen till klimatförändringarna och främja genomförandet av FN:s livsmedels- och jordbruksorganisations frivilliga riktlinjer för markinnehav, som prioriterar rättigheterna och behoven för legitima innehavare av markrättigheter, särskilt kvinnor.</w:t>
      </w:r>
    </w:p>
    <w:p w:rsidR="00436578" w:rsidRPr="00D37AC5" w:rsidP="00436578" w14:paraId="2DD44C4C" w14:textId="43BFE306">
      <w:pPr>
        <w:pStyle w:val="NormalHanging12a"/>
      </w:pPr>
      <w:r w:rsidRPr="00D37AC5">
        <w:t>25</w:t>
      </w:r>
      <w:r w:rsidRPr="00D37AC5">
        <w:t>.</w:t>
      </w:r>
      <w:r w:rsidRPr="00D37AC5">
        <w:tab/>
        <w:t>Europaparlamentet uppmanar kommissionen att öka stödet till högre utbildningsanstalter och teknisk utbildning och yrkesutbildning i partnerländerna som en del av sin utvecklingsstrategi och som ett sätt att ta itu med de bakomliggande orsakerna till migration. Parlamentet understryker vikten av att stärka mänsklig utveckling genom att investera i kompetens lokalt. Parlamentet uppmanar kommissionen att bistå partnerländerna i kapacitetsuppbyggnaden i detta avseende. Parlamentet efterlyser dessutom ökat stöd till ungdomsledda initiativ för att stärka kompetens, innovation och utbyte och utnyttja migration som en drivkraft för hållbar utveckling.</w:t>
      </w:r>
    </w:p>
    <w:p w:rsidR="00436578" w:rsidRPr="00D37AC5" w:rsidP="00436578" w14:paraId="447FD447" w14:textId="337527CF">
      <w:pPr>
        <w:pStyle w:val="NormalHanging12a"/>
      </w:pPr>
      <w:r w:rsidRPr="00D37AC5">
        <w:t>26</w:t>
      </w:r>
      <w:r w:rsidRPr="00D37AC5">
        <w:t>.</w:t>
      </w:r>
      <w:r w:rsidRPr="00D37AC5">
        <w:tab/>
        <w:t xml:space="preserve">Europaparlamentet uppmanar kommissionen att ytterligare undersöka EU:s talangpartnerskap med fler tredjeländer, särskilt sådana som har höga utvandringsnivåer. </w:t>
      </w:r>
    </w:p>
    <w:p w:rsidR="00436578" w:rsidRPr="00D37AC5" w:rsidP="00436578" w14:paraId="76FF8B5F" w14:textId="308506BE">
      <w:pPr>
        <w:pStyle w:val="NormalHanging12a"/>
      </w:pPr>
      <w:r w:rsidRPr="00D37AC5">
        <w:t>27</w:t>
      </w:r>
      <w:r w:rsidRPr="00D37AC5">
        <w:t>.</w:t>
      </w:r>
      <w:r w:rsidRPr="00D37AC5">
        <w:tab/>
        <w:t>Europaparlamentet betonar att ekonomisk egenmakt och skapande av anständiga arbetstillfällen är huvudverktyg för att minska ojämlikheten och att dessa förbättrar försörjningsmöjligheterna i ursprungsländerna och därmed begränsar orsakerna till irreguljär migration. Parlamentet efterlyser EU-finansiering för att även stödja lokalt företagande och offentlig infrastruktur.</w:t>
      </w:r>
    </w:p>
    <w:p w:rsidR="00436578" w:rsidRPr="00D37AC5" w:rsidP="00436578" w14:paraId="4492A4B6" w14:textId="7A6078FE">
      <w:pPr>
        <w:pStyle w:val="NormalHanging12a"/>
      </w:pPr>
      <w:r w:rsidRPr="00D37AC5">
        <w:t>28</w:t>
      </w:r>
      <w:r w:rsidRPr="00D37AC5">
        <w:t>.</w:t>
      </w:r>
      <w:r w:rsidRPr="00D37AC5">
        <w:tab/>
        <w:t>Europaparlamentet betonar att ungdomar måste stå i centrum för partnerskap och är avgörande för en hållbar utveckling. Parlamentet understryker betydelsen av att stödja utbytesprogram som Erasmus+ och andra program för ungdomars rörlighet och kompetens för att tillhandahålla utbildning, anställningsmöjligheter och ge ungdomar möjlighet att utvecklas i sina ursprungsländer.</w:t>
      </w:r>
    </w:p>
    <w:p w:rsidR="00436578" w:rsidRPr="00D37AC5" w:rsidP="00436578" w14:paraId="48C5B4DB" w14:textId="620E9D89">
      <w:pPr>
        <w:pStyle w:val="NormalHanging12a"/>
      </w:pPr>
      <w:r w:rsidRPr="00D37AC5">
        <w:t>29</w:t>
      </w:r>
      <w:r w:rsidRPr="00D37AC5">
        <w:t>.</w:t>
      </w:r>
      <w:r w:rsidRPr="00D37AC5">
        <w:tab/>
        <w:t>Europaparlamentet uppmanar kommissionen att inkludera jordbruk och vattenförvaltning bland sina prioriteringar för samarbete, genom att främja projekt som förbättrar självförsörjningen och minskar migrationstrycket.</w:t>
      </w:r>
    </w:p>
    <w:p w:rsidR="00436578" w:rsidRPr="00D37AC5" w:rsidP="00436578" w14:paraId="63B80E1F" w14:textId="65BE74F2">
      <w:pPr>
        <w:pStyle w:val="NormalHanging12a"/>
      </w:pPr>
      <w:r w:rsidRPr="00D37AC5">
        <w:t>30</w:t>
      </w:r>
      <w:r w:rsidRPr="00D37AC5">
        <w:t>.</w:t>
      </w:r>
      <w:r w:rsidRPr="00D37AC5">
        <w:tab/>
        <w:t>Europaparlamentet konstaterar att migration och kompetensflykt kan utgöra utmaningar för ett lands utveckling genom att minska tillgången till kvalificerad arbetskraft. Parlamentet påminner om att utvecklingssamarbete kan minska denna risk genom övergripande strategier som stöder utbildningssystem av hög kvalitet, stärker lokala sysselsättningsmöjligheter och främjar kunskaps- och kompetensöverföring. Parlamentet uppmanar därför kommissionen att fortsätta sitt arbete på detta område, bland annat genom att ta itu med frågan om kompetensflykt genom den utvecklingspolitiska ramen och finansieringen.</w:t>
      </w:r>
    </w:p>
    <w:p w:rsidR="00436578" w:rsidRPr="00D37AC5" w:rsidP="00436578" w14:paraId="2702AFED" w14:textId="5699627F">
      <w:pPr>
        <w:pStyle w:val="NormalHanging12a"/>
      </w:pPr>
      <w:r w:rsidRPr="00D37AC5">
        <w:t>31</w:t>
      </w:r>
      <w:r w:rsidRPr="00D37AC5">
        <w:t>.</w:t>
      </w:r>
      <w:r w:rsidRPr="00D37AC5">
        <w:tab/>
        <w:t>Europaparlamentet erkänner den avgörande roll som diasporagrupper spelar för att främja hållbar utveckling, investeringar och innovation i sina ursprungsländer. Parlamentet betonar att egenmakt åt diasporanätverk skapar ömsesidiga fördelar för både partnerländer och EU. Parlamentet uppmanar EU och dess medlemsstater att förbättra samarbetet med diasporaorganisationer och utveckla inkluderande program som bidrar till ömsesidigt gynnsamma former av cirkulär migration.</w:t>
      </w:r>
    </w:p>
    <w:p w:rsidR="00436578" w:rsidRPr="00D37AC5" w:rsidP="00436578" w14:paraId="2D23E9D2" w14:textId="55648245">
      <w:pPr>
        <w:pStyle w:val="NormalHanging12a"/>
      </w:pPr>
      <w:r w:rsidRPr="00D37AC5">
        <w:t>32</w:t>
      </w:r>
      <w:r w:rsidRPr="00D37AC5">
        <w:t>.</w:t>
      </w:r>
      <w:r w:rsidRPr="00D37AC5">
        <w:tab/>
        <w:t>Europaparlamentet uppmanar kommissionen och medlemsstaterna att investera i medvetandehöjande kampanjer både inom EU och i tredjeländer för att bekämpa desinformation och sprida information om riskerna med irreguljär migration och främja förståelse av EU:s regler om skyldigheter avseende arbetskraftsmigration.</w:t>
      </w:r>
    </w:p>
    <w:p w:rsidR="00436578" w:rsidRPr="00D37AC5" w:rsidP="00436578" w14:paraId="55CDE525" w14:textId="0BE66CA2">
      <w:pPr>
        <w:pStyle w:val="NormalHanging12a"/>
      </w:pPr>
      <w:r w:rsidRPr="00D37AC5">
        <w:t>33</w:t>
      </w:r>
      <w:r w:rsidRPr="00D37AC5">
        <w:t>.</w:t>
      </w:r>
      <w:r w:rsidRPr="00D37AC5">
        <w:tab/>
        <w:t>Europaparlamentet uppmanar kommissionen och medlemsstaterna att öka finansieringen för förbättring av rättsstatsprincipen, demokratistöd, stats- och kapacitetsuppbyggnad, offentliga tjänster inbegripet hälso- och sjukvård, tillgång till rent vatten och utbildning.</w:t>
      </w:r>
    </w:p>
    <w:p w:rsidR="00436578" w:rsidRPr="00D37AC5" w:rsidP="00436578" w14:paraId="56DC9DB2" w14:textId="21E234FB">
      <w:pPr>
        <w:pStyle w:val="NormalHanging12a"/>
      </w:pPr>
      <w:r w:rsidRPr="00D37AC5">
        <w:t>34</w:t>
      </w:r>
      <w:r w:rsidRPr="00D37AC5">
        <w:t>.</w:t>
      </w:r>
      <w:r w:rsidRPr="00D37AC5">
        <w:tab/>
        <w:t>Europaparlamentet bekräftar att en helhetssyn som kombinerar utvecklingssamarbete och migrationshantering är avgörande för att säkerställa säkerhet och solidaritet på ett ändamålsenligt sätt både inom EU och i ursprungs- och transitländerna.</w:t>
      </w:r>
    </w:p>
    <w:p w:rsidR="00436578" w:rsidRPr="00D37AC5" w:rsidP="00436578" w14:paraId="689AAD06" w14:textId="7E174883">
      <w:pPr>
        <w:pStyle w:val="NormalHanging12a"/>
      </w:pPr>
      <w:r w:rsidRPr="00D37AC5">
        <w:t>35</w:t>
      </w:r>
      <w:r w:rsidRPr="00D37AC5">
        <w:t>.</w:t>
      </w:r>
      <w:r w:rsidRPr="00D37AC5">
        <w:tab/>
        <w:t>Europaparlamentet välkomnar det viktiga arbete som utförs av humanitära aktörer, utvecklings- och fredsaktörer, särskilt FN-organisationer, andra internationella organisationer och lokala aktörer, inbegripet lokala myndigheter, organisationer i det civila samhället, människorättsförsvarare, kvinnoorganisationer, ungdomsorganisationer, icke-statliga organisationer och trosbaserade samfund och organisationer.</w:t>
      </w:r>
    </w:p>
    <w:p w:rsidR="00436578" w:rsidRPr="00D37AC5" w:rsidP="00436578" w14:paraId="10ECA695" w14:textId="77777777">
      <w:pPr>
        <w:pStyle w:val="NormalCenter12a"/>
      </w:pPr>
      <w:r w:rsidRPr="00D37AC5">
        <w:t>°</w:t>
      </w:r>
    </w:p>
    <w:p w:rsidR="00436578" w:rsidRPr="00D37AC5" w:rsidP="00436578" w14:paraId="61BF6F14" w14:textId="77777777">
      <w:pPr>
        <w:pStyle w:val="NormalCenter12a"/>
      </w:pPr>
      <w:r w:rsidRPr="00D37AC5">
        <w:t>°</w:t>
      </w:r>
      <w:r w:rsidRPr="00D37AC5">
        <w:tab/>
        <w:t>°</w:t>
      </w:r>
    </w:p>
    <w:p w:rsidR="00977356" w:rsidRPr="00D37AC5" w:rsidP="00977356" w14:paraId="08154103" w14:textId="5E45C6CB">
      <w:pPr>
        <w:pStyle w:val="NormalHanging12a"/>
      </w:pPr>
      <w:r w:rsidRPr="00D37AC5">
        <w:t>36</w:t>
      </w:r>
      <w:r w:rsidRPr="00D37AC5" w:rsidR="00436578">
        <w:t>.</w:t>
      </w:r>
      <w:r w:rsidRPr="00D37AC5" w:rsidR="00436578">
        <w:tab/>
        <w:t>Europaparlamentet uppdrar åt talmannen att översända denna resolution till rådet, kommissionen och Europeiska utrikestjänsten.</w:t>
      </w:r>
    </w:p>
    <w:sectPr w:rsidSect="00977356">
      <w:headerReference w:type="even" r:id="rId7"/>
      <w:headerReference w:type="default" r:id="rId8"/>
      <w:footerReference w:type="even" r:id="rId9"/>
      <w:footerReference w:type="default" r:id="rId10"/>
      <w:headerReference w:type="first" r:id="rId11"/>
      <w:footerReference w:type="first" r:id="rId12"/>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977356" w14:paraId="2152F992"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977356" w14:paraId="4C2158EF"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977356" w14:paraId="51263417"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F20B78" w:rsidRPr="00977356" w14:paraId="461DEF46" w14:textId="77777777">
      <w:r w:rsidRPr="00977356">
        <w:separator/>
      </w:r>
    </w:p>
  </w:footnote>
  <w:footnote w:type="continuationSeparator" w:id="1">
    <w:p w:rsidR="00F20B78" w:rsidRPr="00977356" w14:paraId="60D9F176" w14:textId="77777777">
      <w:r w:rsidRPr="00977356">
        <w:continuationSeparator/>
      </w:r>
    </w:p>
  </w:footnote>
  <w:footnote w:id="2">
    <w:p w:rsidR="00E34F53" w:rsidRPr="00E34F53" w:rsidP="00977356" w14:paraId="1D3D0F93" w14:textId="22404DC9">
      <w:pPr>
        <w:pStyle w:val="FootnoteText"/>
        <w:ind w:left="567" w:hanging="567"/>
        <w:rPr>
          <w:sz w:val="24"/>
          <w:lang w:val="fi-FI"/>
        </w:rPr>
      </w:pPr>
      <w:r>
        <w:rPr>
          <w:rStyle w:val="FootnoteReference"/>
        </w:rPr>
        <w:footnoteRef/>
      </w:r>
      <w:r w:rsidRPr="00E34F53">
        <w:rPr>
          <w:sz w:val="24"/>
          <w:lang w:val="fi-FI"/>
        </w:rPr>
        <w:t xml:space="preserve"> </w:t>
      </w:r>
      <w:r w:rsidRPr="00E34F53">
        <w:rPr>
          <w:sz w:val="24"/>
          <w:lang w:val="fi-FI"/>
        </w:rPr>
        <w:tab/>
        <w:t xml:space="preserve">EUT L 209, 14.6.2021, s. 1, ELI: </w:t>
      </w:r>
      <w:hyperlink r:id="rId1" w:tgtFrame="http://data.europa.eu/eli/reg/2021/947/oj" w:history="1">
        <w:r w:rsidRPr="00E34F53">
          <w:rPr>
            <w:rStyle w:val="Hyperlink"/>
            <w:sz w:val="24"/>
            <w:lang w:val="fi-FI"/>
          </w:rPr>
          <w:t>http://data.europa.eu/eli/reg/2021/947/oj</w:t>
        </w:r>
      </w:hyperlink>
      <w:r w:rsidRPr="00E34F53">
        <w:rPr>
          <w:sz w:val="24"/>
          <w:lang w:val="fi-FI"/>
        </w:rPr>
        <w:t>.</w:t>
      </w:r>
    </w:p>
  </w:footnote>
  <w:footnote w:id="3">
    <w:p w:rsidR="00E34F53" w:rsidRPr="00E34F53" w:rsidP="00977356" w14:paraId="5BE255B0" w14:textId="5DBF8509">
      <w:pPr>
        <w:pStyle w:val="FootnoteText"/>
        <w:ind w:left="567" w:hanging="567"/>
        <w:rPr>
          <w:sz w:val="24"/>
          <w:lang w:val="fi-FI"/>
        </w:rPr>
      </w:pPr>
      <w:r>
        <w:rPr>
          <w:rStyle w:val="FootnoteReference"/>
        </w:rPr>
        <w:footnoteRef/>
      </w:r>
      <w:r w:rsidRPr="00E34F53">
        <w:rPr>
          <w:sz w:val="24"/>
          <w:lang w:val="fi-FI"/>
        </w:rPr>
        <w:t xml:space="preserve"> </w:t>
      </w:r>
      <w:r w:rsidRPr="00E34F53">
        <w:rPr>
          <w:sz w:val="24"/>
          <w:lang w:val="fi-FI"/>
        </w:rPr>
        <w:tab/>
        <w:t xml:space="preserve">EUT L, 2024/1351, 22.5.2024, ELI: </w:t>
      </w:r>
      <w:hyperlink r:id="rId2" w:tgtFrame="http://data.europa.eu/eli/reg/2024/1351/oj" w:history="1">
        <w:r w:rsidRPr="00E34F53">
          <w:rPr>
            <w:rStyle w:val="Hyperlink"/>
            <w:sz w:val="24"/>
            <w:lang w:val="fi-FI"/>
          </w:rPr>
          <w:t>http://data.europa.eu/eli/reg/2024/1351/oj</w:t>
        </w:r>
      </w:hyperlink>
      <w:r w:rsidRPr="00E34F53">
        <w:rPr>
          <w:sz w:val="24"/>
          <w:lang w:val="fi-FI"/>
        </w:rPr>
        <w:t>.</w:t>
      </w:r>
    </w:p>
  </w:footnote>
  <w:footnote w:id="4">
    <w:p w:rsidR="00E34F53" w:rsidRPr="00E34F53" w:rsidP="00977356" w14:paraId="12A44EF8" w14:textId="165BC676">
      <w:pPr>
        <w:pStyle w:val="FootnoteText"/>
        <w:ind w:left="567" w:hanging="567"/>
        <w:rPr>
          <w:sz w:val="24"/>
          <w:lang w:val="fi-FI"/>
        </w:rPr>
      </w:pPr>
      <w:r>
        <w:rPr>
          <w:rStyle w:val="FootnoteReference"/>
        </w:rPr>
        <w:footnoteRef/>
      </w:r>
      <w:r w:rsidRPr="00E34F53">
        <w:rPr>
          <w:sz w:val="24"/>
          <w:lang w:val="fi-FI"/>
        </w:rPr>
        <w:t xml:space="preserve"> </w:t>
      </w:r>
      <w:r w:rsidRPr="00E34F53">
        <w:rPr>
          <w:sz w:val="24"/>
          <w:lang w:val="fi-FI"/>
        </w:rPr>
        <w:tab/>
        <w:t xml:space="preserve">EUT L, 2023/2862, 28.12.2023, ELI: </w:t>
      </w:r>
      <w:hyperlink r:id="rId3" w:tgtFrame="http://data.europa.eu/eli/agree_internation/2023/2862/oj" w:history="1">
        <w:r w:rsidRPr="00E34F53">
          <w:rPr>
            <w:rStyle w:val="Hyperlink"/>
            <w:sz w:val="24"/>
            <w:lang w:val="fi-FI"/>
          </w:rPr>
          <w:t>http://data.europa.eu/eli/agree_internation/2023/2862/oj</w:t>
        </w:r>
      </w:hyperlink>
      <w:r w:rsidRPr="00E34F53">
        <w:rPr>
          <w:sz w:val="24"/>
          <w:lang w:val="fi-FI"/>
        </w:rPr>
        <w:t>.</w:t>
      </w:r>
    </w:p>
  </w:footnote>
  <w:footnote w:id="5">
    <w:p w:rsidR="00E34F53" w:rsidRPr="00E34F53" w:rsidP="00977356" w14:paraId="5853E741" w14:textId="0F3B36B1">
      <w:pPr>
        <w:pStyle w:val="FootnoteText"/>
        <w:ind w:left="567" w:hanging="567"/>
        <w:rPr>
          <w:sz w:val="24"/>
          <w:lang w:val="fi-FI"/>
        </w:rPr>
      </w:pPr>
      <w:r>
        <w:rPr>
          <w:rStyle w:val="FootnoteReference"/>
        </w:rPr>
        <w:footnoteRef/>
      </w:r>
      <w:r w:rsidRPr="00E34F53">
        <w:rPr>
          <w:sz w:val="24"/>
          <w:lang w:val="fi-FI"/>
        </w:rPr>
        <w:t xml:space="preserve"> </w:t>
      </w:r>
      <w:r w:rsidRPr="00E34F53">
        <w:rPr>
          <w:sz w:val="24"/>
          <w:lang w:val="fi-FI"/>
        </w:rPr>
        <w:tab/>
        <w:t xml:space="preserve">EUT C, C/2026/576, 24.2.2026, ELI: </w:t>
      </w:r>
      <w:hyperlink r:id="rId4" w:tgtFrame="http://data.europa.eu/eli/C/2026/576/oj" w:history="1">
        <w:r w:rsidRPr="00E34F53">
          <w:rPr>
            <w:rStyle w:val="Hyperlink"/>
            <w:sz w:val="24"/>
            <w:lang w:val="fi-FI"/>
          </w:rPr>
          <w:t>http://data.europa.eu/eli/C/2026/576/oj</w:t>
        </w:r>
      </w:hyperlink>
      <w:r w:rsidRPr="00E34F53">
        <w:rPr>
          <w:sz w:val="24"/>
          <w:lang w:val="fi-FI"/>
        </w:rPr>
        <w:t>.</w:t>
      </w:r>
    </w:p>
  </w:footnote>
  <w:footnote w:id="6">
    <w:p w:rsidR="00E34F53" w:rsidRPr="00977356" w:rsidP="00977356" w14:paraId="472736B1" w14:textId="1F2D6C5A">
      <w:pPr>
        <w:pStyle w:val="FootnoteText"/>
        <w:ind w:left="567" w:hanging="567"/>
        <w:rPr>
          <w:sz w:val="24"/>
          <w:lang w:val="sv-SE"/>
        </w:rPr>
      </w:pPr>
      <w:r>
        <w:rPr>
          <w:rStyle w:val="FootnoteReference"/>
        </w:rPr>
        <w:footnoteRef/>
      </w:r>
      <w:r w:rsidRPr="00977356">
        <w:rPr>
          <w:sz w:val="24"/>
          <w:lang w:val="sv-SE"/>
        </w:rPr>
        <w:t xml:space="preserve"> </w:t>
      </w:r>
      <w:r w:rsidRPr="00977356">
        <w:rPr>
          <w:sz w:val="24"/>
          <w:lang w:val="sv-SE"/>
        </w:rPr>
        <w:tab/>
      </w:r>
      <w:r w:rsidRPr="00977356">
        <w:rPr>
          <w:sz w:val="24"/>
          <w:lang w:val="sv-SE"/>
        </w:rPr>
        <w:t>Talleraas</w:t>
      </w:r>
      <w:r w:rsidRPr="00977356">
        <w:rPr>
          <w:sz w:val="24"/>
          <w:lang w:val="sv-SE"/>
        </w:rPr>
        <w:t xml:space="preserve">, C., ”The </w:t>
      </w:r>
      <w:r w:rsidRPr="00977356">
        <w:rPr>
          <w:sz w:val="24"/>
          <w:lang w:val="sv-SE"/>
        </w:rPr>
        <w:t>role</w:t>
      </w:r>
      <w:r w:rsidRPr="00977356">
        <w:rPr>
          <w:sz w:val="24"/>
          <w:lang w:val="sv-SE"/>
        </w:rPr>
        <w:t xml:space="preserve"> </w:t>
      </w:r>
      <w:r w:rsidRPr="00977356">
        <w:rPr>
          <w:sz w:val="24"/>
          <w:lang w:val="sv-SE"/>
        </w:rPr>
        <w:t>of</w:t>
      </w:r>
      <w:r w:rsidRPr="00977356">
        <w:rPr>
          <w:sz w:val="24"/>
          <w:lang w:val="sv-SE"/>
        </w:rPr>
        <w:t xml:space="preserve"> EU </w:t>
      </w:r>
      <w:r w:rsidRPr="00977356">
        <w:rPr>
          <w:sz w:val="24"/>
          <w:lang w:val="sv-SE"/>
        </w:rPr>
        <w:t>development</w:t>
      </w:r>
      <w:r w:rsidRPr="00977356">
        <w:rPr>
          <w:sz w:val="24"/>
          <w:lang w:val="sv-SE"/>
        </w:rPr>
        <w:t xml:space="preserve"> </w:t>
      </w:r>
      <w:r w:rsidRPr="00977356">
        <w:rPr>
          <w:sz w:val="24"/>
          <w:lang w:val="sv-SE"/>
        </w:rPr>
        <w:t>cooperation</w:t>
      </w:r>
      <w:r w:rsidRPr="00977356">
        <w:rPr>
          <w:sz w:val="24"/>
          <w:lang w:val="sv-SE"/>
        </w:rPr>
        <w:t xml:space="preserve"> in </w:t>
      </w:r>
      <w:r w:rsidRPr="00977356">
        <w:rPr>
          <w:sz w:val="24"/>
          <w:lang w:val="sv-SE"/>
        </w:rPr>
        <w:t>addressing</w:t>
      </w:r>
      <w:r w:rsidRPr="00977356">
        <w:rPr>
          <w:sz w:val="24"/>
          <w:lang w:val="sv-SE"/>
        </w:rPr>
        <w:t xml:space="preserve"> </w:t>
      </w:r>
      <w:r w:rsidRPr="00977356">
        <w:rPr>
          <w:sz w:val="24"/>
          <w:lang w:val="sv-SE"/>
        </w:rPr>
        <w:t>irregular</w:t>
      </w:r>
      <w:r w:rsidRPr="00977356">
        <w:rPr>
          <w:sz w:val="24"/>
          <w:lang w:val="sv-SE"/>
        </w:rPr>
        <w:t xml:space="preserve"> migration in </w:t>
      </w:r>
      <w:r w:rsidRPr="00977356">
        <w:rPr>
          <w:sz w:val="24"/>
          <w:lang w:val="sv-SE"/>
        </w:rPr>
        <w:t>Africa</w:t>
      </w:r>
      <w:r w:rsidRPr="00977356">
        <w:rPr>
          <w:sz w:val="24"/>
          <w:lang w:val="sv-SE"/>
        </w:rPr>
        <w:t>”, enheten för analys av och stöd till extern politik, Generaldirektoratet för unionens externa politik, oktober 2025.</w:t>
      </w:r>
    </w:p>
  </w:footnote>
  <w:footnote w:id="7">
    <w:p w:rsidR="00E34F53" w:rsidRPr="00977356" w:rsidP="00977356" w14:paraId="1DA47BCD" w14:textId="5CBFD806">
      <w:pPr>
        <w:pStyle w:val="FootnoteText"/>
        <w:ind w:left="567" w:hanging="567"/>
        <w:rPr>
          <w:sz w:val="24"/>
          <w:lang w:val="sv-SE"/>
        </w:rPr>
      </w:pPr>
      <w:r>
        <w:rPr>
          <w:rStyle w:val="FootnoteReference"/>
        </w:rPr>
        <w:footnoteRef/>
      </w:r>
      <w:r w:rsidRPr="00977356">
        <w:rPr>
          <w:sz w:val="24"/>
          <w:lang w:val="sv-SE"/>
        </w:rPr>
        <w:t xml:space="preserve"> </w:t>
      </w:r>
      <w:r w:rsidRPr="00977356">
        <w:rPr>
          <w:sz w:val="24"/>
          <w:lang w:val="sv-SE"/>
        </w:rPr>
        <w:tab/>
        <w:t>EUT C 494, 8.12.2021, s. 80.</w:t>
      </w:r>
    </w:p>
  </w:footnote>
  <w:footnote w:id="8">
    <w:p w:rsidR="00E34F53" w:rsidRPr="005A53F4" w:rsidP="00977356" w14:paraId="757F5268" w14:textId="634381E7">
      <w:pPr>
        <w:pStyle w:val="FootnoteText"/>
        <w:ind w:left="567" w:hanging="567"/>
        <w:rPr>
          <w:sz w:val="24"/>
          <w:lang w:val="sv-SE"/>
        </w:rPr>
      </w:pPr>
      <w:r>
        <w:rPr>
          <w:rStyle w:val="FootnoteReference"/>
        </w:rPr>
        <w:footnoteRef/>
      </w:r>
      <w:r w:rsidRPr="005A53F4">
        <w:rPr>
          <w:sz w:val="24"/>
          <w:lang w:val="sv-SE"/>
        </w:rPr>
        <w:t xml:space="preserve"> </w:t>
      </w:r>
      <w:r w:rsidRPr="005A53F4">
        <w:rPr>
          <w:sz w:val="24"/>
          <w:lang w:val="sv-SE"/>
        </w:rPr>
        <w:tab/>
        <w:t xml:space="preserve">Essentials </w:t>
      </w:r>
      <w:r w:rsidRPr="005A53F4">
        <w:rPr>
          <w:sz w:val="24"/>
          <w:lang w:val="sv-SE"/>
        </w:rPr>
        <w:t>of</w:t>
      </w:r>
      <w:r w:rsidRPr="005A53F4">
        <w:rPr>
          <w:sz w:val="24"/>
          <w:lang w:val="sv-SE"/>
        </w:rPr>
        <w:t xml:space="preserve"> Migration Management, ”Drivers </w:t>
      </w:r>
      <w:r w:rsidRPr="005A53F4">
        <w:rPr>
          <w:sz w:val="24"/>
          <w:lang w:val="sv-SE"/>
        </w:rPr>
        <w:t>of</w:t>
      </w:r>
      <w:r w:rsidRPr="005A53F4">
        <w:rPr>
          <w:sz w:val="24"/>
          <w:lang w:val="sv-SE"/>
        </w:rPr>
        <w:t xml:space="preserve"> international migration”, </w:t>
      </w:r>
      <w:hyperlink r:id="rId5" w:tgtFrame="https://emm.iom.int/handbooks/global-context-international-migration/drivers-international-migration" w:history="1">
        <w:r w:rsidRPr="005A53F4">
          <w:rPr>
            <w:rStyle w:val="Hyperlink"/>
            <w:sz w:val="24"/>
            <w:lang w:val="sv-SE"/>
          </w:rPr>
          <w:t>https://emm.iom.int/handbooks/global-context-international-migration/drivers-international-migration</w:t>
        </w:r>
      </w:hyperlink>
      <w:r w:rsidRPr="005A53F4">
        <w:rPr>
          <w:sz w:val="24"/>
          <w:lang w:val="sv-SE"/>
        </w:rPr>
        <w:t>.</w:t>
      </w:r>
    </w:p>
  </w:footnote>
  <w:footnote w:id="9">
    <w:p w:rsidR="00E34F53" w:rsidRPr="00E34F53" w:rsidP="00977356" w14:paraId="5EA3377B" w14:textId="42538AAF">
      <w:pPr>
        <w:pStyle w:val="FootnoteText"/>
        <w:ind w:left="567" w:hanging="567"/>
        <w:rPr>
          <w:sz w:val="24"/>
          <w:lang w:val="en-GB"/>
        </w:rPr>
      </w:pPr>
      <w:r>
        <w:rPr>
          <w:rStyle w:val="FootnoteReference"/>
        </w:rPr>
        <w:footnoteRef/>
      </w:r>
      <w:r w:rsidRPr="00E34F53">
        <w:rPr>
          <w:sz w:val="24"/>
          <w:lang w:val="en-GB"/>
        </w:rPr>
        <w:t xml:space="preserve"> </w:t>
      </w:r>
      <w:r w:rsidRPr="00E34F53">
        <w:rPr>
          <w:sz w:val="24"/>
          <w:lang w:val="en-GB"/>
        </w:rPr>
        <w:tab/>
      </w:r>
      <w:r w:rsidRPr="00E34F53">
        <w:rPr>
          <w:sz w:val="24"/>
          <w:lang w:val="en-GB"/>
        </w:rPr>
        <w:t>Europeiska</w:t>
      </w:r>
      <w:r w:rsidRPr="00E34F53">
        <w:rPr>
          <w:sz w:val="24"/>
          <w:lang w:val="en-GB"/>
        </w:rPr>
        <w:t xml:space="preserve"> </w:t>
      </w:r>
      <w:r w:rsidRPr="00E34F53">
        <w:rPr>
          <w:sz w:val="24"/>
          <w:lang w:val="en-GB"/>
        </w:rPr>
        <w:t>unionens</w:t>
      </w:r>
      <w:r w:rsidRPr="00E34F53">
        <w:rPr>
          <w:sz w:val="24"/>
          <w:lang w:val="en-GB"/>
        </w:rPr>
        <w:t xml:space="preserve"> </w:t>
      </w:r>
      <w:r w:rsidRPr="00E34F53">
        <w:rPr>
          <w:sz w:val="24"/>
          <w:lang w:val="en-GB"/>
        </w:rPr>
        <w:t>asylbyrå</w:t>
      </w:r>
      <w:r w:rsidRPr="00E34F53">
        <w:rPr>
          <w:sz w:val="24"/>
          <w:lang w:val="en-GB"/>
        </w:rPr>
        <w:t xml:space="preserve">, ”3.4. Data on applications for international protection”, </w:t>
      </w:r>
      <w:hyperlink r:id="rId6" w:tgtFrame="https://euaa.europa.eu/asylum-report-2025/34-data-applications-international-protection" w:history="1">
        <w:r w:rsidRPr="00E34F53">
          <w:rPr>
            <w:rStyle w:val="Hyperlink"/>
            <w:sz w:val="24"/>
            <w:lang w:val="en-GB"/>
          </w:rPr>
          <w:t>https://euaa.europa.eu/asylum-report-2025/34-data-applications-international-protection</w:t>
        </w:r>
      </w:hyperlink>
      <w:r w:rsidRPr="00E34F53">
        <w:rPr>
          <w:sz w:val="24"/>
          <w:lang w:val="en-GB"/>
        </w:rPr>
        <w:t>.</w:t>
      </w:r>
    </w:p>
  </w:footnote>
  <w:footnote w:id="10">
    <w:p w:rsidR="00E34F53" w:rsidRPr="00E34F53" w:rsidP="00977356" w14:paraId="753D67C6" w14:textId="3F07BCC6">
      <w:pPr>
        <w:pStyle w:val="FootnoteText"/>
        <w:ind w:left="567" w:hanging="567"/>
        <w:rPr>
          <w:sz w:val="24"/>
          <w:lang w:val="en-GB"/>
        </w:rPr>
      </w:pPr>
      <w:r>
        <w:rPr>
          <w:rStyle w:val="FootnoteReference"/>
        </w:rPr>
        <w:footnoteRef/>
      </w:r>
      <w:r w:rsidRPr="00E34F53">
        <w:rPr>
          <w:sz w:val="24"/>
          <w:lang w:val="en-GB"/>
        </w:rPr>
        <w:t xml:space="preserve"> </w:t>
      </w:r>
      <w:r w:rsidRPr="00E34F53">
        <w:rPr>
          <w:sz w:val="24"/>
          <w:lang w:val="en-GB"/>
        </w:rPr>
        <w:tab/>
      </w:r>
      <w:hyperlink r:id="rId7" w:tgtFrame="https://www.frontex.europa.eu/media-centre/news/news-release/frontex-irregular-border-crossings-down-26-in-2025-europe-must-stay-prepared-lyKpVb" w:history="1">
        <w:r w:rsidRPr="00E34F53">
          <w:rPr>
            <w:rStyle w:val="Hyperlink"/>
            <w:sz w:val="24"/>
            <w:lang w:val="en-GB"/>
          </w:rPr>
          <w:t>https://www.frontex.europa.eu/media-centre/news/news-release/frontex-irregular-border-crossings-down-26-in-2025-europe-must-stay-prepared-lyKpVb</w:t>
        </w:r>
      </w:hyperlink>
      <w:r w:rsidRPr="00E34F53">
        <w:rPr>
          <w:sz w:val="24"/>
          <w:lang w:val="en-GB"/>
        </w:rPr>
        <w:t>.</w:t>
      </w:r>
    </w:p>
  </w:footnote>
  <w:footnote w:id="11">
    <w:p w:rsidR="00E34F53" w:rsidRPr="00E34F53" w:rsidP="00977356" w14:paraId="10A1B2C1" w14:textId="4C942579">
      <w:pPr>
        <w:pStyle w:val="FootnoteText"/>
        <w:ind w:left="567" w:hanging="567"/>
        <w:rPr>
          <w:sz w:val="24"/>
          <w:lang w:val="en-GB"/>
        </w:rPr>
      </w:pPr>
      <w:r>
        <w:rPr>
          <w:rStyle w:val="FootnoteReference"/>
        </w:rPr>
        <w:footnoteRef/>
      </w:r>
      <w:r w:rsidRPr="00977356">
        <w:rPr>
          <w:sz w:val="24"/>
          <w:lang w:val="sv-SE"/>
        </w:rPr>
        <w:t xml:space="preserve"> </w:t>
      </w:r>
      <w:r w:rsidRPr="00977356">
        <w:rPr>
          <w:sz w:val="24"/>
          <w:lang w:val="sv-SE"/>
        </w:rPr>
        <w:tab/>
        <w:t xml:space="preserve">Inkluderar inte asylsökande och flyktingar från Ukraina som åtnjuter tillfällig skydd i vissa medlemsstater. </w:t>
      </w:r>
      <w:r w:rsidRPr="00E34F53">
        <w:rPr>
          <w:sz w:val="24"/>
          <w:lang w:val="en-GB"/>
        </w:rPr>
        <w:t xml:space="preserve">Eurostat, ‘Migration to and from the EU’, </w:t>
      </w:r>
      <w:hyperlink r:id="rId8" w:tgtFrame="https://ec.europa.eu/eurostat/statistics-explained/index.php?title=Migration_to_and_from_the_EU" w:history="1">
        <w:r w:rsidRPr="00E34F53">
          <w:rPr>
            <w:rStyle w:val="Hyperlink"/>
            <w:sz w:val="24"/>
            <w:lang w:val="en-GB"/>
          </w:rPr>
          <w:t>https://ec.europa.eu/eurostat/statistics-explained/index.php?title=Migration_to_and_from_the_EU</w:t>
        </w:r>
      </w:hyperlink>
      <w:r w:rsidRPr="00E34F53">
        <w:rPr>
          <w:sz w:val="24"/>
          <w:lang w:val="en-GB"/>
        </w:rPr>
        <w:t>.</w:t>
      </w:r>
    </w:p>
  </w:footnote>
  <w:footnote w:id="12">
    <w:p w:rsidR="00E34F53" w:rsidRPr="00E34F53" w:rsidP="00977356" w14:paraId="61689250" w14:textId="3378C5AB">
      <w:pPr>
        <w:pStyle w:val="FootnoteText"/>
        <w:ind w:left="567" w:hanging="567"/>
        <w:rPr>
          <w:sz w:val="24"/>
          <w:lang w:val="en-GB"/>
        </w:rPr>
      </w:pPr>
      <w:r>
        <w:rPr>
          <w:rStyle w:val="FootnoteReference"/>
        </w:rPr>
        <w:footnoteRef/>
      </w:r>
      <w:r w:rsidRPr="00E34F53">
        <w:rPr>
          <w:sz w:val="24"/>
          <w:lang w:val="en-GB"/>
        </w:rPr>
        <w:t xml:space="preserve"> </w:t>
      </w:r>
      <w:r w:rsidRPr="00E34F53">
        <w:rPr>
          <w:sz w:val="24"/>
          <w:lang w:val="en-GB"/>
        </w:rPr>
        <w:tab/>
        <w:t xml:space="preserve">Eurostat, Migration and asylum in Europe – 2025 edition, irregular migration and return, </w:t>
      </w:r>
      <w:hyperlink r:id="rId9" w:anchor="irregular-migration-and-return" w:tgtFrame="https://ec.europa.eu/eurostat/web/interactive-publications/migration-2025#irregular-migration-and-return" w:history="1">
        <w:r w:rsidRPr="00E34F53">
          <w:rPr>
            <w:rStyle w:val="Hyperlink"/>
            <w:sz w:val="24"/>
            <w:lang w:val="en-GB"/>
          </w:rPr>
          <w:t>https://ec.europa.eu/eurostat/web/interactive-publications/migration-2025#irregular-migration-and-return</w:t>
        </w:r>
      </w:hyperlink>
      <w:r w:rsidRPr="00E34F53">
        <w:rPr>
          <w:sz w:val="24"/>
          <w:lang w:val="en-GB"/>
        </w:rPr>
        <w:t>.</w:t>
      </w:r>
    </w:p>
  </w:footnote>
  <w:footnote w:id="13">
    <w:p w:rsidR="00E34F53" w:rsidRPr="00E34F53" w:rsidP="00977356" w14:paraId="01A2F6B0" w14:textId="0C49152F">
      <w:pPr>
        <w:pStyle w:val="FootnoteText"/>
        <w:ind w:left="567" w:hanging="567"/>
        <w:rPr>
          <w:sz w:val="24"/>
          <w:lang w:val="en-GB"/>
        </w:rPr>
      </w:pPr>
      <w:r>
        <w:rPr>
          <w:rStyle w:val="FootnoteReference"/>
        </w:rPr>
        <w:footnoteRef/>
      </w:r>
      <w:r w:rsidRPr="00E34F53">
        <w:rPr>
          <w:sz w:val="24"/>
          <w:lang w:val="en-GB"/>
        </w:rPr>
        <w:t xml:space="preserve"> </w:t>
      </w:r>
      <w:r w:rsidRPr="00E34F53">
        <w:rPr>
          <w:sz w:val="24"/>
          <w:lang w:val="en-GB"/>
        </w:rPr>
        <w:tab/>
        <w:t xml:space="preserve">Eurostat, Migration and asylum in Europe – 2025 edition, Orders to leave and returns, </w:t>
      </w:r>
      <w:hyperlink r:id="rId9" w:anchor="orders-to-leave-and-returns-of-non-eu-citizens" w:tgtFrame="https://ec.europa.eu/eurostat/web/interactive-publications/migration-2025#orders-to-leave-and-returns-of-non-eu-citizens" w:history="1">
        <w:r w:rsidRPr="00E34F53">
          <w:rPr>
            <w:rStyle w:val="Hyperlink"/>
            <w:sz w:val="24"/>
            <w:lang w:val="en-GB"/>
          </w:rPr>
          <w:t>https://ec.europa.eu/eurostat/web/interactive-publications/migration-2025#orders-to-leave-and-returns-of-non-eu-citizens</w:t>
        </w:r>
      </w:hyperlink>
      <w:r w:rsidRPr="00E34F53">
        <w:rPr>
          <w:sz w:val="24"/>
          <w:lang w:val="en-GB"/>
        </w:rPr>
        <w:t>.</w:t>
      </w:r>
    </w:p>
  </w:footnote>
  <w:footnote w:id="14">
    <w:p w:rsidR="00E34F53" w:rsidRPr="00E34F53" w:rsidP="00977356" w14:paraId="6432C7CE" w14:textId="0EA42D57">
      <w:pPr>
        <w:pStyle w:val="FootnoteText"/>
        <w:ind w:left="567" w:hanging="567"/>
        <w:rPr>
          <w:sz w:val="24"/>
          <w:lang w:val="en-GB"/>
        </w:rPr>
      </w:pPr>
      <w:r>
        <w:rPr>
          <w:rStyle w:val="FootnoteReference"/>
        </w:rPr>
        <w:footnoteRef/>
      </w:r>
      <w:r w:rsidRPr="00E34F53">
        <w:rPr>
          <w:sz w:val="24"/>
          <w:lang w:val="en-GB"/>
        </w:rPr>
        <w:t xml:space="preserve"> </w:t>
      </w:r>
      <w:r w:rsidRPr="00E34F53">
        <w:rPr>
          <w:sz w:val="24"/>
          <w:lang w:val="en-GB"/>
        </w:rPr>
        <w:tab/>
      </w:r>
      <w:hyperlink r:id="rId10" w:tgtFrame="https://www.unhcr.org/about-unhcr/overview/figures-glance" w:history="1">
        <w:r w:rsidRPr="00E34F53">
          <w:rPr>
            <w:rStyle w:val="Hyperlink"/>
            <w:sz w:val="24"/>
            <w:lang w:val="en-GB"/>
          </w:rPr>
          <w:t>https://www.unhcr.org/about-unhcr/overview/figures-glance</w:t>
        </w:r>
      </w:hyperlink>
      <w:r w:rsidRPr="00E34F53">
        <w:rPr>
          <w:sz w:val="24"/>
          <w:lang w:val="en-GB"/>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977356" w14:paraId="2894D011"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977356" w14:paraId="208A67A6"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977356" w14:paraId="42B7541A"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9013435">
    <w:abstractNumId w:val="9"/>
  </w:num>
  <w:num w:numId="2" w16cid:durableId="1423528044">
    <w:abstractNumId w:val="9"/>
  </w:num>
  <w:num w:numId="3" w16cid:durableId="234510531">
    <w:abstractNumId w:val="7"/>
  </w:num>
  <w:num w:numId="4" w16cid:durableId="1420785518">
    <w:abstractNumId w:val="7"/>
  </w:num>
  <w:num w:numId="5" w16cid:durableId="1717967502">
    <w:abstractNumId w:val="6"/>
  </w:num>
  <w:num w:numId="6" w16cid:durableId="1595481010">
    <w:abstractNumId w:val="6"/>
  </w:num>
  <w:num w:numId="7" w16cid:durableId="656418213">
    <w:abstractNumId w:val="5"/>
  </w:num>
  <w:num w:numId="8" w16cid:durableId="1981423449">
    <w:abstractNumId w:val="5"/>
  </w:num>
  <w:num w:numId="9" w16cid:durableId="342322875">
    <w:abstractNumId w:val="4"/>
  </w:num>
  <w:num w:numId="10" w16cid:durableId="927422643">
    <w:abstractNumId w:val="4"/>
  </w:num>
  <w:num w:numId="11" w16cid:durableId="26952477">
    <w:abstractNumId w:val="8"/>
  </w:num>
  <w:num w:numId="12" w16cid:durableId="795101476">
    <w:abstractNumId w:val="8"/>
  </w:num>
  <w:num w:numId="13" w16cid:durableId="349533043">
    <w:abstractNumId w:val="3"/>
  </w:num>
  <w:num w:numId="14" w16cid:durableId="1779761315">
    <w:abstractNumId w:val="3"/>
  </w:num>
  <w:num w:numId="15" w16cid:durableId="2051151280">
    <w:abstractNumId w:val="2"/>
  </w:num>
  <w:num w:numId="16" w16cid:durableId="1466849638">
    <w:abstractNumId w:val="2"/>
  </w:num>
  <w:num w:numId="17" w16cid:durableId="334386965">
    <w:abstractNumId w:val="1"/>
  </w:num>
  <w:num w:numId="18" w16cid:durableId="1410539390">
    <w:abstractNumId w:val="1"/>
  </w:num>
  <w:num w:numId="19" w16cid:durableId="948856308">
    <w:abstractNumId w:val="0"/>
  </w:num>
  <w:num w:numId="20" w16cid:durableId="12070712">
    <w:abstractNumId w:val="0"/>
  </w:num>
  <w:num w:numId="21" w16cid:durableId="1392460350">
    <w:abstractNumId w:val="9"/>
  </w:num>
  <w:num w:numId="22" w16cid:durableId="2135901195">
    <w:abstractNumId w:val="7"/>
  </w:num>
  <w:num w:numId="23" w16cid:durableId="1621299450">
    <w:abstractNumId w:val="6"/>
  </w:num>
  <w:num w:numId="24" w16cid:durableId="1962685552">
    <w:abstractNumId w:val="5"/>
  </w:num>
  <w:num w:numId="25" w16cid:durableId="197548549">
    <w:abstractNumId w:val="4"/>
  </w:num>
  <w:num w:numId="26" w16cid:durableId="1686785222">
    <w:abstractNumId w:val="8"/>
  </w:num>
  <w:num w:numId="27" w16cid:durableId="2112847256">
    <w:abstractNumId w:val="3"/>
  </w:num>
  <w:num w:numId="28" w16cid:durableId="657807383">
    <w:abstractNumId w:val="2"/>
  </w:num>
  <w:num w:numId="29" w16cid:durableId="1756316293">
    <w:abstractNumId w:val="1"/>
  </w:num>
  <w:num w:numId="30" w16cid:durableId="959337169">
    <w:abstractNumId w:val="0"/>
  </w:num>
  <w:num w:numId="31" w16cid:durableId="1135178773">
    <w:abstractNumId w:val="9"/>
  </w:num>
  <w:num w:numId="32" w16cid:durableId="875652961">
    <w:abstractNumId w:val="7"/>
  </w:num>
  <w:num w:numId="33" w16cid:durableId="526480686">
    <w:abstractNumId w:val="6"/>
  </w:num>
  <w:num w:numId="34" w16cid:durableId="1095705738">
    <w:abstractNumId w:val="5"/>
  </w:num>
  <w:num w:numId="35" w16cid:durableId="1476801963">
    <w:abstractNumId w:val="4"/>
  </w:num>
  <w:num w:numId="36" w16cid:durableId="780035430">
    <w:abstractNumId w:val="8"/>
  </w:num>
  <w:num w:numId="37" w16cid:durableId="1706784878">
    <w:abstractNumId w:val="3"/>
  </w:num>
  <w:num w:numId="38" w16cid:durableId="515195447">
    <w:abstractNumId w:val="2"/>
  </w:num>
  <w:num w:numId="39" w16cid:durableId="1079642060">
    <w:abstractNumId w:val="1"/>
  </w:num>
  <w:num w:numId="40" w16cid:durableId="1408843234">
    <w:abstractNumId w:val="0"/>
  </w:num>
  <w:num w:numId="41" w16cid:durableId="302470186">
    <w:abstractNumId w:val="10"/>
  </w:num>
  <w:num w:numId="42" w16cid:durableId="1639528999">
    <w:abstractNumId w:val="10"/>
  </w:num>
  <w:num w:numId="43" w16cid:durableId="1387605651">
    <w:abstractNumId w:val="10"/>
  </w:num>
  <w:num w:numId="44" w16cid:durableId="147737863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0B78"/>
    <w:rsid w:val="000012AE"/>
    <w:rsid w:val="00002272"/>
    <w:rsid w:val="00064002"/>
    <w:rsid w:val="000677B9"/>
    <w:rsid w:val="000831BA"/>
    <w:rsid w:val="000A42CC"/>
    <w:rsid w:val="000E7DD9"/>
    <w:rsid w:val="0010095E"/>
    <w:rsid w:val="00125B37"/>
    <w:rsid w:val="00187494"/>
    <w:rsid w:val="001F32AE"/>
    <w:rsid w:val="0026488B"/>
    <w:rsid w:val="002767FF"/>
    <w:rsid w:val="002A4441"/>
    <w:rsid w:val="002B18FE"/>
    <w:rsid w:val="002B5493"/>
    <w:rsid w:val="0033409D"/>
    <w:rsid w:val="00343214"/>
    <w:rsid w:val="00361C00"/>
    <w:rsid w:val="00395FA1"/>
    <w:rsid w:val="003E15D4"/>
    <w:rsid w:val="00411CCE"/>
    <w:rsid w:val="0041666E"/>
    <w:rsid w:val="00421060"/>
    <w:rsid w:val="00436578"/>
    <w:rsid w:val="00471C19"/>
    <w:rsid w:val="004867E3"/>
    <w:rsid w:val="00494A28"/>
    <w:rsid w:val="004B035A"/>
    <w:rsid w:val="004C0004"/>
    <w:rsid w:val="004C5D52"/>
    <w:rsid w:val="0050519A"/>
    <w:rsid w:val="005072A1"/>
    <w:rsid w:val="00514517"/>
    <w:rsid w:val="00545827"/>
    <w:rsid w:val="00560270"/>
    <w:rsid w:val="005A53F4"/>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77356"/>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22245"/>
    <w:rsid w:val="00D37AC5"/>
    <w:rsid w:val="00D56C11"/>
    <w:rsid w:val="00D834A0"/>
    <w:rsid w:val="00D872DF"/>
    <w:rsid w:val="00D91E21"/>
    <w:rsid w:val="00DA7FCD"/>
    <w:rsid w:val="00DD244A"/>
    <w:rsid w:val="00E34F53"/>
    <w:rsid w:val="00E365E1"/>
    <w:rsid w:val="00E820A4"/>
    <w:rsid w:val="00EB006A"/>
    <w:rsid w:val="00EB4772"/>
    <w:rsid w:val="00ED169E"/>
    <w:rsid w:val="00ED4235"/>
    <w:rsid w:val="00F04346"/>
    <w:rsid w:val="00F075DC"/>
    <w:rsid w:val="00F149E9"/>
    <w:rsid w:val="00F20B78"/>
    <w:rsid w:val="00F5134D"/>
    <w:rsid w:val="00F74202"/>
    <w:rsid w:val="00F87713"/>
    <w:rsid w:val="00FB4360"/>
    <w:rsid w:val="00FD0C70"/>
  </w:rsids>
  <w:docVars>
    <w:docVar w:name="dvdocse" w:val="A10-0147/2026"/>
    <w:docVar w:name="dvlangue" w:val="SV"/>
    <w:docVar w:name="dvnumam" w:val="0"/>
    <w:docVar w:name="dvpe" w:val="776.883"/>
    <w:docVar w:name="dvrapporteur" w:val="Föredragande: "/>
    <w:docVar w:name="dvtitre" w:val="Europaparlamentets resolution av den xx xx 2026 om stärkt utvecklingssamarbete för att ta itu med irreguljära migrationsrörelser och deras bakomliggande orsaker i partnerländer(2025/2111(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03E7CA67"/>
  <w15:chartTrackingRefBased/>
  <w15:docId w15:val="{79D2051F-9C75-4696-87FB-B4B852535A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PageHeading">
    <w:name w:val="PageHeading"/>
    <w:basedOn w:val="Normal"/>
    <w:rsid w:val="00436578"/>
    <w:pPr>
      <w:keepNext/>
      <w:widowControl/>
      <w:spacing w:after="480"/>
      <w:jc w:val="center"/>
    </w:pPr>
    <w:rPr>
      <w:rFonts w:ascii="Arial" w:eastAsia="Arial" w:hAnsi="Arial" w:cs="Arial"/>
      <w:b/>
      <w:szCs w:val="24"/>
      <w:lang w:eastAsia="en-US"/>
    </w:rPr>
  </w:style>
  <w:style w:type="paragraph" w:customStyle="1" w:styleId="NormalBold">
    <w:name w:val="NormalBold"/>
    <w:basedOn w:val="Normal"/>
    <w:rsid w:val="00436578"/>
    <w:pPr>
      <w:widowControl/>
    </w:pPr>
    <w:rPr>
      <w:b/>
      <w:szCs w:val="24"/>
      <w:lang w:eastAsia="en-US"/>
    </w:rPr>
  </w:style>
  <w:style w:type="paragraph" w:customStyle="1" w:styleId="Normal12a">
    <w:name w:val="Normal12a"/>
    <w:basedOn w:val="Normal"/>
    <w:rsid w:val="00436578"/>
    <w:pPr>
      <w:widowControl/>
      <w:spacing w:after="240"/>
    </w:pPr>
    <w:rPr>
      <w:szCs w:val="24"/>
      <w:lang w:eastAsia="en-US"/>
    </w:rPr>
  </w:style>
  <w:style w:type="paragraph" w:customStyle="1" w:styleId="NormalHanging12a">
    <w:name w:val="NormalHanging12a"/>
    <w:basedOn w:val="Normal"/>
    <w:rsid w:val="00436578"/>
    <w:pPr>
      <w:widowControl/>
      <w:spacing w:after="240"/>
      <w:ind w:left="566" w:hanging="566"/>
    </w:pPr>
    <w:rPr>
      <w:szCs w:val="24"/>
      <w:lang w:eastAsia="en-US"/>
    </w:rPr>
  </w:style>
  <w:style w:type="paragraph" w:customStyle="1" w:styleId="Normal12">
    <w:name w:val="Normal12"/>
    <w:basedOn w:val="Normal"/>
    <w:rsid w:val="00436578"/>
    <w:pPr>
      <w:spacing w:after="240"/>
    </w:pPr>
    <w:rPr>
      <w:szCs w:val="24"/>
      <w:lang w:eastAsia="en-US"/>
    </w:rPr>
  </w:style>
  <w:style w:type="paragraph" w:customStyle="1" w:styleId="NormalHanging">
    <w:name w:val="NormalHanging"/>
    <w:basedOn w:val="Normal"/>
    <w:rsid w:val="00436578"/>
    <w:pPr>
      <w:spacing w:after="240"/>
      <w:ind w:left="566" w:hanging="566"/>
    </w:pPr>
    <w:rPr>
      <w:szCs w:val="24"/>
      <w:lang w:eastAsia="en-US"/>
    </w:rPr>
  </w:style>
  <w:style w:type="paragraph" w:customStyle="1" w:styleId="NormalBold12a">
    <w:name w:val="NormalBold12a"/>
    <w:basedOn w:val="Normal"/>
    <w:rsid w:val="00436578"/>
    <w:pPr>
      <w:widowControl/>
      <w:spacing w:after="240"/>
    </w:pPr>
    <w:rPr>
      <w:b/>
      <w:szCs w:val="24"/>
      <w:lang w:eastAsia="en-US"/>
    </w:rPr>
  </w:style>
  <w:style w:type="paragraph" w:customStyle="1" w:styleId="NormalCenter12a">
    <w:name w:val="NormalCenter12a"/>
    <w:basedOn w:val="Normal"/>
    <w:rsid w:val="00436578"/>
    <w:pPr>
      <w:widowControl/>
      <w:spacing w:after="240"/>
      <w:jc w:val="center"/>
    </w:pPr>
    <w:rPr>
      <w:szCs w:val="24"/>
      <w:lang w:eastAsia="en-US"/>
    </w:rPr>
  </w:style>
  <w:style w:type="character" w:styleId="Hyperlink">
    <w:name w:val="Hyperlink"/>
    <w:basedOn w:val="DefaultParagraphFont"/>
    <w:rsid w:val="00436578"/>
    <w:rPr>
      <w:color w:val="0000FF"/>
      <w:u w:val="single"/>
    </w:rPr>
  </w:style>
  <w:style w:type="paragraph" w:styleId="Revision">
    <w:name w:val="Revision"/>
    <w:hidden/>
    <w:uiPriority w:val="99"/>
    <w:semiHidden/>
    <w:rsid w:val="002A4441"/>
    <w:rPr>
      <w:sz w:val="24"/>
      <w:lang w:val="sv-SE"/>
    </w:rPr>
  </w:style>
  <w:style w:type="character" w:styleId="CommentReference">
    <w:name w:val="annotation reference"/>
    <w:basedOn w:val="DefaultParagraphFont"/>
    <w:rsid w:val="002A4441"/>
    <w:rPr>
      <w:sz w:val="16"/>
      <w:szCs w:val="16"/>
    </w:rPr>
  </w:style>
  <w:style w:type="paragraph" w:styleId="CommentText">
    <w:name w:val="annotation text"/>
    <w:basedOn w:val="Normal"/>
    <w:link w:val="CommentTextChar"/>
    <w:rsid w:val="002A4441"/>
    <w:rPr>
      <w:sz w:val="20"/>
    </w:rPr>
  </w:style>
  <w:style w:type="character" w:customStyle="1" w:styleId="CommentTextChar">
    <w:name w:val="Comment Text Char"/>
    <w:basedOn w:val="DefaultParagraphFont"/>
    <w:link w:val="CommentText"/>
    <w:rsid w:val="002A4441"/>
    <w:rPr>
      <w:lang w:val="sv-SE"/>
    </w:rPr>
  </w:style>
  <w:style w:type="paragraph" w:styleId="CommentSubject">
    <w:name w:val="annotation subject"/>
    <w:basedOn w:val="CommentText"/>
    <w:next w:val="CommentText"/>
    <w:link w:val="CommentSubjectChar"/>
    <w:rsid w:val="002A4441"/>
    <w:rPr>
      <w:b/>
      <w:bCs/>
    </w:rPr>
  </w:style>
  <w:style w:type="character" w:customStyle="1" w:styleId="CommentSubjectChar">
    <w:name w:val="Comment Subject Char"/>
    <w:basedOn w:val="CommentTextChar"/>
    <w:link w:val="CommentSubject"/>
    <w:rsid w:val="002A4441"/>
    <w:rPr>
      <w:b/>
      <w:bCs/>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reg/2021/947/oj" TargetMode="External" /><Relationship Id="rId10" Type="http://schemas.openxmlformats.org/officeDocument/2006/relationships/hyperlink" Target="https://www.unhcr.org/about-unhcr/overview/figures-glance" TargetMode="External" /><Relationship Id="rId2" Type="http://schemas.openxmlformats.org/officeDocument/2006/relationships/hyperlink" Target="http://data.europa.eu/eli/reg/2024/1351/oj" TargetMode="External" /><Relationship Id="rId3" Type="http://schemas.openxmlformats.org/officeDocument/2006/relationships/hyperlink" Target="http://data.europa.eu/eli/agree_internation/2023/2862/oj" TargetMode="External" /><Relationship Id="rId4" Type="http://schemas.openxmlformats.org/officeDocument/2006/relationships/hyperlink" Target="http://data.europa.eu/eli/C/2026/576/oj" TargetMode="External" /><Relationship Id="rId5" Type="http://schemas.openxmlformats.org/officeDocument/2006/relationships/hyperlink" Target="https://emm.iom.int/handbooks/global-context-international-migration/drivers-international-migration" TargetMode="External" /><Relationship Id="rId6" Type="http://schemas.openxmlformats.org/officeDocument/2006/relationships/hyperlink" Target="https://euaa.europa.eu/asylum-report-2025/34-data-applications-international-protection" TargetMode="External" /><Relationship Id="rId7" Type="http://schemas.openxmlformats.org/officeDocument/2006/relationships/hyperlink" Target="https://www.frontex.europa.eu/media-centre/news/news-release/frontex-irregular-border-crossings-down-26-in-2025-europe-must-stay-prepared-lyKpVb" TargetMode="External" /><Relationship Id="rId8" Type="http://schemas.openxmlformats.org/officeDocument/2006/relationships/hyperlink" Target="https://ec.europa.eu/eurostat/statistics-explained/index.php?title=Migration_to_and_from_the_EU" TargetMode="External" /><Relationship Id="rId9" Type="http://schemas.openxmlformats.org/officeDocument/2006/relationships/hyperlink" Target="https://ec.europa.eu/eurostat/web/interactive-publications/migration-2025"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12</Pages>
  <Words>4249</Words>
  <Characters>28997</Characters>
  <Application>Microsoft Office Word</Application>
  <DocSecurity>0</DocSecurity>
  <Lines>241</Lines>
  <Paragraphs>66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33180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2026-06-16T13:25:00Z</dcterms:created>
  <dcterms:modified xsi:type="dcterms:W3CDTF">2026-06-16T13:25:00Z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P10_TA-PROV(2026)0205_</vt:lpwstr>
  </property>
  <property fmtid="{D5CDD505-2E9C-101B-9397-08002B2CF9AE}" pid="4" name="&lt;Type&gt;">
    <vt:lpwstr>RR</vt:lpwstr>
  </property>
</Properties>
</file>