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CBB114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263BF" w:rsidP="0010095E" w14:paraId="24212F16" w14:textId="5EF8AF26">
            <w:pPr>
              <w:pStyle w:val="EPName"/>
            </w:pPr>
            <w:r w:rsidRPr="005263BF">
              <w:t>Европейски</w:t>
            </w:r>
            <w:r w:rsidRPr="005263BF" w:rsidR="00343A07">
              <w:t xml:space="preserve"> парламент</w:t>
            </w:r>
          </w:p>
          <w:p w:rsidR="00751A4A" w:rsidRPr="005263BF" w:rsidP="005F1B17" w14:paraId="28181EAF" w14:textId="1BF251BE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63BF">
              <w:t>2024</w:t>
            </w:r>
            <w:r w:rsidR="00BE6488">
              <w:t> – </w:t>
            </w:r>
            <w:r w:rsidRPr="005263BF" w:rsidR="00817416">
              <w:t>202</w:t>
            </w:r>
            <w:r w:rsidRPr="005263B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263BF" w:rsidP="0010095E" w14:paraId="405DE230" w14:textId="77777777">
            <w:pPr>
              <w:pStyle w:val="EPLogo"/>
            </w:pPr>
            <w:r w:rsidRPr="005263B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263BF" w:rsidP="004C5D52" w14:paraId="5F9268FE" w14:textId="77777777">
      <w:pPr>
        <w:pStyle w:val="LineTop"/>
      </w:pPr>
    </w:p>
    <w:p w:rsidR="00680577" w:rsidRPr="005263BF" w:rsidP="00680577" w14:paraId="0ED2CBE4" w14:textId="77777777">
      <w:pPr>
        <w:pStyle w:val="EPBodyTA1"/>
      </w:pPr>
      <w:r w:rsidRPr="005263BF">
        <w:t>ПРИЕТИ ТЕКСТОВЕ</w:t>
      </w:r>
    </w:p>
    <w:p w:rsidR="00D058B8" w:rsidRPr="005263BF" w:rsidP="00D058B8" w14:paraId="47E4A7B8" w14:textId="77777777">
      <w:pPr>
        <w:pStyle w:val="LineBottom"/>
      </w:pPr>
    </w:p>
    <w:p w:rsidR="00343A07" w:rsidRPr="005263BF" w:rsidP="00343A07" w14:paraId="2A031908" w14:textId="47037690">
      <w:pPr>
        <w:pStyle w:val="ATHeading1"/>
      </w:pPr>
      <w:bookmarkStart w:id="0" w:name="TANumber"/>
      <w:r w:rsidRPr="005263BF">
        <w:t>P10_TA(2026)</w:t>
      </w:r>
      <w:bookmarkEnd w:id="0"/>
      <w:r w:rsidR="00635D01">
        <w:t>0206</w:t>
      </w:r>
    </w:p>
    <w:p w:rsidR="00343A07" w:rsidRPr="005263BF" w:rsidP="00343A07" w14:paraId="53E423EB" w14:textId="77777777">
      <w:pPr>
        <w:pStyle w:val="ATHeading2"/>
      </w:pPr>
      <w:bookmarkStart w:id="1" w:name="title"/>
      <w:r w:rsidRPr="005263BF">
        <w:t>Растения, получени чрез някои нови геномни техники, и храни и фуражи, произведени от тях</w:t>
      </w:r>
      <w:bookmarkEnd w:id="1"/>
    </w:p>
    <w:p w:rsidR="00343A07" w:rsidRPr="005263BF" w:rsidP="00343A07" w14:paraId="7242CA4E" w14:textId="77777777">
      <w:pPr>
        <w:rPr>
          <w:i/>
          <w:vanish/>
        </w:rPr>
      </w:pPr>
      <w:r>
        <w:rPr>
          <w:i/>
        </w:rPr>
        <w:fldChar w:fldCharType="begin"/>
      </w:r>
      <w:r w:rsidRPr="005263BF">
        <w:rPr>
          <w:i/>
        </w:rPr>
        <w:instrText xml:space="preserve"> TC"(</w:instrText>
      </w:r>
      <w:bookmarkStart w:id="2" w:name="DocNumber"/>
      <w:r w:rsidRPr="005263BF">
        <w:rPr>
          <w:i/>
        </w:rPr>
        <w:instrText>A10-0175/2026</w:instrText>
      </w:r>
      <w:bookmarkEnd w:id="2"/>
      <w:r w:rsidRPr="005263BF">
        <w:rPr>
          <w:i/>
        </w:rPr>
        <w:instrText xml:space="preserve"> - Докладчик: </w:instrText>
      </w:r>
      <w:r w:rsidRPr="005263BF">
        <w:rPr>
          <w:i/>
        </w:rPr>
        <w:instrText>Йесика</w:instrText>
      </w:r>
      <w:r w:rsidRPr="005263BF">
        <w:rPr>
          <w:i/>
        </w:rPr>
        <w:instrText xml:space="preserve"> </w:instrText>
      </w:r>
      <w:r w:rsidRPr="005263BF">
        <w:rPr>
          <w:i/>
        </w:rPr>
        <w:instrText>Полфиард</w:instrText>
      </w:r>
      <w:r w:rsidRPr="005263B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43A07" w:rsidRPr="005263BF" w:rsidP="00343A07" w14:paraId="07580DAC" w14:textId="77777777">
      <w:pPr>
        <w:rPr>
          <w:vanish/>
        </w:rPr>
      </w:pPr>
      <w:bookmarkStart w:id="3" w:name="Commission"/>
      <w:r w:rsidRPr="005263BF">
        <w:rPr>
          <w:vanish/>
        </w:rPr>
        <w:t>Комисия по околна среда, климат и безопасност на храните</w:t>
      </w:r>
      <w:bookmarkEnd w:id="3"/>
    </w:p>
    <w:p w:rsidR="00343A07" w:rsidRPr="005263BF" w:rsidP="00343A07" w14:paraId="5811325C" w14:textId="77777777">
      <w:pPr>
        <w:rPr>
          <w:vanish/>
        </w:rPr>
      </w:pPr>
      <w:bookmarkStart w:id="4" w:name="PE"/>
      <w:r w:rsidRPr="005263BF">
        <w:rPr>
          <w:vanish/>
        </w:rPr>
        <w:t>PE789.924</w:t>
      </w:r>
      <w:bookmarkEnd w:id="4"/>
    </w:p>
    <w:p w:rsidR="00343A07" w:rsidRPr="005263BF" w:rsidP="00343A07" w14:paraId="26C5DA13" w14:textId="1F0C636C">
      <w:pPr>
        <w:pStyle w:val="ATHeading3"/>
      </w:pPr>
      <w:bookmarkStart w:id="5" w:name="Sujet"/>
      <w:bookmarkStart w:id="6" w:name="_Hlk232594135"/>
      <w:r w:rsidRPr="005263BF">
        <w:t xml:space="preserve">Законодателна резолюция на Европейския парламент от </w:t>
      </w:r>
      <w:r w:rsidR="006C5855">
        <w:t>17 юни</w:t>
      </w:r>
      <w:r w:rsidRPr="005263BF" w:rsidR="006C5855">
        <w:t xml:space="preserve"> </w:t>
      </w:r>
      <w:r w:rsidRPr="005263BF">
        <w:t xml:space="preserve">2026 г. относно позицията на Съвета на първо четене с оглед </w:t>
      </w:r>
      <w:r w:rsidR="00F9751B">
        <w:t xml:space="preserve">на </w:t>
      </w:r>
      <w:r w:rsidRPr="005263BF">
        <w:t xml:space="preserve">приемането на регламент на Европейския парламент и на Съвета относно растенията, получени чрез някои нови геномни техники, и </w:t>
      </w:r>
      <w:r w:rsidRPr="00B91790" w:rsidR="00B91790">
        <w:t>продуктите</w:t>
      </w:r>
      <w:r w:rsidRPr="005263BF">
        <w:t>, произведени от тях, и за изменение на Регламент (ЕС) 2017/625</w:t>
      </w:r>
      <w:bookmarkEnd w:id="5"/>
      <w:r w:rsidRPr="005263BF">
        <w:t xml:space="preserve"> </w:t>
      </w:r>
      <w:bookmarkStart w:id="7" w:name="References"/>
      <w:r w:rsidRPr="005263BF">
        <w:t>(17037/1/2025 – C10-0102/2026 – 2023/0226(COD))</w:t>
      </w:r>
      <w:bookmarkEnd w:id="7"/>
    </w:p>
    <w:p w:rsidR="00A22019" w:rsidRPr="005263BF" w:rsidP="00A22019" w14:paraId="4026FD6E" w14:textId="77777777">
      <w:pPr>
        <w:pStyle w:val="NormalBold"/>
      </w:pPr>
      <w:bookmarkStart w:id="8" w:name="TextBodyBegin"/>
      <w:bookmarkEnd w:id="8"/>
      <w:bookmarkEnd w:id="6"/>
      <w:r w:rsidRPr="005263BF">
        <w:t>(Обикновена законодателна процедура: второ четене)</w:t>
      </w:r>
    </w:p>
    <w:p w:rsidR="00A22019" w:rsidRPr="005263BF" w:rsidP="00A22019" w14:paraId="32D54206" w14:textId="77777777">
      <w:pPr>
        <w:pStyle w:val="EPComma"/>
      </w:pPr>
      <w:r w:rsidRPr="005263BF">
        <w:rPr>
          <w:i/>
          <w:iCs/>
        </w:rPr>
        <w:t>Европейският парламент</w:t>
      </w:r>
      <w:r w:rsidRPr="005263BF">
        <w:t xml:space="preserve">, </w:t>
      </w:r>
    </w:p>
    <w:p w:rsidR="00A22019" w:rsidRPr="005263BF" w:rsidP="00A22019" w14:paraId="3A52AA96" w14:textId="4925F8D8">
      <w:pPr>
        <w:pStyle w:val="NormalHanging12a"/>
      </w:pPr>
      <w:r w:rsidRPr="005263BF">
        <w:t>–</w:t>
      </w:r>
      <w:r w:rsidRPr="005263BF">
        <w:tab/>
        <w:t>като взе предвид позицията на Съвета на първо четене (17037</w:t>
      </w:r>
      <w:r w:rsidR="00B91790">
        <w:rPr>
          <w:lang w:val="en-GB"/>
        </w:rPr>
        <w:t>/1</w:t>
      </w:r>
      <w:r w:rsidRPr="005263BF">
        <w:t>/25 – C10-0102/2026),</w:t>
      </w:r>
    </w:p>
    <w:p w:rsidR="00A22019" w:rsidRPr="005263BF" w:rsidP="00A22019" w14:paraId="1066FE22" w14:textId="77777777">
      <w:pPr>
        <w:pStyle w:val="NormalHanging12a"/>
      </w:pPr>
      <w:r w:rsidRPr="005263BF">
        <w:t>–</w:t>
      </w:r>
      <w:r w:rsidRPr="005263BF">
        <w:tab/>
        <w:t>като взе предвид мотивираните становища, изпратени от Камарата на представителите на Република Кипър и Държавното събрание на Република Унгария в рамките на Протокол № 2 относно прилагането на принципите на субсидиарност и пропорционалност, в които се заявява, че проектът на законодателен акт не съответства на принципа на субсидиарност,</w:t>
      </w:r>
    </w:p>
    <w:p w:rsidR="00A22019" w:rsidRPr="005263BF" w:rsidP="00A22019" w14:paraId="5A301652" w14:textId="1661D335">
      <w:pPr>
        <w:pStyle w:val="NormalHanging12a"/>
      </w:pPr>
      <w:r w:rsidRPr="005263BF">
        <w:t>–</w:t>
      </w:r>
      <w:r w:rsidRPr="005263BF">
        <w:tab/>
        <w:t>като взе предвид становището на Европейския икономически и социален комитет от 26 октомври 2023 г.</w:t>
      </w:r>
      <w:r>
        <w:rPr>
          <w:rStyle w:val="FootnoteReference"/>
        </w:rPr>
        <w:footnoteReference w:id="2"/>
      </w:r>
      <w:r w:rsidRPr="005263BF">
        <w:t>,</w:t>
      </w:r>
    </w:p>
    <w:p w:rsidR="00A22019" w:rsidRPr="005263BF" w:rsidP="00A22019" w14:paraId="01D53BEF" w14:textId="652DBB1A">
      <w:pPr>
        <w:pStyle w:val="NormalHanging12a"/>
      </w:pPr>
      <w:r w:rsidRPr="005263BF">
        <w:t>–</w:t>
      </w:r>
      <w:r w:rsidRPr="005263BF">
        <w:tab/>
        <w:t>като взе предвид становището на Комитета на регионите от 17 април 2024 г.</w:t>
      </w:r>
      <w:r>
        <w:rPr>
          <w:rStyle w:val="FootnoteReference"/>
        </w:rPr>
        <w:footnoteReference w:id="3"/>
      </w:r>
      <w:r w:rsidRPr="005263BF">
        <w:t>,</w:t>
      </w:r>
    </w:p>
    <w:p w:rsidR="00A22019" w:rsidRPr="005263BF" w:rsidP="00A22019" w14:paraId="6C68E1C4" w14:textId="77777777">
      <w:pPr>
        <w:pStyle w:val="NormalHanging12a"/>
      </w:pPr>
      <w:r w:rsidRPr="005263BF">
        <w:t>–</w:t>
      </w:r>
      <w:r w:rsidRPr="005263BF">
        <w:tab/>
        <w:t>като взе предвид позицията си на първо четене</w:t>
      </w:r>
      <w:r>
        <w:rPr>
          <w:rStyle w:val="FootnoteReference"/>
        </w:rPr>
        <w:footnoteReference w:id="4"/>
      </w:r>
      <w:r w:rsidRPr="005263BF">
        <w:t xml:space="preserve"> относно предложението на Комисията до Европейския парламент и до Съвета (COM(2023)0411),</w:t>
      </w:r>
    </w:p>
    <w:p w:rsidR="00A22019" w:rsidRPr="005263BF" w:rsidP="00A22019" w14:paraId="0EAA00EA" w14:textId="77777777">
      <w:pPr>
        <w:pStyle w:val="NormalHanging12a"/>
      </w:pPr>
      <w:r w:rsidRPr="005263BF">
        <w:t>–</w:t>
      </w:r>
      <w:r w:rsidRPr="005263BF">
        <w:tab/>
        <w:t>като взе предвид член 294, параграф 7 от Договора за функционирането на Европейския съюз,</w:t>
      </w:r>
    </w:p>
    <w:p w:rsidR="00A22019" w:rsidRPr="005263BF" w:rsidP="00A22019" w14:paraId="2AF1B9FF" w14:textId="77777777">
      <w:pPr>
        <w:pStyle w:val="NormalHanging12a"/>
      </w:pPr>
      <w:r w:rsidRPr="005263BF">
        <w:t>–</w:t>
      </w:r>
      <w:r w:rsidRPr="005263BF">
        <w:tab/>
        <w:t>като взе предвид временното споразумение, одобрено от компетентната комисия в съответствие с член 75, параграф 4 от Правилника за дейността,</w:t>
      </w:r>
    </w:p>
    <w:p w:rsidR="00A22019" w:rsidRPr="005263BF" w:rsidP="00A22019" w14:paraId="16792CD4" w14:textId="77777777">
      <w:pPr>
        <w:pStyle w:val="NormalHanging12a"/>
      </w:pPr>
      <w:r w:rsidRPr="005263BF">
        <w:t>–</w:t>
      </w:r>
      <w:r w:rsidRPr="005263BF">
        <w:tab/>
        <w:t>като взе предвид член 68 от своя Правилник за дейността,</w:t>
      </w:r>
    </w:p>
    <w:p w:rsidR="00A22019" w:rsidRPr="005263BF" w:rsidP="00A22019" w14:paraId="41B9758A" w14:textId="77777777">
      <w:pPr>
        <w:pStyle w:val="NormalHanging12a"/>
      </w:pPr>
      <w:r w:rsidRPr="005263BF">
        <w:t>–</w:t>
      </w:r>
      <w:r w:rsidRPr="005263BF">
        <w:tab/>
        <w:t>като взе предвид препоръката за второ четене на комисията по околна среда, климат и безопасност на храните (A10-0175/2026),</w:t>
      </w:r>
    </w:p>
    <w:p w:rsidR="00A22019" w:rsidRPr="005263BF" w:rsidP="00A22019" w14:paraId="02DF15A4" w14:textId="77777777">
      <w:pPr>
        <w:pStyle w:val="NormalHanging12a"/>
      </w:pPr>
      <w:r w:rsidRPr="005263BF">
        <w:t>1.</w:t>
      </w:r>
      <w:r w:rsidRPr="005263BF">
        <w:tab/>
        <w:t>одобрява позицията на Съвета на първо четене;</w:t>
      </w:r>
    </w:p>
    <w:p w:rsidR="00A22019" w:rsidRPr="005263BF" w:rsidP="00A22019" w14:paraId="434DD446" w14:textId="77777777">
      <w:pPr>
        <w:pStyle w:val="NormalHanging12a"/>
      </w:pPr>
      <w:r w:rsidRPr="005263BF">
        <w:t>2.</w:t>
      </w:r>
      <w:r w:rsidRPr="005263BF">
        <w:tab/>
        <w:t>констатира, че актът е приет в съответствие с позицията на Съвета;</w:t>
      </w:r>
    </w:p>
    <w:p w:rsidR="00A22019" w:rsidRPr="005263BF" w:rsidP="00A22019" w14:paraId="1BD554E8" w14:textId="77777777">
      <w:pPr>
        <w:pStyle w:val="NormalHanging12a"/>
      </w:pPr>
      <w:bookmarkStart w:id="9" w:name="_Hlk232445111"/>
      <w:r w:rsidRPr="005263BF">
        <w:t>3.</w:t>
      </w:r>
      <w:r w:rsidRPr="005263BF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bookmarkEnd w:id="9"/>
    <w:p w:rsidR="00A22019" w:rsidRPr="005263BF" w:rsidP="00A22019" w14:paraId="6226F9BB" w14:textId="77777777">
      <w:pPr>
        <w:pStyle w:val="NormalHanging12a"/>
      </w:pPr>
      <w:r w:rsidRPr="005263BF">
        <w:t>4.</w:t>
      </w:r>
      <w:r w:rsidRPr="005263BF">
        <w:tab/>
        <w:t xml:space="preserve">възлага на своя генерален секретар да подпише акта след проверка на надлежното изпълнение на всички процедури и да пристъпи заедно с генералния секретар на Съвета към публикуването му в </w:t>
      </w:r>
      <w:r w:rsidRPr="005263BF">
        <w:rPr>
          <w:i/>
          <w:iCs/>
        </w:rPr>
        <w:t>Официален вестник на Европейския съюз</w:t>
      </w:r>
      <w:r w:rsidRPr="005263BF">
        <w:t>;</w:t>
      </w:r>
    </w:p>
    <w:p w:rsidR="00E365E1" w:rsidRPr="005263BF" w:rsidP="00BE6488" w14:paraId="26992895" w14:textId="4A0FB17A">
      <w:pPr>
        <w:ind w:left="567" w:hanging="567"/>
      </w:pPr>
      <w:r w:rsidRPr="005263BF">
        <w:t>5.</w:t>
      </w:r>
      <w:r w:rsidRPr="005263BF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sectPr w:rsidSect="005263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63BF" w14:paraId="0DFAE89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63BF" w14:paraId="7A0D150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63BF" w14:paraId="370F556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43A07" w:rsidRPr="005263BF" w14:paraId="6E8B15BE" w14:textId="77777777">
      <w:r w:rsidRPr="005263BF">
        <w:separator/>
      </w:r>
    </w:p>
  </w:footnote>
  <w:footnote w:type="continuationSeparator" w:id="1">
    <w:p w:rsidR="00343A07" w:rsidRPr="005263BF" w14:paraId="45AE765E" w14:textId="77777777">
      <w:r w:rsidRPr="005263BF">
        <w:continuationSeparator/>
      </w:r>
    </w:p>
  </w:footnote>
  <w:footnote w:id="2">
    <w:p w:rsidR="00B91790" w:rsidRPr="00635D01" w:rsidP="00B91790" w14:paraId="41F05446" w14:textId="0F28304B">
      <w:pPr>
        <w:pStyle w:val="FootnoteText"/>
        <w:ind w:left="567" w:hanging="567"/>
        <w:rPr>
          <w:sz w:val="24"/>
          <w:szCs w:val="24"/>
          <w:lang w:val="bg-BG"/>
        </w:rPr>
      </w:pPr>
      <w:r w:rsidRPr="00B91790">
        <w:rPr>
          <w:rStyle w:val="FootnoteReference"/>
          <w:sz w:val="24"/>
          <w:szCs w:val="24"/>
        </w:rPr>
        <w:footnoteRef/>
      </w:r>
      <w:r w:rsidRPr="00B91790">
        <w:rPr>
          <w:sz w:val="24"/>
          <w:szCs w:val="24"/>
        </w:rPr>
        <w:t xml:space="preserve"> </w:t>
      </w:r>
      <w:r w:rsidRPr="00B91790">
        <w:rPr>
          <w:sz w:val="24"/>
          <w:szCs w:val="24"/>
          <w:lang w:val="en-GB"/>
        </w:rPr>
        <w:tab/>
      </w:r>
      <w:r w:rsidRPr="00B91790">
        <w:rPr>
          <w:sz w:val="24"/>
          <w:szCs w:val="24"/>
          <w:lang w:val="bg-BG"/>
        </w:rPr>
        <w:t>ОВ</w:t>
      </w:r>
      <w:r w:rsidRPr="00B91790">
        <w:rPr>
          <w:sz w:val="24"/>
          <w:szCs w:val="24"/>
          <w:lang w:val="en-GB"/>
        </w:rPr>
        <w:t xml:space="preserve"> C, C/2024/893, 6.2.2024</w:t>
      </w:r>
      <w:r w:rsidRPr="00B91790">
        <w:rPr>
          <w:sz w:val="24"/>
          <w:szCs w:val="24"/>
          <w:lang w:val="bg-BG"/>
        </w:rPr>
        <w:t> г.</w:t>
      </w:r>
      <w:r w:rsidRPr="00B91790">
        <w:rPr>
          <w:sz w:val="24"/>
          <w:szCs w:val="24"/>
          <w:lang w:val="en-GB"/>
        </w:rPr>
        <w:t xml:space="preserve">, ELI: </w:t>
      </w:r>
      <w:hyperlink r:id="rId1" w:history="1">
        <w:r w:rsidRPr="00B91790">
          <w:rPr>
            <w:rStyle w:val="Hyperlink"/>
            <w:sz w:val="24"/>
            <w:szCs w:val="24"/>
            <w:lang w:val="en-GB"/>
          </w:rPr>
          <w:t>http://data.europa.eu/eli/C/2024/893/oj</w:t>
        </w:r>
      </w:hyperlink>
      <w:r w:rsidRPr="00B91790">
        <w:rPr>
          <w:sz w:val="24"/>
          <w:szCs w:val="24"/>
          <w:lang w:val="bg-BG"/>
        </w:rPr>
        <w:t>.</w:t>
      </w:r>
    </w:p>
  </w:footnote>
  <w:footnote w:id="3">
    <w:p w:rsidR="00B91790" w:rsidRPr="00635D01" w:rsidP="00B91790" w14:paraId="266FD21A" w14:textId="6BE25CEF">
      <w:pPr>
        <w:pStyle w:val="FootnoteText"/>
        <w:ind w:left="567" w:hanging="567"/>
        <w:rPr>
          <w:lang w:val="bg-BG"/>
        </w:rPr>
      </w:pPr>
      <w:r w:rsidRPr="00B91790">
        <w:rPr>
          <w:rStyle w:val="FootnoteReference"/>
          <w:sz w:val="24"/>
          <w:szCs w:val="24"/>
        </w:rPr>
        <w:footnoteRef/>
      </w:r>
      <w:r w:rsidRPr="00B91790">
        <w:rPr>
          <w:sz w:val="24"/>
          <w:szCs w:val="24"/>
        </w:rPr>
        <w:t xml:space="preserve"> </w:t>
      </w:r>
      <w:r w:rsidRPr="00B91790">
        <w:rPr>
          <w:sz w:val="24"/>
          <w:szCs w:val="24"/>
          <w:lang w:val="bg-BG"/>
        </w:rPr>
        <w:tab/>
      </w:r>
      <w:r w:rsidRPr="00B91790">
        <w:rPr>
          <w:sz w:val="24"/>
          <w:szCs w:val="24"/>
          <w:lang w:val="bg-BG"/>
        </w:rPr>
        <w:t>ОВ</w:t>
      </w:r>
      <w:r w:rsidRPr="00B91790">
        <w:rPr>
          <w:sz w:val="24"/>
          <w:szCs w:val="24"/>
        </w:rPr>
        <w:t xml:space="preserve"> C, C/2024/3674, 26.6.2024</w:t>
      </w:r>
      <w:r w:rsidRPr="00B91790">
        <w:rPr>
          <w:sz w:val="24"/>
          <w:szCs w:val="24"/>
          <w:lang w:val="bg-BG"/>
        </w:rPr>
        <w:t>г.</w:t>
      </w:r>
      <w:r w:rsidRPr="00B91790">
        <w:rPr>
          <w:sz w:val="24"/>
          <w:szCs w:val="24"/>
        </w:rPr>
        <w:t xml:space="preserve">, </w:t>
      </w:r>
      <w:r w:rsidRPr="00B91790">
        <w:rPr>
          <w:sz w:val="24"/>
          <w:szCs w:val="24"/>
        </w:rPr>
        <w:t>ELI:</w:t>
      </w:r>
      <w:r w:rsidRPr="00B91790">
        <w:rPr>
          <w:sz w:val="24"/>
          <w:szCs w:val="24"/>
        </w:rPr>
        <w:t xml:space="preserve"> </w:t>
      </w:r>
      <w:hyperlink r:id="rId2" w:history="1">
        <w:r w:rsidRPr="00B91790">
          <w:rPr>
            <w:rStyle w:val="Hyperlink"/>
            <w:sz w:val="24"/>
            <w:szCs w:val="24"/>
          </w:rPr>
          <w:t>http://data.europa.eu/eli/C/2024/3674/oj</w:t>
        </w:r>
      </w:hyperlink>
      <w:r w:rsidRPr="00B91790">
        <w:rPr>
          <w:sz w:val="24"/>
          <w:szCs w:val="24"/>
          <w:lang w:val="bg-BG"/>
        </w:rPr>
        <w:t>.</w:t>
      </w:r>
    </w:p>
  </w:footnote>
  <w:footnote w:id="4">
    <w:p w:rsidR="00A22019" w:rsidRPr="005263BF" w:rsidP="005263BF" w14:paraId="2C9F4726" w14:textId="69F0693A">
      <w:pPr>
        <w:pStyle w:val="FootnoteText"/>
        <w:ind w:left="567" w:hanging="567"/>
        <w:rPr>
          <w:sz w:val="24"/>
          <w:lang w:val="bg-BG"/>
        </w:rPr>
      </w:pPr>
      <w:r w:rsidRPr="005263BF">
        <w:rPr>
          <w:rStyle w:val="FootnoteReference"/>
          <w:sz w:val="24"/>
          <w:lang w:val="bg-BG"/>
        </w:rPr>
        <w:footnoteRef/>
      </w:r>
      <w:r w:rsidRPr="005263BF" w:rsidR="005263BF">
        <w:rPr>
          <w:sz w:val="24"/>
          <w:lang w:val="bg-BG"/>
        </w:rPr>
        <w:t xml:space="preserve"> </w:t>
      </w:r>
      <w:r w:rsidRPr="005263BF" w:rsidR="005263BF">
        <w:rPr>
          <w:sz w:val="24"/>
          <w:lang w:val="bg-BG"/>
        </w:rPr>
        <w:tab/>
      </w:r>
      <w:r w:rsidRPr="005263BF">
        <w:rPr>
          <w:sz w:val="24"/>
          <w:lang w:val="bg-BG"/>
        </w:rPr>
        <w:t xml:space="preserve">ОВ C, C/2024/6358, 7.11.2024 г., ELI: </w:t>
      </w:r>
      <w:hyperlink r:id="rId3" w:history="1">
        <w:r w:rsidR="00B91790">
          <w:rPr>
            <w:rStyle w:val="Hyperlink"/>
            <w:sz w:val="24"/>
            <w:lang w:val="bg-BG"/>
          </w:rPr>
          <w:t>http://data.europa.eu/eli/C/2024/6358/oj</w:t>
        </w:r>
      </w:hyperlink>
      <w:r w:rsidR="006C5855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63BF" w14:paraId="6DBB579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63BF" w14:paraId="3D2B7B3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63BF" w14:paraId="1FB4E13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7508275">
    <w:abstractNumId w:val="9"/>
  </w:num>
  <w:num w:numId="2" w16cid:durableId="1330133293">
    <w:abstractNumId w:val="9"/>
  </w:num>
  <w:num w:numId="3" w16cid:durableId="714236236">
    <w:abstractNumId w:val="7"/>
  </w:num>
  <w:num w:numId="4" w16cid:durableId="950357316">
    <w:abstractNumId w:val="7"/>
  </w:num>
  <w:num w:numId="5" w16cid:durableId="1504472444">
    <w:abstractNumId w:val="6"/>
  </w:num>
  <w:num w:numId="6" w16cid:durableId="955525942">
    <w:abstractNumId w:val="6"/>
  </w:num>
  <w:num w:numId="7" w16cid:durableId="712078432">
    <w:abstractNumId w:val="5"/>
  </w:num>
  <w:num w:numId="8" w16cid:durableId="1629120812">
    <w:abstractNumId w:val="5"/>
  </w:num>
  <w:num w:numId="9" w16cid:durableId="50082460">
    <w:abstractNumId w:val="4"/>
  </w:num>
  <w:num w:numId="10" w16cid:durableId="1748571197">
    <w:abstractNumId w:val="4"/>
  </w:num>
  <w:num w:numId="11" w16cid:durableId="869536140">
    <w:abstractNumId w:val="8"/>
  </w:num>
  <w:num w:numId="12" w16cid:durableId="1329094125">
    <w:abstractNumId w:val="8"/>
  </w:num>
  <w:num w:numId="13" w16cid:durableId="716467555">
    <w:abstractNumId w:val="3"/>
  </w:num>
  <w:num w:numId="14" w16cid:durableId="2036223221">
    <w:abstractNumId w:val="3"/>
  </w:num>
  <w:num w:numId="15" w16cid:durableId="358094645">
    <w:abstractNumId w:val="2"/>
  </w:num>
  <w:num w:numId="16" w16cid:durableId="1760297030">
    <w:abstractNumId w:val="2"/>
  </w:num>
  <w:num w:numId="17" w16cid:durableId="1143884012">
    <w:abstractNumId w:val="1"/>
  </w:num>
  <w:num w:numId="18" w16cid:durableId="1345086984">
    <w:abstractNumId w:val="1"/>
  </w:num>
  <w:num w:numId="19" w16cid:durableId="217471617">
    <w:abstractNumId w:val="0"/>
  </w:num>
  <w:num w:numId="20" w16cid:durableId="2027173857">
    <w:abstractNumId w:val="0"/>
  </w:num>
  <w:num w:numId="21" w16cid:durableId="1898541307">
    <w:abstractNumId w:val="9"/>
  </w:num>
  <w:num w:numId="22" w16cid:durableId="166555070">
    <w:abstractNumId w:val="7"/>
  </w:num>
  <w:num w:numId="23" w16cid:durableId="1649748528">
    <w:abstractNumId w:val="6"/>
  </w:num>
  <w:num w:numId="24" w16cid:durableId="1077555045">
    <w:abstractNumId w:val="5"/>
  </w:num>
  <w:num w:numId="25" w16cid:durableId="593127724">
    <w:abstractNumId w:val="4"/>
  </w:num>
  <w:num w:numId="26" w16cid:durableId="137191056">
    <w:abstractNumId w:val="8"/>
  </w:num>
  <w:num w:numId="27" w16cid:durableId="138308098">
    <w:abstractNumId w:val="3"/>
  </w:num>
  <w:num w:numId="28" w16cid:durableId="764299855">
    <w:abstractNumId w:val="2"/>
  </w:num>
  <w:num w:numId="29" w16cid:durableId="1062019914">
    <w:abstractNumId w:val="1"/>
  </w:num>
  <w:num w:numId="30" w16cid:durableId="159470356">
    <w:abstractNumId w:val="0"/>
  </w:num>
  <w:num w:numId="31" w16cid:durableId="2093114163">
    <w:abstractNumId w:val="9"/>
  </w:num>
  <w:num w:numId="32" w16cid:durableId="1619680533">
    <w:abstractNumId w:val="7"/>
  </w:num>
  <w:num w:numId="33" w16cid:durableId="1539009883">
    <w:abstractNumId w:val="6"/>
  </w:num>
  <w:num w:numId="34" w16cid:durableId="1863977288">
    <w:abstractNumId w:val="5"/>
  </w:num>
  <w:num w:numId="35" w16cid:durableId="126558720">
    <w:abstractNumId w:val="4"/>
  </w:num>
  <w:num w:numId="36" w16cid:durableId="2064866135">
    <w:abstractNumId w:val="8"/>
  </w:num>
  <w:num w:numId="37" w16cid:durableId="1971326248">
    <w:abstractNumId w:val="3"/>
  </w:num>
  <w:num w:numId="38" w16cid:durableId="273287169">
    <w:abstractNumId w:val="2"/>
  </w:num>
  <w:num w:numId="39" w16cid:durableId="358552854">
    <w:abstractNumId w:val="1"/>
  </w:num>
  <w:num w:numId="40" w16cid:durableId="1515486968">
    <w:abstractNumId w:val="0"/>
  </w:num>
  <w:num w:numId="41" w16cid:durableId="481821203">
    <w:abstractNumId w:val="10"/>
  </w:num>
  <w:num w:numId="42" w16cid:durableId="1792820369">
    <w:abstractNumId w:val="10"/>
  </w:num>
  <w:num w:numId="43" w16cid:durableId="2132894088">
    <w:abstractNumId w:val="10"/>
  </w:num>
  <w:num w:numId="44" w16cid:durableId="2869324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A07"/>
    <w:rsid w:val="00002272"/>
    <w:rsid w:val="00064002"/>
    <w:rsid w:val="000677B9"/>
    <w:rsid w:val="000831BA"/>
    <w:rsid w:val="000A42CC"/>
    <w:rsid w:val="000D506E"/>
    <w:rsid w:val="000E7DD9"/>
    <w:rsid w:val="0010095E"/>
    <w:rsid w:val="00125B37"/>
    <w:rsid w:val="00187494"/>
    <w:rsid w:val="001F32AE"/>
    <w:rsid w:val="002767FF"/>
    <w:rsid w:val="002B18FE"/>
    <w:rsid w:val="002B5493"/>
    <w:rsid w:val="002D4F6B"/>
    <w:rsid w:val="00317230"/>
    <w:rsid w:val="00343214"/>
    <w:rsid w:val="00343A0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3BF"/>
    <w:rsid w:val="00545827"/>
    <w:rsid w:val="00560270"/>
    <w:rsid w:val="005C2568"/>
    <w:rsid w:val="005F1B17"/>
    <w:rsid w:val="006037C0"/>
    <w:rsid w:val="00635D01"/>
    <w:rsid w:val="006631B6"/>
    <w:rsid w:val="00680577"/>
    <w:rsid w:val="006C585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201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1790"/>
    <w:rsid w:val="00BD48FE"/>
    <w:rsid w:val="00BD7BD8"/>
    <w:rsid w:val="00BE648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51B"/>
    <w:rsid w:val="00FB4360"/>
    <w:rsid w:val="00FD0C70"/>
  </w:rsids>
  <w:docVars>
    <w:docVar w:name="dvdocse" w:val="A10-0175/2026"/>
    <w:docVar w:name="dvlangue" w:val="BG"/>
    <w:docVar w:name="dvnumam" w:val="0"/>
    <w:docVar w:name="dvpe" w:val="789.924"/>
    <w:docVar w:name="dvrapporteur" w:val="Докладчик: "/>
    <w:docVar w:name="dvstar" w:val="***II"/>
    <w:docVar w:name="dvtitre" w:val="Законодателна резолюция на Европейския парламент от ... 2026 г. относно позицията на Съвета на първо четене с оглед приемането на регламент на Европейския парламент и на Съвета относно растенията, получени чрез някои нови геномни техники, и храните и фуражите, произведени от тях, и за изменение на Регламент (ЕС) 2017/625(17037/1/2025 – C10-0102/2026 – 2023/022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9BC41FA"/>
  <w15:chartTrackingRefBased/>
  <w15:docId w15:val="{A7FE948A-DFA8-4201-A6A8-79E10C32B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2019"/>
    <w:pPr>
      <w:spacing w:before="480" w:after="240"/>
    </w:pPr>
  </w:style>
  <w:style w:type="paragraph" w:customStyle="1" w:styleId="NormalBold">
    <w:name w:val="NormalBold"/>
    <w:basedOn w:val="Normal"/>
    <w:rsid w:val="00A22019"/>
    <w:rPr>
      <w:b/>
    </w:rPr>
  </w:style>
  <w:style w:type="paragraph" w:customStyle="1" w:styleId="NormalHanging12a">
    <w:name w:val="NormalHanging12a"/>
    <w:basedOn w:val="Normal"/>
    <w:rsid w:val="00A22019"/>
    <w:pPr>
      <w:spacing w:after="240"/>
      <w:ind w:left="567" w:hanging="567"/>
    </w:pPr>
  </w:style>
  <w:style w:type="character" w:styleId="Hyperlink">
    <w:name w:val="Hyperlink"/>
    <w:basedOn w:val="DefaultParagraphFont"/>
    <w:rsid w:val="00A2201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C5855"/>
    <w:rPr>
      <w:sz w:val="24"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B917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3/oj" TargetMode="External" /><Relationship Id="rId2" Type="http://schemas.openxmlformats.org/officeDocument/2006/relationships/hyperlink" Target="http://data.europa.eu/eli/C/2024/3674/oj" TargetMode="External" /><Relationship Id="rId3" Type="http://schemas.openxmlformats.org/officeDocument/2006/relationships/hyperlink" Target="http://data.europa.eu/eli/C/2024/6358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2026-06-17T11:09:00Z</dcterms:created>
  <dcterms:modified xsi:type="dcterms:W3CDTF">2026-06-17T11:09:00Z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A10-0175/2026</vt:lpwstr>
  </property>
  <property fmtid="{D5CDD505-2E9C-101B-9397-08002B2CF9AE}" pid="4" name="&lt;Type&gt;">
    <vt:lpwstr>RR</vt:lpwstr>
  </property>
</Properties>
</file>