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DBCADD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D3419" w:rsidP="0010095E" w14:paraId="5F001A45" w14:textId="04E6D72D">
            <w:pPr>
              <w:pStyle w:val="EPName"/>
            </w:pPr>
            <w:r w:rsidRPr="00BD3419">
              <w:t>Evropský parlament</w:t>
            </w:r>
          </w:p>
          <w:p w:rsidR="00751A4A" w:rsidRPr="00BD3419" w:rsidP="005F1B17" w14:paraId="21FCAEA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D3419">
              <w:t>2024</w:t>
            </w:r>
            <w:r w:rsidRPr="00BD3419" w:rsidR="00817416">
              <w:t>-202</w:t>
            </w:r>
            <w:r w:rsidRPr="00BD341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D3419" w:rsidP="0010095E" w14:paraId="75C5BBA5" w14:textId="77777777">
            <w:pPr>
              <w:pStyle w:val="EPLogo"/>
            </w:pPr>
            <w:r w:rsidRPr="00BD341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D3419" w:rsidP="004C5D52" w14:paraId="0A66DA1F" w14:textId="77777777">
      <w:pPr>
        <w:pStyle w:val="LineTop"/>
      </w:pPr>
    </w:p>
    <w:p w:rsidR="00680577" w:rsidRPr="00BD3419" w:rsidP="00680577" w14:paraId="26CA7AC8" w14:textId="002ACCCA">
      <w:pPr>
        <w:pStyle w:val="EPBodyTA1"/>
      </w:pPr>
      <w:r w:rsidRPr="00BD3419">
        <w:t>PŘIJATÉ TEXTY</w:t>
      </w:r>
    </w:p>
    <w:p w:rsidR="00D058B8" w:rsidRPr="00BD3419" w:rsidP="00D058B8" w14:paraId="40D501E1" w14:textId="77777777">
      <w:pPr>
        <w:pStyle w:val="LineBottom"/>
      </w:pPr>
    </w:p>
    <w:p w:rsidR="00382EB1" w:rsidRPr="00CD09EC" w:rsidP="00382EB1" w14:paraId="0F2CD035" w14:textId="3A136FE5">
      <w:pPr>
        <w:pStyle w:val="ATHeading1"/>
      </w:pPr>
      <w:bookmarkStart w:id="0" w:name="TANumber"/>
      <w:r w:rsidRPr="00CD09EC">
        <w:t>P10_TA(2026)0</w:t>
      </w:r>
      <w:r w:rsidR="00C35F20">
        <w:t>2</w:t>
      </w:r>
      <w:r w:rsidRPr="00CD09EC">
        <w:t>0</w:t>
      </w:r>
      <w:r w:rsidR="00C35F20">
        <w:t>6</w:t>
      </w:r>
      <w:bookmarkEnd w:id="0"/>
    </w:p>
    <w:p w:rsidR="00382EB1" w:rsidRPr="00CD09EC" w:rsidP="00382EB1" w14:paraId="71EFCE48" w14:textId="4C5D1490">
      <w:pPr>
        <w:pStyle w:val="ATHeading2"/>
      </w:pPr>
      <w:bookmarkStart w:id="1" w:name="title"/>
      <w:r w:rsidRPr="00CD09EC">
        <w:t xml:space="preserve">Rostliny získané některými novými </w:t>
      </w:r>
      <w:r w:rsidRPr="00CD09EC">
        <w:t>genomickými</w:t>
      </w:r>
      <w:r w:rsidRPr="00CD09EC">
        <w:t xml:space="preserve"> technikami a produkty z</w:t>
      </w:r>
      <w:r w:rsidRPr="00CD09EC" w:rsidR="00BD3419">
        <w:t> </w:t>
      </w:r>
      <w:r w:rsidRPr="00CD09EC">
        <w:t>nich</w:t>
      </w:r>
      <w:bookmarkEnd w:id="1"/>
    </w:p>
    <w:p w:rsidR="00382EB1" w:rsidRPr="00BD3419" w:rsidP="00382EB1" w14:paraId="487071D3" w14:textId="77777777">
      <w:pPr>
        <w:rPr>
          <w:i/>
          <w:vanish/>
        </w:rPr>
      </w:pPr>
      <w:r>
        <w:rPr>
          <w:i/>
        </w:rPr>
        <w:fldChar w:fldCharType="begin"/>
      </w:r>
      <w:r w:rsidRPr="00BD3419">
        <w:rPr>
          <w:i/>
        </w:rPr>
        <w:instrText xml:space="preserve"> TC"(</w:instrText>
      </w:r>
      <w:bookmarkStart w:id="2" w:name="DocNumber"/>
      <w:r w:rsidRPr="00BD3419">
        <w:rPr>
          <w:i/>
        </w:rPr>
        <w:instrText>A10-0175/2026</w:instrText>
      </w:r>
      <w:bookmarkEnd w:id="2"/>
      <w:r w:rsidRPr="00BD3419">
        <w:rPr>
          <w:i/>
        </w:rPr>
        <w:instrText xml:space="preserve"> - Zpravodajka: Jessica </w:instrText>
      </w:r>
      <w:r w:rsidRPr="00BD3419">
        <w:rPr>
          <w:i/>
        </w:rPr>
        <w:instrText>Polfjärd</w:instrText>
      </w:r>
      <w:r w:rsidRPr="00BD3419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382EB1" w:rsidRPr="00BD3419" w:rsidP="00382EB1" w14:paraId="10F085B7" w14:textId="77777777">
      <w:pPr>
        <w:rPr>
          <w:vanish/>
        </w:rPr>
      </w:pPr>
      <w:bookmarkStart w:id="3" w:name="Commission"/>
      <w:r w:rsidRPr="00BD3419">
        <w:rPr>
          <w:vanish/>
        </w:rPr>
        <w:t>Výbor pro životní prostředí, klima a bezpečnost potravin</w:t>
      </w:r>
      <w:bookmarkEnd w:id="3"/>
    </w:p>
    <w:p w:rsidR="00382EB1" w:rsidRPr="00BD3419" w:rsidP="00382EB1" w14:paraId="0971AFCC" w14:textId="77777777">
      <w:pPr>
        <w:rPr>
          <w:vanish/>
        </w:rPr>
      </w:pPr>
      <w:bookmarkStart w:id="4" w:name="PE"/>
      <w:r w:rsidRPr="00BD3419">
        <w:rPr>
          <w:vanish/>
        </w:rPr>
        <w:t>PE789.924</w:t>
      </w:r>
      <w:bookmarkEnd w:id="4"/>
    </w:p>
    <w:p w:rsidR="00382EB1" w:rsidRPr="00CD09EC" w:rsidP="00382EB1" w14:paraId="2CCE05E4" w14:textId="77777777">
      <w:pPr>
        <w:pStyle w:val="ATHeading3"/>
      </w:pPr>
      <w:bookmarkStart w:id="5" w:name="Sujet"/>
      <w:r w:rsidRPr="00CD09EC">
        <w:t xml:space="preserve">Legislativní usnesení Evropského parlamentu ze dne 17. června 2026 k postoji Rady v prvním čtení k přijetí nařízení Evropského parlamentu a Rady o rostlinách získaných některými novými </w:t>
      </w:r>
      <w:r w:rsidRPr="00CD09EC">
        <w:t>genomickými</w:t>
      </w:r>
      <w:r w:rsidRPr="00CD09EC">
        <w:t xml:space="preserve"> technikami a produktech z nich a o změně nařízení (EU) 2017/625</w:t>
      </w:r>
      <w:bookmarkEnd w:id="5"/>
      <w:r w:rsidRPr="00CD09EC">
        <w:t xml:space="preserve"> </w:t>
      </w:r>
      <w:bookmarkStart w:id="6" w:name="References"/>
      <w:r w:rsidRPr="00CD09EC">
        <w:t>(17037/1/2025 – C10-0102/</w:t>
      </w:r>
      <w:r w:rsidRPr="00CD09EC">
        <w:t>2026 – 2023</w:t>
      </w:r>
      <w:r w:rsidRPr="00CD09EC">
        <w:t>/0226(COD))</w:t>
      </w:r>
      <w:bookmarkEnd w:id="6"/>
    </w:p>
    <w:p w:rsidR="00B63079" w:rsidRPr="00BD3419" w:rsidP="00B63079" w14:paraId="1B4BD0DB" w14:textId="77777777">
      <w:pPr>
        <w:pStyle w:val="NormalBold"/>
      </w:pPr>
      <w:bookmarkStart w:id="7" w:name="TextBodyBegin"/>
      <w:bookmarkEnd w:id="7"/>
      <w:r w:rsidRPr="00BD3419">
        <w:t>(Řádný legislativní postup: druhé čtení)</w:t>
      </w:r>
    </w:p>
    <w:p w:rsidR="00B63079" w:rsidRPr="00BD3419" w:rsidP="00B63079" w14:paraId="46981928" w14:textId="77777777">
      <w:pPr>
        <w:pStyle w:val="EPComma"/>
        <w:spacing w:before="360"/>
      </w:pPr>
      <w:r w:rsidRPr="00BD3419">
        <w:rPr>
          <w:i/>
        </w:rPr>
        <w:t>Evropský parlament</w:t>
      </w:r>
      <w:r w:rsidRPr="00BD3419">
        <w:t>,</w:t>
      </w:r>
    </w:p>
    <w:p w:rsidR="00B63079" w:rsidRPr="00BD3419" w:rsidP="00B63079" w14:paraId="5409E4D4" w14:textId="6E96819D">
      <w:pPr>
        <w:pStyle w:val="NormalHanging12a"/>
      </w:pPr>
      <w:r w:rsidRPr="00BD3419">
        <w:t>–</w:t>
      </w:r>
      <w:r w:rsidRPr="00BD3419">
        <w:tab/>
        <w:t>s ohledem na postoj Rady v prvním čtení (17037/</w:t>
      </w:r>
      <w:r w:rsidR="00F0443F">
        <w:t>1/</w:t>
      </w:r>
      <w:r w:rsidRPr="00BD3419">
        <w:t>25 – C10-0102/2026),</w:t>
      </w:r>
    </w:p>
    <w:p w:rsidR="00B63079" w:rsidRPr="00BD3419" w:rsidP="00B63079" w14:paraId="1A9C75EE" w14:textId="77777777">
      <w:pPr>
        <w:pStyle w:val="NormalHanging12a"/>
      </w:pPr>
      <w:r w:rsidRPr="00BD3419">
        <w:t>–</w:t>
      </w:r>
      <w:r w:rsidRPr="00BD3419">
        <w:tab/>
        <w:t>s ohledem na odůvodněná stanoviska předložená kyperským a maďarským parlamentem v rámci protokolu č. 2 o používání zásad subsidiarity a proporcionality, jež tvrdí, že návrh legislativního aktu není v souladu se zásadou subsidiarity,</w:t>
      </w:r>
    </w:p>
    <w:p w:rsidR="00B63079" w:rsidRPr="00BD3419" w:rsidP="00B63079" w14:paraId="7F64E7ED" w14:textId="658E4500">
      <w:pPr>
        <w:pStyle w:val="NormalHanging12a"/>
      </w:pPr>
      <w:r w:rsidRPr="00BD3419">
        <w:t>–</w:t>
      </w:r>
      <w:r w:rsidRPr="00BD3419">
        <w:tab/>
        <w:t>s ohledem na stanovisko Evropského hospodářského a sociálního výboru ze dne 26.</w:t>
      </w:r>
      <w:r w:rsidRPr="00BD3419" w:rsidR="00BD3419">
        <w:t> </w:t>
      </w:r>
      <w:r w:rsidRPr="00BD3419">
        <w:t>října 2023</w:t>
      </w:r>
      <w:r>
        <w:rPr>
          <w:rStyle w:val="FootnoteReference"/>
        </w:rPr>
        <w:footnoteReference w:id="2"/>
      </w:r>
      <w:r w:rsidRPr="00BD3419">
        <w:t>,</w:t>
      </w:r>
    </w:p>
    <w:p w:rsidR="00B63079" w:rsidRPr="00BD3419" w:rsidP="00B63079" w14:paraId="5D225F57" w14:textId="3668888B">
      <w:pPr>
        <w:pStyle w:val="NormalHanging12a"/>
      </w:pPr>
      <w:r w:rsidRPr="00BD3419">
        <w:t>–</w:t>
      </w:r>
      <w:r w:rsidRPr="00BD3419">
        <w:tab/>
        <w:t>s ohledem na stanovisko Výboru regionů ze dne 17. dubna 2024</w:t>
      </w:r>
      <w:r>
        <w:rPr>
          <w:rStyle w:val="FootnoteReference"/>
        </w:rPr>
        <w:footnoteReference w:id="3"/>
      </w:r>
      <w:r w:rsidRPr="00BD3419">
        <w:t>,</w:t>
      </w:r>
    </w:p>
    <w:p w:rsidR="00B63079" w:rsidRPr="00BD3419" w:rsidP="00B63079" w14:paraId="0AB06A58" w14:textId="77777777">
      <w:pPr>
        <w:pStyle w:val="NormalHanging12a"/>
      </w:pPr>
      <w:r w:rsidRPr="00BD3419">
        <w:t>–</w:t>
      </w:r>
      <w:r w:rsidRPr="00BD3419">
        <w:tab/>
        <w:t>s ohledem na svůj postoj v prvním čtení</w:t>
      </w:r>
      <w:r>
        <w:rPr>
          <w:rStyle w:val="FootnoteReference"/>
        </w:rPr>
        <w:footnoteReference w:id="4"/>
      </w:r>
      <w:r w:rsidRPr="00BD3419">
        <w:t xml:space="preserve"> k návrhu Komise předloženému Evropskému parlamentu a Radě (</w:t>
      </w:r>
      <w:r w:rsidRPr="00BD3419">
        <w:t>COM(</w:t>
      </w:r>
      <w:r w:rsidRPr="00BD3419">
        <w:t>2023)0411),</w:t>
      </w:r>
    </w:p>
    <w:p w:rsidR="00B63079" w:rsidRPr="00BD3419" w:rsidP="00B63079" w14:paraId="2CEC6E5D" w14:textId="77777777">
      <w:pPr>
        <w:pStyle w:val="NormalHanging12a"/>
      </w:pPr>
      <w:r w:rsidRPr="00BD3419">
        <w:t>–</w:t>
      </w:r>
      <w:r w:rsidRPr="00BD3419">
        <w:tab/>
        <w:t>s ohledem na čl. 294 odst. 7 Smlouvy o fungování Evropské unie,</w:t>
      </w:r>
    </w:p>
    <w:p w:rsidR="00B63079" w:rsidRPr="00BD3419" w:rsidP="00B63079" w14:paraId="0552A8B3" w14:textId="77777777">
      <w:pPr>
        <w:pStyle w:val="NormalHanging12a"/>
      </w:pPr>
      <w:r w:rsidRPr="00BD3419">
        <w:t>–</w:t>
      </w:r>
      <w:r w:rsidRPr="00BD3419">
        <w:tab/>
        <w:t>s ohledem na předběžnou dohodu přijatou příslušným výborem podle čl. 75 odst. 4 jednacího řádu,</w:t>
      </w:r>
    </w:p>
    <w:p w:rsidR="00B63079" w:rsidRPr="00BD3419" w:rsidP="00B63079" w14:paraId="4F1E965F" w14:textId="77777777">
      <w:pPr>
        <w:pStyle w:val="NormalHanging12a"/>
      </w:pPr>
      <w:r w:rsidRPr="00BD3419">
        <w:t>–</w:t>
      </w:r>
      <w:r w:rsidRPr="00BD3419">
        <w:tab/>
        <w:t>s ohledem na článek 68 jednacího řádu,</w:t>
      </w:r>
    </w:p>
    <w:p w:rsidR="00B63079" w:rsidRPr="00BD3419" w:rsidP="00B63079" w14:paraId="637B8EF4" w14:textId="77777777">
      <w:pPr>
        <w:pStyle w:val="NormalHanging12a"/>
      </w:pPr>
      <w:r w:rsidRPr="00BD3419">
        <w:t>–</w:t>
      </w:r>
      <w:r w:rsidRPr="00BD3419">
        <w:tab/>
        <w:t xml:space="preserve">s ohledem na doporučení pro druhé čtení předložené Výborem pro životní prostředí, </w:t>
      </w:r>
      <w:r w:rsidRPr="00BD3419">
        <w:t>klima a bezpečnost potravin (A10</w:t>
      </w:r>
      <w:r w:rsidRPr="00BD3419">
        <w:noBreakHyphen/>
        <w:t>0175/2026),</w:t>
      </w:r>
    </w:p>
    <w:p w:rsidR="00B63079" w:rsidRPr="00BD3419" w:rsidP="00B63079" w14:paraId="16281BAE" w14:textId="77777777">
      <w:pPr>
        <w:pStyle w:val="NormalHanging12a"/>
      </w:pPr>
      <w:r w:rsidRPr="00BD3419">
        <w:t>1.</w:t>
      </w:r>
      <w:r w:rsidRPr="00BD3419">
        <w:tab/>
        <w:t>schvaluje postoj Rady v prvním čtení;</w:t>
      </w:r>
    </w:p>
    <w:p w:rsidR="00B63079" w:rsidRPr="00BD3419" w:rsidP="00B63079" w14:paraId="1BBAB16A" w14:textId="77777777">
      <w:pPr>
        <w:pStyle w:val="NormalHanging12a"/>
      </w:pPr>
      <w:r w:rsidRPr="00BD3419">
        <w:t>2.</w:t>
      </w:r>
      <w:r w:rsidRPr="00BD3419">
        <w:tab/>
        <w:t>konstatuje, že akt je přijat v souladu s postojem Rady;</w:t>
      </w:r>
    </w:p>
    <w:p w:rsidR="00B63079" w:rsidRPr="00BD3419" w:rsidP="00B63079" w14:paraId="6434E2C2" w14:textId="77777777">
      <w:pPr>
        <w:pStyle w:val="NormalHanging12a"/>
      </w:pPr>
      <w:r w:rsidRPr="00BD3419">
        <w:t>3.</w:t>
      </w:r>
      <w:r w:rsidRPr="00BD3419">
        <w:tab/>
        <w:t>pověřuje svou předsedkyni, aby společně s předsedou Rady podepsala akt podle čl. 297 odst. 1 Smlouvy o fungování Evropské unie;</w:t>
      </w:r>
    </w:p>
    <w:p w:rsidR="00B63079" w:rsidRPr="00BD3419" w:rsidP="00B63079" w14:paraId="5BEC0F9B" w14:textId="77777777">
      <w:pPr>
        <w:pStyle w:val="NormalHanging12a"/>
      </w:pPr>
      <w:r w:rsidRPr="00BD3419">
        <w:t>4.</w:t>
      </w:r>
      <w:r w:rsidRPr="00BD3419">
        <w:tab/>
        <w:t>pověřuje svého generálního tajemníka, aby akt podepsal poté, co ověří, že všechny postupy byly řádně ukončeny, a aby společně s generální tajemnicí Rady zajistil jeho zveřejnění v </w:t>
      </w:r>
      <w:r w:rsidRPr="00BD3419">
        <w:rPr>
          <w:i/>
        </w:rPr>
        <w:t>Úředním věstníku Evropské unie</w:t>
      </w:r>
      <w:r w:rsidRPr="00BD3419">
        <w:t>;</w:t>
      </w:r>
    </w:p>
    <w:p w:rsidR="009D58F7" w:rsidRPr="00BD3419" w:rsidP="009D58F7" w14:paraId="20727C54" w14:textId="6411C50B">
      <w:pPr>
        <w:pStyle w:val="NormalHanging12a"/>
      </w:pPr>
      <w:r w:rsidRPr="00BD3419">
        <w:t>5.</w:t>
      </w:r>
      <w:r w:rsidRPr="00BD3419">
        <w:tab/>
        <w:t>pověřuje svou předsedkyni, aby předala postoj Parlamentu Radě, Komisi a vnitrostátním parlamentům.</w:t>
      </w:r>
    </w:p>
    <w:p w:rsidR="00E365E1" w:rsidRPr="00BD3419" w:rsidP="00382EB1" w14:paraId="06180C5D" w14:textId="0D771582"/>
    <w:sectPr w:rsidSect="009D58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D58F7" w14:paraId="1A640BF9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D58F7" w14:paraId="3214C106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D58F7" w14:paraId="4EB90A8A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82EB1" w:rsidRPr="009D58F7" w14:paraId="6EA424F0" w14:textId="77777777">
      <w:r w:rsidRPr="009D58F7">
        <w:separator/>
      </w:r>
    </w:p>
  </w:footnote>
  <w:footnote w:type="continuationSeparator" w:id="1">
    <w:p w:rsidR="00382EB1" w:rsidRPr="009D58F7" w14:paraId="29AAB103" w14:textId="77777777">
      <w:r w:rsidRPr="009D58F7">
        <w:continuationSeparator/>
      </w:r>
    </w:p>
  </w:footnote>
  <w:footnote w:id="2">
    <w:p w:rsidR="002927C3" w:rsidRPr="00CD09EC" w:rsidP="00CD09EC" w14:paraId="1DF9F81B" w14:textId="1E2C6796">
      <w:pPr>
        <w:pStyle w:val="FootnoteText"/>
        <w:ind w:left="567" w:hanging="567"/>
        <w:rPr>
          <w:sz w:val="24"/>
          <w:szCs w:val="24"/>
          <w:lang w:val="cs-CZ"/>
        </w:rPr>
      </w:pPr>
      <w:r w:rsidRPr="00CD09EC">
        <w:rPr>
          <w:rStyle w:val="FootnoteReference"/>
          <w:sz w:val="24"/>
          <w:szCs w:val="24"/>
        </w:rPr>
        <w:footnoteRef/>
      </w:r>
      <w:r w:rsidRPr="00CD09EC">
        <w:rPr>
          <w:sz w:val="24"/>
          <w:szCs w:val="24"/>
          <w:lang w:val="pl-PL"/>
        </w:rPr>
        <w:t xml:space="preserve"> </w:t>
      </w:r>
      <w:r w:rsidRPr="00CD09EC">
        <w:rPr>
          <w:sz w:val="24"/>
          <w:szCs w:val="24"/>
          <w:lang w:val="pl-PL"/>
        </w:rPr>
        <w:tab/>
      </w:r>
      <w:r w:rsidRPr="002927C3">
        <w:rPr>
          <w:sz w:val="24"/>
          <w:szCs w:val="24"/>
          <w:lang w:val="cs-CZ"/>
        </w:rPr>
        <w:t>Úř</w:t>
      </w:r>
      <w:r w:rsidRPr="002927C3">
        <w:rPr>
          <w:sz w:val="24"/>
          <w:szCs w:val="24"/>
          <w:lang w:val="cs-CZ"/>
        </w:rPr>
        <w:t xml:space="preserve">. </w:t>
      </w:r>
      <w:r w:rsidRPr="002927C3">
        <w:rPr>
          <w:sz w:val="24"/>
          <w:szCs w:val="24"/>
          <w:lang w:val="cs-CZ"/>
        </w:rPr>
        <w:t>věst</w:t>
      </w:r>
      <w:r w:rsidRPr="002927C3">
        <w:rPr>
          <w:sz w:val="24"/>
          <w:szCs w:val="24"/>
          <w:lang w:val="cs-CZ"/>
        </w:rPr>
        <w:t xml:space="preserve">. </w:t>
      </w:r>
      <w:r w:rsidRPr="00CD09EC">
        <w:rPr>
          <w:rFonts w:eastAsia="Calibri"/>
          <w:sz w:val="24"/>
          <w:szCs w:val="24"/>
          <w:lang w:val="cs-CZ" w:eastAsia="en-US"/>
        </w:rPr>
        <w:t>C, C/2024/893, 6.2.2024, ELI: </w:t>
      </w:r>
      <w:hyperlink r:id="rId1" w:tgtFrame="_blank" w:tooltip="Gives access to this document through its ELI URI." w:history="1">
        <w:r w:rsidRPr="00CD09EC">
          <w:rPr>
            <w:rFonts w:eastAsia="Calibri"/>
            <w:color w:val="0563C1"/>
            <w:sz w:val="24"/>
            <w:szCs w:val="24"/>
            <w:u w:val="single"/>
            <w:lang w:val="cs-CZ" w:eastAsia="en-US"/>
          </w:rPr>
          <w:t>http://data.europa.eu/eli/C/2024/893/oj</w:t>
        </w:r>
      </w:hyperlink>
      <w:r w:rsidRPr="002927C3" w:rsidR="00A71669">
        <w:rPr>
          <w:sz w:val="24"/>
          <w:szCs w:val="24"/>
          <w:lang w:val="cs-CZ"/>
        </w:rPr>
        <w:t>.</w:t>
      </w:r>
    </w:p>
  </w:footnote>
  <w:footnote w:id="3">
    <w:p w:rsidR="002927C3" w:rsidRPr="00CD09EC" w:rsidP="002927C3" w14:paraId="634B07CC" w14:textId="233B94CE">
      <w:pPr>
        <w:pStyle w:val="FootnoteText"/>
        <w:ind w:left="567" w:hanging="567"/>
        <w:rPr>
          <w:sz w:val="24"/>
          <w:szCs w:val="24"/>
          <w:lang w:val="fi-FI"/>
        </w:rPr>
      </w:pPr>
      <w:r w:rsidRPr="00CD09EC">
        <w:rPr>
          <w:rStyle w:val="FootnoteReference"/>
          <w:sz w:val="24"/>
          <w:szCs w:val="24"/>
        </w:rPr>
        <w:footnoteRef/>
      </w:r>
      <w:r w:rsidRPr="00CD09EC">
        <w:rPr>
          <w:sz w:val="24"/>
          <w:szCs w:val="24"/>
          <w:lang w:val="fi-FI"/>
        </w:rPr>
        <w:t xml:space="preserve"> </w:t>
      </w:r>
      <w:r w:rsidRPr="00CD09EC">
        <w:rPr>
          <w:sz w:val="24"/>
          <w:szCs w:val="24"/>
          <w:lang w:val="fi-FI"/>
        </w:rPr>
        <w:tab/>
      </w:r>
      <w:r w:rsidRPr="002927C3">
        <w:rPr>
          <w:sz w:val="24"/>
          <w:szCs w:val="24"/>
          <w:lang w:val="cs-CZ"/>
        </w:rPr>
        <w:t>Úř</w:t>
      </w:r>
      <w:r w:rsidRPr="002927C3">
        <w:rPr>
          <w:sz w:val="24"/>
          <w:szCs w:val="24"/>
          <w:lang w:val="cs-CZ"/>
        </w:rPr>
        <w:t xml:space="preserve">. </w:t>
      </w:r>
      <w:r w:rsidRPr="002927C3">
        <w:rPr>
          <w:sz w:val="24"/>
          <w:szCs w:val="24"/>
          <w:lang w:val="cs-CZ"/>
        </w:rPr>
        <w:t>věst</w:t>
      </w:r>
      <w:r w:rsidRPr="002927C3">
        <w:rPr>
          <w:sz w:val="24"/>
          <w:szCs w:val="24"/>
          <w:lang w:val="cs-CZ"/>
        </w:rPr>
        <w:t xml:space="preserve">. </w:t>
      </w:r>
      <w:r w:rsidRPr="00CD09EC">
        <w:rPr>
          <w:sz w:val="24"/>
          <w:szCs w:val="24"/>
          <w:lang w:val="fi-FI"/>
        </w:rPr>
        <w:t xml:space="preserve">C, C/2024/3674, 26.6.2024, ELI: </w:t>
      </w:r>
      <w:hyperlink r:id="rId2" w:history="1">
        <w:r w:rsidRPr="00CD09EC">
          <w:rPr>
            <w:rStyle w:val="Hyperlink"/>
            <w:sz w:val="24"/>
            <w:szCs w:val="24"/>
            <w:lang w:val="fi-FI"/>
          </w:rPr>
          <w:t>http://data.europa.eu/eli/C/2024/3674/oj</w:t>
        </w:r>
      </w:hyperlink>
      <w:r w:rsidRPr="00CD09EC">
        <w:rPr>
          <w:sz w:val="24"/>
          <w:szCs w:val="24"/>
          <w:lang w:val="fi-FI"/>
        </w:rPr>
        <w:t>.</w:t>
      </w:r>
    </w:p>
  </w:footnote>
  <w:footnote w:id="4">
    <w:p w:rsidR="00B63079" w:rsidRPr="009D58F7" w:rsidP="002927C3" w14:paraId="5EAD7C04" w14:textId="53A7B5DE">
      <w:pPr>
        <w:pStyle w:val="FootnoteText"/>
        <w:ind w:left="567" w:hanging="567"/>
        <w:rPr>
          <w:sz w:val="24"/>
          <w:lang w:val="cs-CZ"/>
        </w:rPr>
      </w:pPr>
      <w:r w:rsidRPr="002927C3">
        <w:rPr>
          <w:rStyle w:val="FootnoteReference"/>
          <w:sz w:val="24"/>
          <w:szCs w:val="24"/>
          <w:lang w:val="cs-CZ"/>
        </w:rPr>
        <w:footnoteRef/>
      </w:r>
      <w:r w:rsidRPr="002927C3" w:rsidR="009D58F7">
        <w:rPr>
          <w:sz w:val="24"/>
          <w:szCs w:val="24"/>
          <w:lang w:val="cs-CZ"/>
        </w:rPr>
        <w:t xml:space="preserve"> </w:t>
      </w:r>
      <w:r w:rsidRPr="002927C3" w:rsidR="009D58F7">
        <w:rPr>
          <w:sz w:val="24"/>
          <w:szCs w:val="24"/>
          <w:lang w:val="cs-CZ"/>
        </w:rPr>
        <w:tab/>
      </w:r>
      <w:r w:rsidRPr="002927C3">
        <w:rPr>
          <w:sz w:val="24"/>
          <w:szCs w:val="24"/>
          <w:lang w:val="cs-CZ"/>
        </w:rPr>
        <w:t>Úř</w:t>
      </w:r>
      <w:r w:rsidRPr="002927C3">
        <w:rPr>
          <w:sz w:val="24"/>
          <w:szCs w:val="24"/>
          <w:lang w:val="cs-CZ"/>
        </w:rPr>
        <w:t xml:space="preserve">. </w:t>
      </w:r>
      <w:r w:rsidRPr="002927C3">
        <w:rPr>
          <w:sz w:val="24"/>
          <w:szCs w:val="24"/>
          <w:lang w:val="cs-CZ"/>
        </w:rPr>
        <w:t>věst</w:t>
      </w:r>
      <w:r w:rsidRPr="002927C3">
        <w:rPr>
          <w:sz w:val="24"/>
          <w:szCs w:val="24"/>
          <w:lang w:val="cs-CZ"/>
        </w:rPr>
        <w:t xml:space="preserve">. C, C/2024/6358, 7.11.2024, ELI: </w:t>
      </w:r>
      <w:hyperlink r:id="rId3" w:history="1">
        <w:r w:rsidRPr="002927C3">
          <w:rPr>
            <w:rStyle w:val="Hyperlink"/>
            <w:sz w:val="24"/>
            <w:szCs w:val="24"/>
            <w:lang w:val="cs-CZ"/>
          </w:rPr>
          <w:t>http://data.europa.eu/eli/C/2024/6358/oj</w:t>
        </w:r>
      </w:hyperlink>
      <w:r w:rsidRPr="002927C3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D58F7" w14:paraId="680107F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D58F7" w14:paraId="301781C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D58F7" w14:paraId="1BE20B2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44237854">
    <w:abstractNumId w:val="9"/>
  </w:num>
  <w:num w:numId="2" w16cid:durableId="1197040362">
    <w:abstractNumId w:val="9"/>
  </w:num>
  <w:num w:numId="3" w16cid:durableId="842477245">
    <w:abstractNumId w:val="7"/>
  </w:num>
  <w:num w:numId="4" w16cid:durableId="509955545">
    <w:abstractNumId w:val="7"/>
  </w:num>
  <w:num w:numId="5" w16cid:durableId="454177282">
    <w:abstractNumId w:val="6"/>
  </w:num>
  <w:num w:numId="6" w16cid:durableId="2098476306">
    <w:abstractNumId w:val="6"/>
  </w:num>
  <w:num w:numId="7" w16cid:durableId="924726262">
    <w:abstractNumId w:val="5"/>
  </w:num>
  <w:num w:numId="8" w16cid:durableId="1199314537">
    <w:abstractNumId w:val="5"/>
  </w:num>
  <w:num w:numId="9" w16cid:durableId="23408147">
    <w:abstractNumId w:val="4"/>
  </w:num>
  <w:num w:numId="10" w16cid:durableId="1735547061">
    <w:abstractNumId w:val="4"/>
  </w:num>
  <w:num w:numId="11" w16cid:durableId="1537355198">
    <w:abstractNumId w:val="8"/>
  </w:num>
  <w:num w:numId="12" w16cid:durableId="1686055003">
    <w:abstractNumId w:val="8"/>
  </w:num>
  <w:num w:numId="13" w16cid:durableId="73017198">
    <w:abstractNumId w:val="3"/>
  </w:num>
  <w:num w:numId="14" w16cid:durableId="1982811436">
    <w:abstractNumId w:val="3"/>
  </w:num>
  <w:num w:numId="15" w16cid:durableId="1879124887">
    <w:abstractNumId w:val="2"/>
  </w:num>
  <w:num w:numId="16" w16cid:durableId="1710297142">
    <w:abstractNumId w:val="2"/>
  </w:num>
  <w:num w:numId="17" w16cid:durableId="1444886702">
    <w:abstractNumId w:val="1"/>
  </w:num>
  <w:num w:numId="18" w16cid:durableId="1074813723">
    <w:abstractNumId w:val="1"/>
  </w:num>
  <w:num w:numId="19" w16cid:durableId="142891224">
    <w:abstractNumId w:val="0"/>
  </w:num>
  <w:num w:numId="20" w16cid:durableId="4022668">
    <w:abstractNumId w:val="0"/>
  </w:num>
  <w:num w:numId="21" w16cid:durableId="732778894">
    <w:abstractNumId w:val="9"/>
  </w:num>
  <w:num w:numId="22" w16cid:durableId="2077195683">
    <w:abstractNumId w:val="7"/>
  </w:num>
  <w:num w:numId="23" w16cid:durableId="250429598">
    <w:abstractNumId w:val="6"/>
  </w:num>
  <w:num w:numId="24" w16cid:durableId="150217090">
    <w:abstractNumId w:val="5"/>
  </w:num>
  <w:num w:numId="25" w16cid:durableId="1759058006">
    <w:abstractNumId w:val="4"/>
  </w:num>
  <w:num w:numId="26" w16cid:durableId="17508611">
    <w:abstractNumId w:val="8"/>
  </w:num>
  <w:num w:numId="27" w16cid:durableId="1130905969">
    <w:abstractNumId w:val="3"/>
  </w:num>
  <w:num w:numId="28" w16cid:durableId="492767799">
    <w:abstractNumId w:val="2"/>
  </w:num>
  <w:num w:numId="29" w16cid:durableId="1029186643">
    <w:abstractNumId w:val="1"/>
  </w:num>
  <w:num w:numId="30" w16cid:durableId="297341139">
    <w:abstractNumId w:val="0"/>
  </w:num>
  <w:num w:numId="31" w16cid:durableId="1916352562">
    <w:abstractNumId w:val="9"/>
  </w:num>
  <w:num w:numId="32" w16cid:durableId="721906118">
    <w:abstractNumId w:val="7"/>
  </w:num>
  <w:num w:numId="33" w16cid:durableId="1771702403">
    <w:abstractNumId w:val="6"/>
  </w:num>
  <w:num w:numId="34" w16cid:durableId="1201550286">
    <w:abstractNumId w:val="5"/>
  </w:num>
  <w:num w:numId="35" w16cid:durableId="380128681">
    <w:abstractNumId w:val="4"/>
  </w:num>
  <w:num w:numId="36" w16cid:durableId="96952363">
    <w:abstractNumId w:val="8"/>
  </w:num>
  <w:num w:numId="37" w16cid:durableId="887256656">
    <w:abstractNumId w:val="3"/>
  </w:num>
  <w:num w:numId="38" w16cid:durableId="1102531018">
    <w:abstractNumId w:val="2"/>
  </w:num>
  <w:num w:numId="39" w16cid:durableId="956326681">
    <w:abstractNumId w:val="1"/>
  </w:num>
  <w:num w:numId="40" w16cid:durableId="707486522">
    <w:abstractNumId w:val="0"/>
  </w:num>
  <w:num w:numId="41" w16cid:durableId="1611745820">
    <w:abstractNumId w:val="10"/>
  </w:num>
  <w:num w:numId="42" w16cid:durableId="1339502882">
    <w:abstractNumId w:val="10"/>
  </w:num>
  <w:num w:numId="43" w16cid:durableId="188299881">
    <w:abstractNumId w:val="10"/>
  </w:num>
  <w:num w:numId="44" w16cid:durableId="17694958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EB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27C3"/>
    <w:rsid w:val="002B18FE"/>
    <w:rsid w:val="002B5493"/>
    <w:rsid w:val="00343214"/>
    <w:rsid w:val="00361C00"/>
    <w:rsid w:val="00382EB1"/>
    <w:rsid w:val="00395FA1"/>
    <w:rsid w:val="003E15D4"/>
    <w:rsid w:val="00411CCE"/>
    <w:rsid w:val="0041666E"/>
    <w:rsid w:val="00421060"/>
    <w:rsid w:val="00471C19"/>
    <w:rsid w:val="004867E3"/>
    <w:rsid w:val="00494A28"/>
    <w:rsid w:val="004B7847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06A1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58F7"/>
    <w:rsid w:val="00A1687D"/>
    <w:rsid w:val="00A43E52"/>
    <w:rsid w:val="00A4678D"/>
    <w:rsid w:val="00A71669"/>
    <w:rsid w:val="00A778C7"/>
    <w:rsid w:val="00AB441E"/>
    <w:rsid w:val="00AB6293"/>
    <w:rsid w:val="00AE0928"/>
    <w:rsid w:val="00AF3B82"/>
    <w:rsid w:val="00B12E95"/>
    <w:rsid w:val="00B22876"/>
    <w:rsid w:val="00B558F0"/>
    <w:rsid w:val="00B63079"/>
    <w:rsid w:val="00BD3419"/>
    <w:rsid w:val="00BD48FE"/>
    <w:rsid w:val="00BD7BD8"/>
    <w:rsid w:val="00BE6ADC"/>
    <w:rsid w:val="00C05BFE"/>
    <w:rsid w:val="00C23CD4"/>
    <w:rsid w:val="00C35F20"/>
    <w:rsid w:val="00C61C0C"/>
    <w:rsid w:val="00C941CB"/>
    <w:rsid w:val="00CC2357"/>
    <w:rsid w:val="00CD09EC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443F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75/2026"/>
    <w:docVar w:name="dvlangue" w:val="CS"/>
    <w:docVar w:name="dvnumam" w:val="0"/>
    <w:docVar w:name="dvpe" w:val="789.924"/>
    <w:docVar w:name="dvrapporteur" w:val="Zpravodajka: "/>
    <w:docVar w:name="dvstar" w:val="***II"/>
    <w:docVar w:name="dvtitre" w:val="Legislativní usnesení Evropského parlamentu ze dne 17. června 2026 k postoji Rady v prvním čtení k přijetí nařízení Evropského parlamentu a Rady o rostlinách získaných některými novými genomickými technikami a produktech z nich a o změně nařízení (EU) 2017/625(17037/1/2025 – C10-0102/2026 – 2023/022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35C30A5"/>
  <w15:chartTrackingRefBased/>
  <w15:docId w15:val="{3C689E90-AC68-41CA-8253-D83AFA52C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63079"/>
    <w:pPr>
      <w:spacing w:before="480" w:after="240"/>
    </w:pPr>
  </w:style>
  <w:style w:type="paragraph" w:customStyle="1" w:styleId="NormalBold">
    <w:name w:val="NormalBold"/>
    <w:basedOn w:val="Normal"/>
    <w:rsid w:val="00B63079"/>
    <w:rPr>
      <w:b/>
    </w:rPr>
  </w:style>
  <w:style w:type="paragraph" w:customStyle="1" w:styleId="NormalHanging12a">
    <w:name w:val="NormalHanging12a"/>
    <w:basedOn w:val="Normal"/>
    <w:rsid w:val="00B63079"/>
    <w:pPr>
      <w:spacing w:after="240"/>
      <w:ind w:left="567" w:hanging="567"/>
    </w:pPr>
  </w:style>
  <w:style w:type="character" w:styleId="Hyperlink">
    <w:name w:val="Hyperlink"/>
    <w:basedOn w:val="DefaultParagraphFont"/>
    <w:rsid w:val="00B6307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D3419"/>
    <w:rPr>
      <w:sz w:val="24"/>
      <w:lang w:val="cs-CZ"/>
    </w:rPr>
  </w:style>
  <w:style w:type="character" w:styleId="CommentReference">
    <w:name w:val="annotation reference"/>
    <w:basedOn w:val="DefaultParagraphFont"/>
    <w:rsid w:val="00BD34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341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D3419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BD34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D3419"/>
    <w:rPr>
      <w:b/>
      <w:bCs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2927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3/oj" TargetMode="External" /><Relationship Id="rId2" Type="http://schemas.openxmlformats.org/officeDocument/2006/relationships/hyperlink" Target="http://data.europa.eu/eli/C/2024/3674/oj" TargetMode="External" /><Relationship Id="rId3" Type="http://schemas.openxmlformats.org/officeDocument/2006/relationships/hyperlink" Target="http://data.europa.eu/eli/C/2024/6358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287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2026-06-17T11:08:00Z</dcterms:created>
  <dcterms:modified xsi:type="dcterms:W3CDTF">2026-06-17T11:08:00Z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A10-0175/2026</vt:lpwstr>
  </property>
  <property fmtid="{D5CDD505-2E9C-101B-9397-08002B2CF9AE}" pid="4" name="&lt;Type&gt;">
    <vt:lpwstr>RR</vt:lpwstr>
  </property>
</Properties>
</file>