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05D7AA4" w14:textId="77777777" w:rsidTr="0010095E">
        <w:tblPrEx>
          <w:tblW w:w="9072" w:type="dxa"/>
          <w:tblLook w:val="01E0"/>
        </w:tblPrEx>
        <w:trPr>
          <w:trHeight w:hRule="exact" w:val="1418"/>
        </w:trPr>
        <w:tc>
          <w:tcPr>
            <w:tcW w:w="6804" w:type="dxa"/>
            <w:vAlign w:val="center"/>
          </w:tcPr>
          <w:p w:rsidR="00751A4A" w:rsidRPr="00E8303E" w:rsidP="0010095E" w14:paraId="5CB89369" w14:textId="77777777">
            <w:pPr>
              <w:pStyle w:val="EPName"/>
            </w:pPr>
            <w:r w:rsidRPr="00E8303E">
              <w:t>Ευρωπαϊκό Κοινοβούλιο</w:t>
            </w:r>
          </w:p>
          <w:p w:rsidR="00751A4A" w:rsidRPr="00E8303E" w:rsidP="005F1B17" w14:paraId="2FFC19D5" w14:textId="77777777">
            <w:pPr>
              <w:pStyle w:val="EPTerm"/>
              <w:rPr>
                <w:rStyle w:val="HideTWBExt"/>
                <w:noProof w:val="0"/>
                <w:vanish w:val="0"/>
                <w:color w:val="auto"/>
              </w:rPr>
            </w:pPr>
            <w:r w:rsidRPr="00E8303E">
              <w:t>2024</w:t>
            </w:r>
            <w:r w:rsidRPr="00E8303E" w:rsidR="00817416">
              <w:t>-202</w:t>
            </w:r>
            <w:r w:rsidRPr="00E8303E">
              <w:t>9</w:t>
            </w:r>
          </w:p>
        </w:tc>
        <w:tc>
          <w:tcPr>
            <w:tcW w:w="2268" w:type="dxa"/>
          </w:tcPr>
          <w:p w:rsidR="00751A4A" w:rsidRPr="00E8303E" w:rsidP="0010095E" w14:paraId="7577CF6D" w14:textId="77777777">
            <w:pPr>
              <w:pStyle w:val="EPLogo"/>
            </w:pPr>
            <w:r w:rsidRPr="00E8303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8303E" w:rsidP="004C5D52" w14:paraId="6D36AABC" w14:textId="77777777">
      <w:pPr>
        <w:pStyle w:val="LineTop"/>
      </w:pPr>
    </w:p>
    <w:p w:rsidR="00680577" w:rsidRPr="00E8303E" w:rsidP="00680577" w14:paraId="6540E13C" w14:textId="77777777">
      <w:pPr>
        <w:pStyle w:val="EPBodyTA1"/>
      </w:pPr>
      <w:r w:rsidRPr="00E8303E">
        <w:t>ΚΕΙΜΕΝΑ ΠΟΥ ΕΓΚΡΙΘΗΚΑΝ</w:t>
      </w:r>
    </w:p>
    <w:p w:rsidR="00D058B8" w:rsidRPr="00E8303E" w:rsidP="00D058B8" w14:paraId="050DAD37" w14:textId="77777777">
      <w:pPr>
        <w:pStyle w:val="LineBottom"/>
      </w:pPr>
    </w:p>
    <w:p w:rsidR="00875ABF" w:rsidRPr="00E8303E" w:rsidP="00875ABF" w14:paraId="78BAD877" w14:textId="1FE0A0E5">
      <w:pPr>
        <w:pStyle w:val="ATHeading1"/>
      </w:pPr>
      <w:bookmarkStart w:id="0" w:name="TANumber"/>
      <w:r w:rsidRPr="00E8303E">
        <w:t>P10_TA(2026)0</w:t>
      </w:r>
      <w:bookmarkEnd w:id="0"/>
      <w:r w:rsidR="00353A58">
        <w:t>206</w:t>
      </w:r>
    </w:p>
    <w:p w:rsidR="00875ABF" w:rsidRPr="00E8303E" w:rsidP="00875ABF" w14:paraId="330F43FE" w14:textId="77777777">
      <w:pPr>
        <w:pStyle w:val="ATHeading2"/>
      </w:pPr>
      <w:bookmarkStart w:id="1" w:name="title"/>
      <w:r w:rsidRPr="00E8303E">
        <w:t>Φυτά που παράγονται με ορισμένες νέες γονιδιωματικές τεχνικές και τρόφιμα και ζωοτροφές που προέρχονται από αυτά</w:t>
      </w:r>
      <w:bookmarkEnd w:id="1"/>
    </w:p>
    <w:p w:rsidR="00875ABF" w:rsidRPr="00E8303E" w:rsidP="00875ABF" w14:paraId="6BB03D5D" w14:textId="77777777">
      <w:pPr>
        <w:rPr>
          <w:i/>
          <w:vanish/>
        </w:rPr>
      </w:pPr>
      <w:r>
        <w:rPr>
          <w:i/>
        </w:rPr>
        <w:fldChar w:fldCharType="begin"/>
      </w:r>
      <w:r w:rsidRPr="00E8303E">
        <w:rPr>
          <w:i/>
        </w:rPr>
        <w:instrText xml:space="preserve"> TC"(</w:instrText>
      </w:r>
      <w:bookmarkStart w:id="2" w:name="DocNumber"/>
      <w:r w:rsidRPr="00E8303E">
        <w:rPr>
          <w:i/>
        </w:rPr>
        <w:instrText>A10-0175/2026</w:instrText>
      </w:r>
      <w:bookmarkEnd w:id="2"/>
      <w:r w:rsidRPr="00E8303E">
        <w:rPr>
          <w:i/>
        </w:rPr>
        <w:instrText xml:space="preserve"> - Εισηγήτρια: Jessica Polfjärd)"\l3 \n&gt; \* MERGEFORMAT </w:instrText>
      </w:r>
      <w:r>
        <w:rPr>
          <w:i/>
        </w:rPr>
        <w:fldChar w:fldCharType="end"/>
      </w:r>
    </w:p>
    <w:p w:rsidR="00875ABF" w:rsidRPr="00E8303E" w:rsidP="00875ABF" w14:paraId="632F0DAC" w14:textId="77777777">
      <w:pPr>
        <w:rPr>
          <w:vanish/>
        </w:rPr>
      </w:pPr>
      <w:bookmarkStart w:id="3" w:name="Commission"/>
      <w:r w:rsidRPr="00E8303E">
        <w:rPr>
          <w:vanish/>
        </w:rPr>
        <w:t>Επιτροπή Περιβάλλοντος, Κλίματος και Ασφάλειας των Τροφίμων</w:t>
      </w:r>
      <w:bookmarkEnd w:id="3"/>
    </w:p>
    <w:p w:rsidR="00875ABF" w:rsidRPr="00E8303E" w:rsidP="00875ABF" w14:paraId="1F2C671D" w14:textId="77777777">
      <w:pPr>
        <w:rPr>
          <w:vanish/>
        </w:rPr>
      </w:pPr>
      <w:bookmarkStart w:id="4" w:name="PE"/>
      <w:r w:rsidRPr="00E8303E">
        <w:rPr>
          <w:vanish/>
        </w:rPr>
        <w:t>PE789.924</w:t>
      </w:r>
      <w:bookmarkEnd w:id="4"/>
    </w:p>
    <w:p w:rsidR="00875ABF" w:rsidRPr="00E8303E" w:rsidP="00875ABF" w14:paraId="057C7F08" w14:textId="49F8F89B">
      <w:pPr>
        <w:pStyle w:val="ATHeading3"/>
      </w:pPr>
      <w:bookmarkStart w:id="5" w:name="Sujet"/>
      <w:r w:rsidRPr="00E8303E">
        <w:t xml:space="preserve">Νομοθετικό ψήφισμα του Ευρωπαϊκού Κοινοβουλίου της </w:t>
      </w:r>
      <w:r w:rsidR="00104383">
        <w:t>17ης Ιουνίου</w:t>
      </w:r>
      <w:r w:rsidRPr="00E8303E">
        <w:t xml:space="preserve"> 2026 σχετικά με τη θέση του Συμβουλίου σε πρώτη ανάγνωση ενόψει της έκδοσης κανονισμού του Ευρωπαϊκού Κοινοβουλίου και του Συμβουλίου για τα φυτά που παράγονται με ορισμένες νέες γονιδιωματικές τεχνικές και τα </w:t>
      </w:r>
      <w:r w:rsidR="00C65725">
        <w:t>προϊόντα τους</w:t>
      </w:r>
      <w:r w:rsidRPr="00E8303E">
        <w:t xml:space="preserve"> και για την τροποποίηση του κανονισμού (ΕΕ) 2017/625</w:t>
      </w:r>
      <w:bookmarkEnd w:id="5"/>
      <w:r w:rsidRPr="00E8303E">
        <w:t xml:space="preserve"> </w:t>
      </w:r>
      <w:bookmarkStart w:id="6" w:name="References"/>
      <w:r w:rsidRPr="00E8303E">
        <w:t>(17037/1/2025 – C10-0102/2026 – 2023/0226(COD))</w:t>
      </w:r>
      <w:bookmarkEnd w:id="6"/>
    </w:p>
    <w:p w:rsidR="00875ABF" w:rsidRPr="00E8303E" w:rsidP="00875ABF" w14:paraId="142211ED" w14:textId="77777777"/>
    <w:p w:rsidR="00323277" w:rsidRPr="00E8303E" w:rsidP="00323277" w14:paraId="28E97734" w14:textId="77777777">
      <w:pPr>
        <w:pStyle w:val="NormalBold"/>
      </w:pPr>
      <w:bookmarkStart w:id="7" w:name="TextBodyBegin"/>
      <w:bookmarkEnd w:id="7"/>
      <w:r w:rsidRPr="00E8303E">
        <w:t>(Συνήθης νομοθετική διαδικασία: δεύτερη ανάγνωση)</w:t>
      </w:r>
    </w:p>
    <w:p w:rsidR="00323277" w:rsidRPr="00E8303E" w:rsidP="00323277" w14:paraId="1F8EDBB0" w14:textId="77777777">
      <w:pPr>
        <w:pStyle w:val="EPComma"/>
      </w:pPr>
      <w:r w:rsidRPr="00E8303E">
        <w:t xml:space="preserve">Το Ευρωπαϊκό Κοινοβούλιο, </w:t>
      </w:r>
    </w:p>
    <w:p w:rsidR="00323277" w:rsidRPr="00E8303E" w:rsidP="00323277" w14:paraId="468EA197" w14:textId="1A9F23B6">
      <w:pPr>
        <w:pStyle w:val="NormalHanging12a"/>
      </w:pPr>
      <w:r w:rsidRPr="00E8303E">
        <w:t>–</w:t>
      </w:r>
      <w:r w:rsidRPr="00E8303E">
        <w:tab/>
        <w:t>έχοντας υπόψη τη θέση του Συμβουλίου σε πρώτη ανάγνωση (17037/</w:t>
      </w:r>
      <w:r w:rsidR="00C65725">
        <w:t>1/</w:t>
      </w:r>
      <w:r w:rsidRPr="00E8303E">
        <w:t>25 – C10-0102/2026),</w:t>
      </w:r>
    </w:p>
    <w:p w:rsidR="00323277" w:rsidRPr="00E8303E" w:rsidP="00323277" w14:paraId="68D9EF9A" w14:textId="64B435E7">
      <w:pPr>
        <w:pStyle w:val="NormalHanging12a"/>
      </w:pPr>
      <w:r w:rsidRPr="00E8303E">
        <w:t>–</w:t>
      </w:r>
      <w:r w:rsidRPr="00E8303E">
        <w:tab/>
        <w:t>έχοντας υπόψη τις αιτιολογημένες γνώμες που υποβλήθηκαν από την Βουλή</w:t>
      </w:r>
      <w:r w:rsidR="00857DDF">
        <w:t xml:space="preserve"> των Αντιπροσώπων της Κυπριακής Δημοκρατίας</w:t>
      </w:r>
      <w:r w:rsidRPr="00E8303E">
        <w:t xml:space="preserve"> και το Κοινοβούλιο της Ουγγαρίας, στο πλαίσιο του πρωτοκόλλου αριθ. 2 σχετικά με την εφαρμογή των αρχών της επικουρικότητας και της αναλογικότητας, με τις οποίες υποστηρίζεται ότι το σχέδιο νομοθετικής πράξης δεν συνάδει προς την αρχή της επικουρικότητας,</w:t>
      </w:r>
    </w:p>
    <w:p w:rsidR="00323277" w:rsidRPr="00E8303E" w:rsidP="00323277" w14:paraId="0BC9C74E" w14:textId="6AABC3A9">
      <w:pPr>
        <w:pStyle w:val="NormalHanging12a"/>
      </w:pPr>
      <w:r w:rsidRPr="00E8303E">
        <w:t>–</w:t>
      </w:r>
      <w:r w:rsidRPr="00E8303E">
        <w:tab/>
        <w:t>έχοντας υπόψη τη γνωμοδότηση της Ευρωπαϊκής Οικονομικής και Κοινωνικής Επιτροπής, της 26ης Οκτωβρίου 2023</w:t>
      </w:r>
      <w:r>
        <w:rPr>
          <w:rStyle w:val="FootnoteReference"/>
        </w:rPr>
        <w:footnoteReference w:id="2"/>
      </w:r>
      <w:r w:rsidRPr="00E8303E">
        <w:t>,</w:t>
      </w:r>
    </w:p>
    <w:p w:rsidR="00323277" w:rsidRPr="00E8303E" w:rsidP="00323277" w14:paraId="56EFC570" w14:textId="5C548761">
      <w:pPr>
        <w:pStyle w:val="NormalHanging12a"/>
      </w:pPr>
      <w:r w:rsidRPr="00E8303E">
        <w:t>–</w:t>
      </w:r>
      <w:r w:rsidRPr="00E8303E">
        <w:tab/>
        <w:t>έχοντας υπόψη τη γνωμοδότηση της Επιτροπής των Περιφερειών, της 17ης Απριλίου 2024</w:t>
      </w:r>
      <w:r>
        <w:rPr>
          <w:rStyle w:val="FootnoteReference"/>
        </w:rPr>
        <w:footnoteReference w:id="3"/>
      </w:r>
      <w:r w:rsidRPr="00E8303E">
        <w:t>,</w:t>
      </w:r>
    </w:p>
    <w:p w:rsidR="00323277" w:rsidRPr="00E8303E" w:rsidP="00323277" w14:paraId="47764C2E" w14:textId="77777777">
      <w:pPr>
        <w:pStyle w:val="NormalHanging12a"/>
      </w:pPr>
      <w:r w:rsidRPr="00E8303E">
        <w:t>–</w:t>
      </w:r>
      <w:r w:rsidRPr="00E8303E">
        <w:tab/>
        <w:t>έχοντας υπόψη τη θέση του σε πρώτη ανάγνωση</w:t>
      </w:r>
      <w:r>
        <w:rPr>
          <w:rStyle w:val="FootnoteReference"/>
        </w:rPr>
        <w:footnoteReference w:id="4"/>
      </w:r>
      <w:r w:rsidRPr="00E8303E">
        <w:t xml:space="preserve"> σχετικά με την πρόταση της Επιτροπής προς το Κοινοβούλιο και το Συμβούλιο (COM(2023)0411),</w:t>
      </w:r>
    </w:p>
    <w:p w:rsidR="00323277" w:rsidRPr="00E8303E" w:rsidP="00323277" w14:paraId="2055492B" w14:textId="77777777">
      <w:pPr>
        <w:pStyle w:val="NormalHanging12a"/>
      </w:pPr>
      <w:r w:rsidRPr="00E8303E">
        <w:t>–</w:t>
      </w:r>
      <w:r w:rsidRPr="00E8303E">
        <w:tab/>
        <w:t xml:space="preserve">έχοντας υπόψη το άρθρο 294 παράγραφος 7 της Συνθήκης για τη λειτουργία της </w:t>
      </w:r>
      <w:r w:rsidRPr="00E8303E">
        <w:t>Ευρωπαϊκής Ένωσης,</w:t>
      </w:r>
    </w:p>
    <w:p w:rsidR="00323277" w:rsidRPr="00E8303E" w:rsidP="00323277" w14:paraId="02E4C2E7" w14:textId="77777777">
      <w:pPr>
        <w:pStyle w:val="NormalHanging12a"/>
      </w:pPr>
      <w:r w:rsidRPr="00E8303E">
        <w:t>–</w:t>
      </w:r>
      <w:r w:rsidRPr="00E8303E">
        <w:tab/>
        <w:t>έχοντας υπόψη την προσωρινή συμφωνία που εγκρίθηκε από την αρμόδια επιτροπή σύμφωνα με το άρθρο 75 παράγραφος 4 του Κανονισμού του,</w:t>
      </w:r>
    </w:p>
    <w:p w:rsidR="00323277" w:rsidRPr="00E8303E" w:rsidP="00323277" w14:paraId="1D15C7F3" w14:textId="77777777">
      <w:pPr>
        <w:pStyle w:val="NormalHanging12a"/>
      </w:pPr>
      <w:r w:rsidRPr="00E8303E">
        <w:t>–</w:t>
      </w:r>
      <w:r w:rsidRPr="00E8303E">
        <w:tab/>
        <w:t>έχοντας υπόψη το άρθρο 68 του Κανονισμού του,</w:t>
      </w:r>
    </w:p>
    <w:p w:rsidR="00323277" w:rsidRPr="00E8303E" w:rsidP="00323277" w14:paraId="67A47950" w14:textId="77777777">
      <w:pPr>
        <w:pStyle w:val="NormalHanging12a"/>
      </w:pPr>
      <w:r w:rsidRPr="00E8303E">
        <w:t>–</w:t>
      </w:r>
      <w:r w:rsidRPr="00E8303E">
        <w:tab/>
        <w:t>έχοντας υπόψη τη σύσταση για τη δεύτερη ανάγνωση της Επιτροπής Περιβάλλοντος, Κλίματος και Ασφάλειας των Τροφίμων (A10-0175/2026),</w:t>
      </w:r>
    </w:p>
    <w:p w:rsidR="00323277" w:rsidRPr="00E8303E" w:rsidP="00323277" w14:paraId="2BCEE035" w14:textId="77777777">
      <w:pPr>
        <w:pStyle w:val="NormalHanging12a"/>
      </w:pPr>
      <w:r w:rsidRPr="00E8303E">
        <w:t>1.</w:t>
      </w:r>
      <w:r w:rsidRPr="00E8303E">
        <w:tab/>
        <w:t>εγκρίνει τη θέση του Συμβουλίου σε πρώτη ανάγνωση·</w:t>
      </w:r>
    </w:p>
    <w:p w:rsidR="00323277" w:rsidRPr="00E8303E" w:rsidP="00323277" w14:paraId="3A7C2B8B" w14:textId="77777777">
      <w:pPr>
        <w:pStyle w:val="NormalHanging12a"/>
      </w:pPr>
      <w:r w:rsidRPr="00E8303E">
        <w:t>2.</w:t>
      </w:r>
      <w:r w:rsidRPr="00E8303E">
        <w:tab/>
        <w:t>διαπιστώνει ότι η πράξη εκδόθηκε σύμφωνα με τη θέση του Συμβουλίου·</w:t>
      </w:r>
    </w:p>
    <w:p w:rsidR="00323277" w:rsidRPr="00E8303E" w:rsidP="00323277" w14:paraId="489F489D" w14:textId="77777777">
      <w:pPr>
        <w:pStyle w:val="NormalHanging12a"/>
      </w:pPr>
      <w:bookmarkStart w:id="8" w:name="_Hlk232445111"/>
      <w:r w:rsidRPr="00E8303E">
        <w:t>3.</w:t>
      </w:r>
      <w:r w:rsidRPr="00E8303E">
        <w:tab/>
        <w:t>αναθέτει στην Πρόεδρό του να υπογράψει την πράξη, μαζί με τον Πρόεδρο του Συμβουλίου, σύμφωνα με το άρθρο 297 παράγραφος 1 της Συνθήκης για τη λειτουργία της Ευρωπαϊκής Ένωσης·</w:t>
      </w:r>
    </w:p>
    <w:bookmarkEnd w:id="8"/>
    <w:p w:rsidR="00323277" w:rsidRPr="00E8303E" w:rsidP="00323277" w14:paraId="21B19610" w14:textId="77777777">
      <w:pPr>
        <w:pStyle w:val="NormalHanging12a"/>
      </w:pPr>
      <w:r w:rsidRPr="00E8303E">
        <w:t>4.</w:t>
      </w:r>
      <w:r w:rsidRPr="00E8303E">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E8303E">
        <w:rPr>
          <w:i/>
        </w:rPr>
        <w:t>Επίσημη Εφημερίδα της Ευρωπαϊκής Ένωσης</w:t>
      </w:r>
      <w:r w:rsidRPr="00E8303E">
        <w:t>·</w:t>
      </w:r>
    </w:p>
    <w:p w:rsidR="00E8303E" w:rsidRPr="00E8303E" w:rsidP="00E8303E" w14:paraId="34D6B449" w14:textId="59897494">
      <w:pPr>
        <w:pStyle w:val="NormalHanging12a"/>
      </w:pPr>
      <w:r w:rsidRPr="00E8303E">
        <w:t>5.</w:t>
      </w:r>
      <w:r w:rsidRPr="00E8303E">
        <w:tab/>
        <w:t>αναθέτει στην Πρόεδρό του να διαβιβάσει τη θέση του Κοινοβουλίου στο Συμβούλιο, στην Επιτροπή και στα εθνικά κοινοβούλια.</w:t>
      </w:r>
    </w:p>
    <w:p w:rsidR="00E365E1" w:rsidRPr="00E8303E" w:rsidP="00875ABF" w14:paraId="4AF46C5B" w14:textId="144671D5"/>
    <w:sectPr w:rsidSect="00E8303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303E" w14:paraId="217B439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303E" w14:paraId="060301B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303E" w14:paraId="6D64F6A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75605" w:rsidRPr="00E8303E" w14:paraId="3606D7C6" w14:textId="77777777">
      <w:r w:rsidRPr="00E8303E">
        <w:separator/>
      </w:r>
    </w:p>
  </w:footnote>
  <w:footnote w:type="continuationSeparator" w:id="1">
    <w:p w:rsidR="00575605" w:rsidRPr="00E8303E" w14:paraId="28946CD6" w14:textId="77777777">
      <w:r w:rsidRPr="00E8303E">
        <w:continuationSeparator/>
      </w:r>
    </w:p>
  </w:footnote>
  <w:footnote w:id="2">
    <w:p w:rsidR="00C65725" w:rsidRPr="00025E73" w:rsidP="00025E73" w14:paraId="5A7E281F" w14:textId="6C3E291C">
      <w:pPr>
        <w:pStyle w:val="FootnoteText"/>
        <w:tabs>
          <w:tab w:val="left" w:pos="709"/>
        </w:tabs>
        <w:ind w:left="709" w:hanging="709"/>
        <w:rPr>
          <w:sz w:val="24"/>
          <w:szCs w:val="24"/>
          <w:lang w:val="el-GR"/>
        </w:rPr>
      </w:pPr>
      <w:r w:rsidRPr="00025E73">
        <w:rPr>
          <w:rStyle w:val="FootnoteReference"/>
          <w:sz w:val="24"/>
          <w:szCs w:val="24"/>
        </w:rPr>
        <w:footnoteRef/>
      </w:r>
      <w:r w:rsidRPr="00025E73">
        <w:rPr>
          <w:sz w:val="24"/>
          <w:szCs w:val="24"/>
          <w:lang w:val="el-GR"/>
        </w:rPr>
        <w:t xml:space="preserve"> </w:t>
      </w:r>
      <w:r w:rsidRPr="00025E73">
        <w:rPr>
          <w:sz w:val="24"/>
          <w:szCs w:val="24"/>
          <w:lang w:val="el-GR"/>
        </w:rPr>
        <w:tab/>
      </w:r>
      <w:r>
        <w:rPr>
          <w:rFonts w:eastAsia="Calibri"/>
          <w:sz w:val="24"/>
          <w:szCs w:val="24"/>
          <w:lang w:val="el-GR" w:eastAsia="en-US"/>
        </w:rPr>
        <w:t>ΕΕ</w:t>
      </w:r>
      <w:r w:rsidRPr="00025E73">
        <w:rPr>
          <w:rFonts w:eastAsia="Calibri"/>
          <w:sz w:val="24"/>
          <w:szCs w:val="24"/>
          <w:lang w:val="el-GR" w:eastAsia="en-US"/>
        </w:rPr>
        <w:t xml:space="preserve"> </w:t>
      </w:r>
      <w:r w:rsidRPr="00025E73">
        <w:rPr>
          <w:rFonts w:eastAsia="Calibri"/>
          <w:sz w:val="24"/>
          <w:szCs w:val="24"/>
          <w:lang w:val="pl-PL" w:eastAsia="en-US"/>
        </w:rPr>
        <w:t>C</w:t>
      </w:r>
      <w:r w:rsidRPr="00025E73">
        <w:rPr>
          <w:rFonts w:eastAsia="Calibri"/>
          <w:sz w:val="24"/>
          <w:szCs w:val="24"/>
          <w:lang w:val="el-GR" w:eastAsia="en-US"/>
        </w:rPr>
        <w:t xml:space="preserve">, </w:t>
      </w:r>
      <w:r w:rsidRPr="00025E73">
        <w:rPr>
          <w:rFonts w:eastAsia="Calibri"/>
          <w:sz w:val="24"/>
          <w:szCs w:val="24"/>
          <w:lang w:val="pl-PL" w:eastAsia="en-US"/>
        </w:rPr>
        <w:t>C</w:t>
      </w:r>
      <w:r w:rsidRPr="00025E73">
        <w:rPr>
          <w:rFonts w:eastAsia="Calibri"/>
          <w:sz w:val="24"/>
          <w:szCs w:val="24"/>
          <w:lang w:val="el-GR" w:eastAsia="en-US"/>
        </w:rPr>
        <w:t xml:space="preserve">/2024/893, 6.2.2024, </w:t>
      </w:r>
      <w:r w:rsidRPr="00025E73">
        <w:rPr>
          <w:rFonts w:eastAsia="Calibri"/>
          <w:sz w:val="24"/>
          <w:szCs w:val="24"/>
          <w:lang w:val="pl-PL" w:eastAsia="en-US"/>
        </w:rPr>
        <w:t>ELI</w:t>
      </w:r>
      <w:r w:rsidRPr="00025E73">
        <w:rPr>
          <w:rFonts w:eastAsia="Calibri"/>
          <w:sz w:val="24"/>
          <w:szCs w:val="24"/>
          <w:lang w:val="el-GR" w:eastAsia="en-US"/>
        </w:rPr>
        <w:t>:</w:t>
      </w:r>
      <w:r w:rsidRPr="00025E73">
        <w:rPr>
          <w:rFonts w:eastAsia="Calibri"/>
          <w:sz w:val="24"/>
          <w:szCs w:val="24"/>
          <w:lang w:val="pl-PL" w:eastAsia="en-US"/>
        </w:rPr>
        <w:t> </w:t>
      </w:r>
      <w:hyperlink r:id="rId1" w:history="1">
        <w:r w:rsidRPr="00025E73">
          <w:rPr>
            <w:rStyle w:val="Hyperlink"/>
            <w:rFonts w:eastAsia="Calibri"/>
            <w:szCs w:val="24"/>
            <w:lang w:val="pl-PL"/>
          </w:rPr>
          <w:t>http</w:t>
        </w:r>
        <w:r w:rsidRPr="00025E73">
          <w:rPr>
            <w:rStyle w:val="Hyperlink"/>
            <w:rFonts w:eastAsia="Calibri"/>
            <w:szCs w:val="24"/>
            <w:lang w:val="el-GR"/>
          </w:rPr>
          <w:t>://</w:t>
        </w:r>
        <w:r w:rsidRPr="00025E73">
          <w:rPr>
            <w:rStyle w:val="Hyperlink"/>
            <w:rFonts w:eastAsia="Calibri"/>
            <w:szCs w:val="24"/>
            <w:lang w:val="pl-PL"/>
          </w:rPr>
          <w:t>data</w:t>
        </w:r>
        <w:r w:rsidRPr="00025E73">
          <w:rPr>
            <w:rStyle w:val="Hyperlink"/>
            <w:rFonts w:eastAsia="Calibri"/>
            <w:szCs w:val="24"/>
            <w:lang w:val="el-GR"/>
          </w:rPr>
          <w:t>.</w:t>
        </w:r>
        <w:r w:rsidRPr="00025E73">
          <w:rPr>
            <w:rStyle w:val="Hyperlink"/>
            <w:rFonts w:eastAsia="Calibri"/>
            <w:szCs w:val="24"/>
            <w:lang w:val="pl-PL"/>
          </w:rPr>
          <w:t>europa</w:t>
        </w:r>
        <w:r w:rsidRPr="00025E73">
          <w:rPr>
            <w:rStyle w:val="Hyperlink"/>
            <w:rFonts w:eastAsia="Calibri"/>
            <w:szCs w:val="24"/>
            <w:lang w:val="el-GR"/>
          </w:rPr>
          <w:t>.</w:t>
        </w:r>
        <w:r w:rsidRPr="00025E73">
          <w:rPr>
            <w:rStyle w:val="Hyperlink"/>
            <w:rFonts w:eastAsia="Calibri"/>
            <w:szCs w:val="24"/>
            <w:lang w:val="pl-PL"/>
          </w:rPr>
          <w:t>eu</w:t>
        </w:r>
        <w:r w:rsidRPr="00025E73">
          <w:rPr>
            <w:rStyle w:val="Hyperlink"/>
            <w:rFonts w:eastAsia="Calibri"/>
            <w:szCs w:val="24"/>
            <w:lang w:val="el-GR"/>
          </w:rPr>
          <w:t>/</w:t>
        </w:r>
        <w:r w:rsidRPr="00025E73">
          <w:rPr>
            <w:rStyle w:val="Hyperlink"/>
            <w:rFonts w:eastAsia="Calibri"/>
            <w:szCs w:val="24"/>
            <w:lang w:val="pl-PL"/>
          </w:rPr>
          <w:t>eli</w:t>
        </w:r>
        <w:r w:rsidRPr="00025E73">
          <w:rPr>
            <w:rStyle w:val="Hyperlink"/>
            <w:rFonts w:eastAsia="Calibri"/>
            <w:szCs w:val="24"/>
            <w:lang w:val="el-GR"/>
          </w:rPr>
          <w:t>/</w:t>
        </w:r>
        <w:r w:rsidRPr="00025E73">
          <w:rPr>
            <w:rStyle w:val="Hyperlink"/>
            <w:rFonts w:eastAsia="Calibri"/>
            <w:szCs w:val="24"/>
            <w:lang w:val="pl-PL"/>
          </w:rPr>
          <w:t>C</w:t>
        </w:r>
        <w:r w:rsidRPr="00025E73">
          <w:rPr>
            <w:rStyle w:val="Hyperlink"/>
            <w:rFonts w:eastAsia="Calibri"/>
            <w:szCs w:val="24"/>
            <w:lang w:val="el-GR"/>
          </w:rPr>
          <w:t>/2024/893/</w:t>
        </w:r>
        <w:r w:rsidRPr="00025E73">
          <w:rPr>
            <w:rStyle w:val="Hyperlink"/>
            <w:rFonts w:eastAsia="Calibri"/>
            <w:szCs w:val="24"/>
            <w:lang w:val="pl-PL"/>
          </w:rPr>
          <w:t>oj</w:t>
        </w:r>
      </w:hyperlink>
      <w:r>
        <w:rPr>
          <w:rFonts w:eastAsia="Calibri"/>
          <w:color w:val="0563C1"/>
          <w:sz w:val="24"/>
          <w:szCs w:val="24"/>
          <w:u w:val="single"/>
          <w:lang w:val="el-GR" w:eastAsia="en-US"/>
        </w:rPr>
        <w:t>.</w:t>
      </w:r>
    </w:p>
  </w:footnote>
  <w:footnote w:id="3">
    <w:p w:rsidR="00C65725" w:rsidRPr="00025E73" w:rsidP="00025E73" w14:paraId="31DA74E6" w14:textId="3300A0B7">
      <w:pPr>
        <w:pStyle w:val="FootnoteText"/>
        <w:tabs>
          <w:tab w:val="left" w:pos="709"/>
        </w:tabs>
        <w:ind w:left="709" w:hanging="709"/>
        <w:rPr>
          <w:sz w:val="24"/>
          <w:szCs w:val="24"/>
          <w:lang w:val="fi-FI"/>
        </w:rPr>
      </w:pPr>
      <w:r w:rsidRPr="00025E73">
        <w:rPr>
          <w:rStyle w:val="FootnoteReference"/>
          <w:sz w:val="24"/>
          <w:szCs w:val="24"/>
        </w:rPr>
        <w:footnoteRef/>
      </w:r>
      <w:r w:rsidRPr="00025E73">
        <w:rPr>
          <w:sz w:val="24"/>
          <w:szCs w:val="24"/>
          <w:lang w:val="fi-FI"/>
        </w:rPr>
        <w:t xml:space="preserve"> </w:t>
      </w:r>
      <w:r w:rsidRPr="00025E73">
        <w:rPr>
          <w:sz w:val="24"/>
          <w:szCs w:val="24"/>
          <w:lang w:val="fi-FI"/>
        </w:rPr>
        <w:tab/>
      </w:r>
      <w:r>
        <w:rPr>
          <w:sz w:val="24"/>
          <w:szCs w:val="24"/>
          <w:lang w:val="el-GR"/>
        </w:rPr>
        <w:t>ΕΕ</w:t>
      </w:r>
      <w:r w:rsidRPr="00025E73">
        <w:rPr>
          <w:sz w:val="24"/>
          <w:szCs w:val="24"/>
          <w:lang w:val="fi-FI"/>
        </w:rPr>
        <w:t xml:space="preserve"> C, C/2024/3674, 26.6.2024, ELI: </w:t>
      </w:r>
      <w:hyperlink r:id="rId2" w:history="1">
        <w:r w:rsidRPr="00025E73">
          <w:rPr>
            <w:rStyle w:val="Hyperlink"/>
            <w:sz w:val="24"/>
            <w:szCs w:val="24"/>
            <w:lang w:val="fi-FI"/>
          </w:rPr>
          <w:t>http://data.europa.eu/eli/C/2024/3674/oj</w:t>
        </w:r>
      </w:hyperlink>
      <w:r w:rsidRPr="00025E73">
        <w:rPr>
          <w:sz w:val="24"/>
          <w:szCs w:val="24"/>
          <w:lang w:val="fi-FI"/>
        </w:rPr>
        <w:t>.</w:t>
      </w:r>
    </w:p>
  </w:footnote>
  <w:footnote w:id="4">
    <w:p w:rsidR="00323277" w:rsidRPr="00025E73" w:rsidP="00025E73" w14:paraId="2AEB3E85" w14:textId="6C9B5307">
      <w:pPr>
        <w:pStyle w:val="FootnoteText"/>
        <w:tabs>
          <w:tab w:val="left" w:pos="709"/>
        </w:tabs>
        <w:ind w:left="709" w:hanging="709"/>
        <w:rPr>
          <w:sz w:val="24"/>
          <w:szCs w:val="24"/>
          <w:lang w:val="fi-FI"/>
        </w:rPr>
      </w:pPr>
      <w:r w:rsidRPr="00C65725">
        <w:rPr>
          <w:rStyle w:val="FootnoteReference"/>
          <w:sz w:val="24"/>
          <w:szCs w:val="24"/>
          <w:lang w:val="el-GR"/>
        </w:rPr>
        <w:footnoteRef/>
      </w:r>
      <w:r w:rsidRPr="00025E73" w:rsidR="00E8303E">
        <w:rPr>
          <w:sz w:val="24"/>
          <w:szCs w:val="24"/>
          <w:lang w:val="fi-FI"/>
        </w:rPr>
        <w:t xml:space="preserve"> </w:t>
      </w:r>
      <w:r w:rsidRPr="00025E73" w:rsidR="00E8303E">
        <w:rPr>
          <w:sz w:val="24"/>
          <w:szCs w:val="24"/>
          <w:lang w:val="fi-FI"/>
        </w:rPr>
        <w:tab/>
      </w:r>
      <w:r w:rsidRPr="00C65725">
        <w:rPr>
          <w:sz w:val="24"/>
          <w:szCs w:val="24"/>
          <w:lang w:val="el-GR"/>
        </w:rPr>
        <w:t>ΕΕ</w:t>
      </w:r>
      <w:r w:rsidRPr="00025E73">
        <w:rPr>
          <w:sz w:val="24"/>
          <w:szCs w:val="24"/>
          <w:lang w:val="fi-FI"/>
        </w:rPr>
        <w:t xml:space="preserve"> C, C/2024/6358, 7.11.2024, ELI: </w:t>
      </w:r>
      <w:hyperlink r:id="rId3" w:history="1">
        <w:r w:rsidRPr="00025E73">
          <w:rPr>
            <w:rStyle w:val="Hyperlink"/>
            <w:sz w:val="24"/>
            <w:szCs w:val="24"/>
            <w:lang w:val="fi-FI"/>
          </w:rPr>
          <w:t>http://data.europa.eu/eli/C/2024/6358/oj</w:t>
        </w:r>
      </w:hyperlink>
      <w:r w:rsidRPr="00025E73" w:rsidR="00C65725">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303E" w14:paraId="311DCC8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303E" w14:paraId="3351A5C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303E" w14:paraId="0203455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2417848">
    <w:abstractNumId w:val="9"/>
  </w:num>
  <w:num w:numId="2" w16cid:durableId="796341281">
    <w:abstractNumId w:val="9"/>
  </w:num>
  <w:num w:numId="3" w16cid:durableId="1899971728">
    <w:abstractNumId w:val="7"/>
  </w:num>
  <w:num w:numId="4" w16cid:durableId="1102335187">
    <w:abstractNumId w:val="7"/>
  </w:num>
  <w:num w:numId="5" w16cid:durableId="414472719">
    <w:abstractNumId w:val="6"/>
  </w:num>
  <w:num w:numId="6" w16cid:durableId="521358486">
    <w:abstractNumId w:val="6"/>
  </w:num>
  <w:num w:numId="7" w16cid:durableId="235088926">
    <w:abstractNumId w:val="5"/>
  </w:num>
  <w:num w:numId="8" w16cid:durableId="815950761">
    <w:abstractNumId w:val="5"/>
  </w:num>
  <w:num w:numId="9" w16cid:durableId="1852530655">
    <w:abstractNumId w:val="4"/>
  </w:num>
  <w:num w:numId="10" w16cid:durableId="1151676701">
    <w:abstractNumId w:val="4"/>
  </w:num>
  <w:num w:numId="11" w16cid:durableId="863401852">
    <w:abstractNumId w:val="8"/>
  </w:num>
  <w:num w:numId="12" w16cid:durableId="1620641862">
    <w:abstractNumId w:val="8"/>
  </w:num>
  <w:num w:numId="13" w16cid:durableId="346635503">
    <w:abstractNumId w:val="3"/>
  </w:num>
  <w:num w:numId="14" w16cid:durableId="1762679307">
    <w:abstractNumId w:val="3"/>
  </w:num>
  <w:num w:numId="15" w16cid:durableId="1173497865">
    <w:abstractNumId w:val="2"/>
  </w:num>
  <w:num w:numId="16" w16cid:durableId="1046834798">
    <w:abstractNumId w:val="2"/>
  </w:num>
  <w:num w:numId="17" w16cid:durableId="166557315">
    <w:abstractNumId w:val="1"/>
  </w:num>
  <w:num w:numId="18" w16cid:durableId="931622663">
    <w:abstractNumId w:val="1"/>
  </w:num>
  <w:num w:numId="19" w16cid:durableId="1683434755">
    <w:abstractNumId w:val="0"/>
  </w:num>
  <w:num w:numId="20" w16cid:durableId="1346202386">
    <w:abstractNumId w:val="0"/>
  </w:num>
  <w:num w:numId="21" w16cid:durableId="1822843930">
    <w:abstractNumId w:val="9"/>
  </w:num>
  <w:num w:numId="22" w16cid:durableId="328213558">
    <w:abstractNumId w:val="7"/>
  </w:num>
  <w:num w:numId="23" w16cid:durableId="2022707494">
    <w:abstractNumId w:val="6"/>
  </w:num>
  <w:num w:numId="24" w16cid:durableId="421032408">
    <w:abstractNumId w:val="5"/>
  </w:num>
  <w:num w:numId="25" w16cid:durableId="1480343803">
    <w:abstractNumId w:val="4"/>
  </w:num>
  <w:num w:numId="26" w16cid:durableId="304555198">
    <w:abstractNumId w:val="8"/>
  </w:num>
  <w:num w:numId="27" w16cid:durableId="1153595942">
    <w:abstractNumId w:val="3"/>
  </w:num>
  <w:num w:numId="28" w16cid:durableId="1569921787">
    <w:abstractNumId w:val="2"/>
  </w:num>
  <w:num w:numId="29" w16cid:durableId="460612416">
    <w:abstractNumId w:val="1"/>
  </w:num>
  <w:num w:numId="30" w16cid:durableId="205144048">
    <w:abstractNumId w:val="0"/>
  </w:num>
  <w:num w:numId="31" w16cid:durableId="622618880">
    <w:abstractNumId w:val="9"/>
  </w:num>
  <w:num w:numId="32" w16cid:durableId="299464740">
    <w:abstractNumId w:val="7"/>
  </w:num>
  <w:num w:numId="33" w16cid:durableId="640310493">
    <w:abstractNumId w:val="6"/>
  </w:num>
  <w:num w:numId="34" w16cid:durableId="1142692947">
    <w:abstractNumId w:val="5"/>
  </w:num>
  <w:num w:numId="35" w16cid:durableId="1486122575">
    <w:abstractNumId w:val="4"/>
  </w:num>
  <w:num w:numId="36" w16cid:durableId="1309937041">
    <w:abstractNumId w:val="8"/>
  </w:num>
  <w:num w:numId="37" w16cid:durableId="1607498444">
    <w:abstractNumId w:val="3"/>
  </w:num>
  <w:num w:numId="38" w16cid:durableId="265624708">
    <w:abstractNumId w:val="2"/>
  </w:num>
  <w:num w:numId="39" w16cid:durableId="2041473463">
    <w:abstractNumId w:val="1"/>
  </w:num>
  <w:num w:numId="40" w16cid:durableId="457719890">
    <w:abstractNumId w:val="0"/>
  </w:num>
  <w:num w:numId="41" w16cid:durableId="162474909">
    <w:abstractNumId w:val="10"/>
  </w:num>
  <w:num w:numId="42" w16cid:durableId="1981740">
    <w:abstractNumId w:val="10"/>
  </w:num>
  <w:num w:numId="43" w16cid:durableId="1391080603">
    <w:abstractNumId w:val="10"/>
  </w:num>
  <w:num w:numId="44" w16cid:durableId="8548518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ABF"/>
    <w:rsid w:val="00002272"/>
    <w:rsid w:val="00025E73"/>
    <w:rsid w:val="00064002"/>
    <w:rsid w:val="000677B9"/>
    <w:rsid w:val="000831BA"/>
    <w:rsid w:val="000A42CC"/>
    <w:rsid w:val="000E7DD9"/>
    <w:rsid w:val="0010095E"/>
    <w:rsid w:val="00104383"/>
    <w:rsid w:val="00125B37"/>
    <w:rsid w:val="00187494"/>
    <w:rsid w:val="001F32AE"/>
    <w:rsid w:val="002767FF"/>
    <w:rsid w:val="002B18FE"/>
    <w:rsid w:val="002B5493"/>
    <w:rsid w:val="00323277"/>
    <w:rsid w:val="00343214"/>
    <w:rsid w:val="00353A58"/>
    <w:rsid w:val="00360E55"/>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560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7DDF"/>
    <w:rsid w:val="00865F67"/>
    <w:rsid w:val="00875ABF"/>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04B1"/>
    <w:rsid w:val="00AE0928"/>
    <w:rsid w:val="00AF3B82"/>
    <w:rsid w:val="00B12E95"/>
    <w:rsid w:val="00B22876"/>
    <w:rsid w:val="00B558F0"/>
    <w:rsid w:val="00B93F3C"/>
    <w:rsid w:val="00BD48FE"/>
    <w:rsid w:val="00BD7BD8"/>
    <w:rsid w:val="00BE6ADC"/>
    <w:rsid w:val="00C05BFE"/>
    <w:rsid w:val="00C23CD4"/>
    <w:rsid w:val="00C61C0C"/>
    <w:rsid w:val="00C65725"/>
    <w:rsid w:val="00C941CB"/>
    <w:rsid w:val="00CC2357"/>
    <w:rsid w:val="00CF071A"/>
    <w:rsid w:val="00CF1EA4"/>
    <w:rsid w:val="00D058B8"/>
    <w:rsid w:val="00D56C11"/>
    <w:rsid w:val="00D834A0"/>
    <w:rsid w:val="00D872DF"/>
    <w:rsid w:val="00D91E21"/>
    <w:rsid w:val="00DA7FCD"/>
    <w:rsid w:val="00E365E1"/>
    <w:rsid w:val="00E508B4"/>
    <w:rsid w:val="00E820A4"/>
    <w:rsid w:val="00E8303E"/>
    <w:rsid w:val="00EB006A"/>
    <w:rsid w:val="00EB4772"/>
    <w:rsid w:val="00ED169E"/>
    <w:rsid w:val="00ED4235"/>
    <w:rsid w:val="00F04346"/>
    <w:rsid w:val="00F075DC"/>
    <w:rsid w:val="00F149E9"/>
    <w:rsid w:val="00F5134D"/>
    <w:rsid w:val="00F74202"/>
    <w:rsid w:val="00F87713"/>
    <w:rsid w:val="00FB4360"/>
    <w:rsid w:val="00FD0C35"/>
    <w:rsid w:val="00FD0C70"/>
  </w:rsids>
  <w:docVars>
    <w:docVar w:name="dvdocse" w:val="A10-0175/2026"/>
    <w:docVar w:name="dvlangue" w:val="EL"/>
    <w:docVar w:name="dvnumam" w:val="0"/>
    <w:docVar w:name="dvpe" w:val="789.924"/>
    <w:docVar w:name="dvrapporteur" w:val="Εισηγήτρια: "/>
    <w:docVar w:name="dvtitre" w:val="Νομοθετικό ψήφισμα του Ευρωπαϊκού Κοινοβουλίου της ... 2026 σχετικά με τη θέση του Συμβουλίου σε πρώτη ανάγνωση ενόψει της έκδοσης κανονισμού του Ευρωπαϊκού Κοινοβουλίου και του Συμβουλίου για τα φυτά που παράγονται με ορισμένες νέες γονιδιωματικές τεχνικές και τα τρόφιμα και τις ζωοτροφές που προέρχονται από αυτά, και για την τροποποίηση του κανονισμού (ΕΕ) 2017/625(17037/1/2025 – C10-0102/2026 – 2023/0226(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A021D82"/>
  <w15:chartTrackingRefBased/>
  <w15:docId w15:val="{6CAF56A6-1C36-454C-9B0D-22E8F10A1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23277"/>
    <w:pPr>
      <w:spacing w:before="480" w:after="240"/>
    </w:pPr>
  </w:style>
  <w:style w:type="paragraph" w:customStyle="1" w:styleId="NormalBold">
    <w:name w:val="NormalBold"/>
    <w:basedOn w:val="Normal"/>
    <w:rsid w:val="00323277"/>
    <w:rPr>
      <w:b/>
    </w:rPr>
  </w:style>
  <w:style w:type="paragraph" w:customStyle="1" w:styleId="NormalHanging12a">
    <w:name w:val="NormalHanging12a"/>
    <w:basedOn w:val="Normal"/>
    <w:rsid w:val="00323277"/>
    <w:pPr>
      <w:spacing w:after="240"/>
      <w:ind w:left="567" w:hanging="567"/>
    </w:pPr>
  </w:style>
  <w:style w:type="character" w:styleId="Hyperlink">
    <w:name w:val="Hyperlink"/>
    <w:basedOn w:val="DefaultParagraphFont"/>
    <w:rsid w:val="00323277"/>
    <w:rPr>
      <w:color w:val="0563C1" w:themeColor="hyperlink"/>
      <w:u w:val="single"/>
    </w:rPr>
  </w:style>
  <w:style w:type="paragraph" w:styleId="Revision">
    <w:name w:val="Revision"/>
    <w:hidden/>
    <w:uiPriority w:val="99"/>
    <w:semiHidden/>
    <w:rsid w:val="00104383"/>
    <w:rPr>
      <w:sz w:val="24"/>
      <w:lang w:val="el-GR"/>
    </w:rPr>
  </w:style>
  <w:style w:type="character" w:styleId="UnresolvedMention">
    <w:name w:val="Unresolved Mention"/>
    <w:basedOn w:val="DefaultParagraphFont"/>
    <w:uiPriority w:val="99"/>
    <w:semiHidden/>
    <w:unhideWhenUsed/>
    <w:rsid w:val="00C657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893/oj" TargetMode="External" /><Relationship Id="rId2" Type="http://schemas.openxmlformats.org/officeDocument/2006/relationships/hyperlink" Target="http://data.europa.eu/eli/C/2024/3674/oj" TargetMode="External" /><Relationship Id="rId3" Type="http://schemas.openxmlformats.org/officeDocument/2006/relationships/hyperlink" Target="http://data.europa.eu/eli/C/2024/6358/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2026-10-15T16:08:00Z</dcterms:created>
  <dcterms:modified xsi:type="dcterms:W3CDTF">2026-10-15T16:08:00Z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P10_TA(2026)0206_</vt:lpwstr>
  </property>
  <property fmtid="{D5CDD505-2E9C-101B-9397-08002B2CF9AE}" pid="4" name="&lt;Type&gt;">
    <vt:lpwstr>RR</vt:lpwstr>
  </property>
</Properties>
</file>