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766AB2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B38C9" w:rsidP="0010095E" w14:paraId="48470C91" w14:textId="77777777">
            <w:pPr>
              <w:pStyle w:val="EPName"/>
            </w:pPr>
            <w:r w:rsidRPr="00EB38C9">
              <w:t>Európai Parlament</w:t>
            </w:r>
          </w:p>
          <w:p w:rsidR="00751A4A" w:rsidRPr="00EB38C9" w:rsidP="005F1B17" w14:paraId="68B9F2D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38C9">
              <w:t>2024</w:t>
            </w:r>
            <w:r w:rsidRPr="00EB38C9" w:rsidR="00817416">
              <w:t>-202</w:t>
            </w:r>
            <w:r w:rsidRPr="00EB38C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B38C9" w:rsidP="0010095E" w14:paraId="40A5E59E" w14:textId="77777777">
            <w:pPr>
              <w:pStyle w:val="EPLogo"/>
            </w:pPr>
            <w:r w:rsidRPr="00EB38C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B38C9" w:rsidP="004C5D52" w14:paraId="78BFC476" w14:textId="77777777">
      <w:pPr>
        <w:pStyle w:val="LineTop"/>
      </w:pPr>
    </w:p>
    <w:p w:rsidR="00680577" w:rsidRPr="00EB38C9" w:rsidP="00680577" w14:paraId="6FE0DAE6" w14:textId="77777777">
      <w:pPr>
        <w:pStyle w:val="EPBodyTA1"/>
      </w:pPr>
      <w:r w:rsidRPr="00EB38C9">
        <w:t>ELFOGADOTT SZÖVEGEK</w:t>
      </w:r>
    </w:p>
    <w:p w:rsidR="00D058B8" w:rsidRPr="00EB38C9" w:rsidP="00D058B8" w14:paraId="203AA976" w14:textId="77777777">
      <w:pPr>
        <w:pStyle w:val="LineBottom"/>
      </w:pPr>
    </w:p>
    <w:p w:rsidR="007D5607" w:rsidRPr="00EB38C9" w:rsidP="007D5607" w14:paraId="0583C9BF" w14:textId="4ABB34E7">
      <w:pPr>
        <w:pStyle w:val="ATHeading1"/>
      </w:pPr>
      <w:bookmarkStart w:id="0" w:name="TANumber"/>
      <w:r w:rsidRPr="00EB38C9">
        <w:t>P10_TA(2026)0</w:t>
      </w:r>
      <w:r w:rsidR="00EB38C9">
        <w:t>206</w:t>
      </w:r>
      <w:bookmarkEnd w:id="0"/>
    </w:p>
    <w:p w:rsidR="007D5607" w:rsidRPr="00EB38C9" w:rsidP="00DE411A" w14:paraId="2BDF4881" w14:textId="50031882">
      <w:pPr>
        <w:pStyle w:val="ATHeading2"/>
      </w:pPr>
      <w:bookmarkStart w:id="1" w:name="title"/>
      <w:r w:rsidRPr="00EB38C9">
        <w:t>Az egyes új génkezelési technikák útján nyert növények és a belőlük származó élelmiszerek és takarmányok</w:t>
      </w:r>
      <w:bookmarkEnd w:id="1"/>
    </w:p>
    <w:p w:rsidR="007D5607" w:rsidRPr="00EB38C9" w:rsidP="007D5607" w14:paraId="2FED4578" w14:textId="77777777">
      <w:pPr>
        <w:rPr>
          <w:i/>
          <w:vanish/>
        </w:rPr>
      </w:pPr>
      <w:r>
        <w:rPr>
          <w:i/>
        </w:rPr>
        <w:fldChar w:fldCharType="begin"/>
      </w:r>
      <w:r w:rsidRPr="00EB38C9">
        <w:rPr>
          <w:i/>
        </w:rPr>
        <w:instrText xml:space="preserve"> TC"(</w:instrText>
      </w:r>
      <w:bookmarkStart w:id="2" w:name="DocNumber"/>
      <w:r w:rsidRPr="00EB38C9">
        <w:rPr>
          <w:i/>
        </w:rPr>
        <w:instrText>A10-0175/2026</w:instrText>
      </w:r>
      <w:bookmarkEnd w:id="2"/>
      <w:r w:rsidRPr="00EB38C9">
        <w:rPr>
          <w:i/>
        </w:rPr>
        <w:instrText xml:space="preserve"> - Előadó: Jessica </w:instrText>
      </w:r>
      <w:r w:rsidRPr="00EB38C9">
        <w:rPr>
          <w:i/>
        </w:rPr>
        <w:instrText>Polfjärd</w:instrText>
      </w:r>
      <w:r w:rsidRPr="00EB38C9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D5607" w:rsidRPr="00EB38C9" w:rsidP="007D5607" w14:paraId="3C8EE6CF" w14:textId="77777777">
      <w:pPr>
        <w:rPr>
          <w:vanish/>
        </w:rPr>
      </w:pPr>
      <w:bookmarkStart w:id="3" w:name="Commission"/>
      <w:r w:rsidRPr="00EB38C9">
        <w:rPr>
          <w:vanish/>
        </w:rPr>
        <w:t>Környezetvédelmi, Éghajlatváltozási és Élelmiszer-biztonsági Bizottság</w:t>
      </w:r>
      <w:bookmarkEnd w:id="3"/>
    </w:p>
    <w:p w:rsidR="007D5607" w:rsidRPr="00EB38C9" w:rsidP="007D5607" w14:paraId="51396159" w14:textId="77777777">
      <w:pPr>
        <w:rPr>
          <w:vanish/>
        </w:rPr>
      </w:pPr>
      <w:bookmarkStart w:id="4" w:name="PE"/>
      <w:r w:rsidRPr="00EB38C9">
        <w:rPr>
          <w:vanish/>
        </w:rPr>
        <w:t>PE789.924</w:t>
      </w:r>
      <w:bookmarkEnd w:id="4"/>
    </w:p>
    <w:p w:rsidR="007D5607" w:rsidRPr="00EB38C9" w:rsidP="007D5607" w14:paraId="21587E7B" w14:textId="14F5A325">
      <w:pPr>
        <w:pStyle w:val="ATHeading3"/>
      </w:pPr>
      <w:bookmarkStart w:id="5" w:name="Sujet"/>
      <w:r w:rsidRPr="00EB38C9">
        <w:t xml:space="preserve">Az Európai Parlament 2026. </w:t>
      </w:r>
      <w:r w:rsidRPr="00EB38C9" w:rsidR="00ED4723">
        <w:t>június 17</w:t>
      </w:r>
      <w:r w:rsidRPr="00EB38C9">
        <w:t xml:space="preserve">-i jogalkotási állásfoglalása </w:t>
      </w:r>
      <w:bookmarkStart w:id="6" w:name="_Hlk232588685"/>
      <w:r w:rsidRPr="00EB38C9">
        <w:t xml:space="preserve">az egyes új génkezelési technikák útján nyert növényekről és a belőlük származó </w:t>
      </w:r>
      <w:r w:rsidRPr="00EB38C9" w:rsidR="005131FD">
        <w:t>termékekről</w:t>
      </w:r>
      <w:r w:rsidRPr="00EB38C9">
        <w:t>, valamint az (EU) 2017/625 rendelet módosításáról szóló európai parlamenti és tanácsi rendelet elfogadása céljából első olvasatban kialakított tanácsi álláspontról</w:t>
      </w:r>
      <w:bookmarkEnd w:id="5"/>
      <w:r w:rsidRPr="00EB38C9">
        <w:t xml:space="preserve"> </w:t>
      </w:r>
      <w:bookmarkStart w:id="7" w:name="References"/>
      <w:bookmarkEnd w:id="6"/>
      <w:r w:rsidRPr="00EB38C9">
        <w:t>(17037/1/2025 – C10-0102/2026 – 2023/0226(COD))</w:t>
      </w:r>
      <w:bookmarkEnd w:id="7"/>
    </w:p>
    <w:p w:rsidR="007A1852" w:rsidRPr="00EB38C9" w:rsidP="007A1852" w14:paraId="64419E0B" w14:textId="77777777">
      <w:pPr>
        <w:pStyle w:val="NormalBold"/>
      </w:pPr>
      <w:r w:rsidRPr="00EB38C9">
        <w:t>(Rendes jogalkotási eljárás: második olvasat)</w:t>
      </w:r>
    </w:p>
    <w:p w:rsidR="007A1852" w:rsidRPr="00EB38C9" w:rsidP="007A1852" w14:paraId="445909CD" w14:textId="77777777">
      <w:pPr>
        <w:pStyle w:val="EPComma"/>
      </w:pPr>
      <w:r w:rsidRPr="00EB38C9">
        <w:rPr>
          <w:i/>
        </w:rPr>
        <w:t>Az Európai Parlament,</w:t>
      </w:r>
      <w:r w:rsidRPr="00EB38C9">
        <w:t xml:space="preserve"> </w:t>
      </w:r>
    </w:p>
    <w:p w:rsidR="007A1852" w:rsidRPr="00EB38C9" w:rsidP="00ED4723" w14:paraId="26D9D657" w14:textId="62A0A756">
      <w:pPr>
        <w:pStyle w:val="NormalHanging12a"/>
        <w:widowControl/>
      </w:pPr>
      <w:r w:rsidRPr="00EB38C9">
        <w:t>–</w:t>
      </w:r>
      <w:r w:rsidRPr="00EB38C9">
        <w:tab/>
        <w:t xml:space="preserve">tekintettel a Tanács első </w:t>
      </w:r>
      <w:r w:rsidRPr="00EB38C9">
        <w:t>olvasatbeli</w:t>
      </w:r>
      <w:r w:rsidRPr="00EB38C9">
        <w:t xml:space="preserve"> álláspontjára (17037/</w:t>
      </w:r>
      <w:r w:rsidRPr="00EB38C9" w:rsidR="005131FD">
        <w:t>1/</w:t>
      </w:r>
      <w:r w:rsidRPr="00EB38C9">
        <w:t>25 – C10-0102/2026),</w:t>
      </w:r>
    </w:p>
    <w:p w:rsidR="007A1852" w:rsidRPr="00EB38C9" w:rsidP="00ED4723" w14:paraId="0E008B6B" w14:textId="77777777">
      <w:pPr>
        <w:pStyle w:val="NormalHanging12a"/>
        <w:widowControl/>
      </w:pPr>
      <w:r w:rsidRPr="00EB38C9">
        <w:t>–</w:t>
      </w:r>
      <w:r w:rsidRPr="00EB38C9">
        <w:tab/>
        <w:t>tekintettel a ciprusi parlament és a magyar parlament által a szubszidiaritás és az arányosság elvének alkalmazásáról szóló 2. jegyzőkönyv alapján előterjesztett indokolt véleményekre, amelyek szerint a jogalkotási aktus tervezete nem egyeztethető össze a szubszidiaritás elvével,</w:t>
      </w:r>
    </w:p>
    <w:p w:rsidR="007A1852" w:rsidRPr="00EB38C9" w:rsidP="00ED4723" w14:paraId="45F14A1C" w14:textId="43E61C36">
      <w:pPr>
        <w:pStyle w:val="NormalHanging12a"/>
        <w:widowControl/>
      </w:pPr>
      <w:r w:rsidRPr="00EB38C9">
        <w:t>–</w:t>
      </w:r>
      <w:r w:rsidRPr="00EB38C9">
        <w:tab/>
        <w:t>tekintettel az Európai Gazdasági és Szociális Bizottság 2023. október 26-i véleményére</w:t>
      </w:r>
      <w:r>
        <w:rPr>
          <w:rStyle w:val="FootnoteReference"/>
        </w:rPr>
        <w:footnoteReference w:id="2"/>
      </w:r>
      <w:r w:rsidRPr="00EB38C9">
        <w:t>,</w:t>
      </w:r>
    </w:p>
    <w:p w:rsidR="007A1852" w:rsidRPr="00EB38C9" w:rsidP="00ED4723" w14:paraId="54B4DD87" w14:textId="669F866F">
      <w:pPr>
        <w:pStyle w:val="NormalHanging12a"/>
        <w:widowControl/>
      </w:pPr>
      <w:r w:rsidRPr="00EB38C9">
        <w:t>–</w:t>
      </w:r>
      <w:r w:rsidRPr="00EB38C9">
        <w:tab/>
        <w:t>tekintettel a Régiók Bizottsága 2024. április 17-i véleményére</w:t>
      </w:r>
      <w:r>
        <w:rPr>
          <w:rStyle w:val="FootnoteReference"/>
        </w:rPr>
        <w:footnoteReference w:id="3"/>
      </w:r>
      <w:r w:rsidRPr="00EB38C9">
        <w:t>,</w:t>
      </w:r>
    </w:p>
    <w:p w:rsidR="007A1852" w:rsidRPr="00EB38C9" w:rsidP="00ED4723" w14:paraId="39A35737" w14:textId="77777777">
      <w:pPr>
        <w:pStyle w:val="NormalHanging12a"/>
        <w:widowControl/>
      </w:pPr>
      <w:r w:rsidRPr="00EB38C9">
        <w:t>–</w:t>
      </w:r>
      <w:r w:rsidRPr="00EB38C9">
        <w:tab/>
        <w:t>tekintettel a Bizottság Parlamenthez és Tanácshoz intézett javaslatával (</w:t>
      </w:r>
      <w:r w:rsidRPr="00EB38C9">
        <w:t>COM(</w:t>
      </w:r>
      <w:r w:rsidRPr="00EB38C9">
        <w:t>2023)0411) kapcsolatban az első olvasat során kialakított álláspontjára</w:t>
      </w:r>
      <w:r>
        <w:rPr>
          <w:rStyle w:val="FootnoteReference"/>
        </w:rPr>
        <w:footnoteReference w:id="4"/>
      </w:r>
      <w:r w:rsidRPr="00EB38C9">
        <w:t>,</w:t>
      </w:r>
    </w:p>
    <w:p w:rsidR="007A1852" w:rsidRPr="00EB38C9" w:rsidP="00ED4723" w14:paraId="4A55A448" w14:textId="77777777">
      <w:pPr>
        <w:pStyle w:val="NormalHanging12a"/>
        <w:widowControl/>
      </w:pPr>
      <w:r w:rsidRPr="00EB38C9">
        <w:t>–</w:t>
      </w:r>
      <w:r w:rsidRPr="00EB38C9">
        <w:tab/>
        <w:t>tekintettel az Európai Unió működéséről szóló szerződés 294. cikkének (7) bekezdésére,</w:t>
      </w:r>
    </w:p>
    <w:p w:rsidR="007A1852" w:rsidRPr="00EB38C9" w:rsidP="00ED4723" w14:paraId="528C4D0D" w14:textId="77777777">
      <w:pPr>
        <w:pStyle w:val="NormalHanging12a"/>
        <w:widowControl/>
      </w:pPr>
      <w:r w:rsidRPr="00EB38C9">
        <w:t>–</w:t>
      </w:r>
      <w:r w:rsidRPr="00EB38C9">
        <w:tab/>
        <w:t>tekintettel az illetékes bizottság által az eljárási szabályzat 75. cikkének (4) bekezdése alapján jóváhagyott ideiglenes megállapodásra,</w:t>
      </w:r>
    </w:p>
    <w:p w:rsidR="007A1852" w:rsidRPr="00EB38C9" w:rsidP="00ED4723" w14:paraId="6B74BEF7" w14:textId="77777777">
      <w:pPr>
        <w:pStyle w:val="NormalHanging12a"/>
        <w:widowControl/>
      </w:pPr>
      <w:r w:rsidRPr="00EB38C9">
        <w:t>–</w:t>
      </w:r>
      <w:r w:rsidRPr="00EB38C9">
        <w:tab/>
        <w:t>tekintettel eljárási szabályzata 68. cikkére,</w:t>
      </w:r>
    </w:p>
    <w:p w:rsidR="007A1852" w:rsidRPr="00EB38C9" w:rsidP="00ED4723" w14:paraId="78CF025D" w14:textId="77777777">
      <w:pPr>
        <w:pStyle w:val="NormalHanging12a"/>
        <w:widowControl/>
      </w:pPr>
      <w:r w:rsidRPr="00EB38C9">
        <w:t>–</w:t>
      </w:r>
      <w:r w:rsidRPr="00EB38C9">
        <w:tab/>
        <w:t>tekintettel a Környezetvédelmi, Éghajlatváltozási és Élelmiszer-biztonsági Bizottság második olvasatra adott ajánlására (A10-0175/2026),</w:t>
      </w:r>
    </w:p>
    <w:p w:rsidR="007A1852" w:rsidRPr="00EB38C9" w:rsidP="00ED4723" w14:paraId="389A94B5" w14:textId="77777777">
      <w:pPr>
        <w:pStyle w:val="NormalHanging12a"/>
        <w:widowControl/>
      </w:pPr>
      <w:r w:rsidRPr="00EB38C9">
        <w:t>1.</w:t>
      </w:r>
      <w:r w:rsidRPr="00EB38C9">
        <w:tab/>
        <w:t>egyetért a Tanács első olvasatban elfogadott álláspontjával;</w:t>
      </w:r>
    </w:p>
    <w:p w:rsidR="007A1852" w:rsidRPr="00EB38C9" w:rsidP="00ED4723" w14:paraId="1D47C563" w14:textId="77777777">
      <w:pPr>
        <w:pStyle w:val="NormalHanging12a"/>
        <w:widowControl/>
      </w:pPr>
      <w:r w:rsidRPr="00EB38C9">
        <w:t>2.</w:t>
      </w:r>
      <w:r w:rsidRPr="00EB38C9">
        <w:tab/>
        <w:t>megállapítja, hogy a jogi aktust a Tanács álláspontjának megfelelően elfogadták;</w:t>
      </w:r>
    </w:p>
    <w:p w:rsidR="007A1852" w:rsidRPr="00EB38C9" w:rsidP="00ED4723" w14:paraId="656C3470" w14:textId="77777777">
      <w:pPr>
        <w:pStyle w:val="NormalHanging12a"/>
        <w:widowControl/>
      </w:pPr>
      <w:bookmarkStart w:id="8" w:name="_Hlk232445111"/>
      <w:r w:rsidRPr="00EB38C9">
        <w:t>3.</w:t>
      </w:r>
      <w:r w:rsidRPr="00EB38C9">
        <w:tab/>
        <w:t>utasítja elnökét, hogy az Európai Unió működéséről szóló szerződés 297. cikkének (1) bekezdésével összhangban a Tanács elnökével együtt írja alá a jogi aktust;</w:t>
      </w:r>
    </w:p>
    <w:bookmarkEnd w:id="8"/>
    <w:p w:rsidR="007A1852" w:rsidRPr="00EB38C9" w:rsidP="00ED4723" w14:paraId="0324A5DA" w14:textId="77777777">
      <w:pPr>
        <w:pStyle w:val="NormalHanging12a"/>
        <w:widowControl/>
      </w:pPr>
      <w:r w:rsidRPr="00EB38C9">
        <w:t>4.</w:t>
      </w:r>
      <w:r w:rsidRPr="00EB38C9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EB38C9">
        <w:rPr>
          <w:i/>
          <w:iCs/>
        </w:rPr>
        <w:t>Európai Unió Hivatalos Lapjában</w:t>
      </w:r>
      <w:r w:rsidRPr="00EB38C9">
        <w:t>;</w:t>
      </w:r>
    </w:p>
    <w:p w:rsidR="00E365E1" w:rsidRPr="00A1558A" w:rsidP="00EB38C9" w14:paraId="17521C4D" w14:textId="77296012">
      <w:pPr>
        <w:pStyle w:val="NormalHanging12a"/>
        <w:widowControl/>
      </w:pPr>
      <w:r w:rsidRPr="00EB38C9">
        <w:t>5.</w:t>
      </w:r>
      <w:r w:rsidRPr="00EB38C9">
        <w:tab/>
        <w:t>utasítja elnökét, hogy továbbítsa a Parlament álláspontját a Tanácsnak és a Bizottságnak, valamint a nemzeti parlamenteknek.</w:t>
      </w:r>
    </w:p>
    <w:sectPr w:rsidSect="00A155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558A" w14:paraId="1628FBE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558A" w14:paraId="5054E7D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558A" w14:paraId="3BF2F11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D5607" w:rsidRPr="00A1558A" w14:paraId="7DC76878" w14:textId="77777777">
      <w:r w:rsidRPr="00A1558A">
        <w:separator/>
      </w:r>
    </w:p>
  </w:footnote>
  <w:footnote w:type="continuationSeparator" w:id="1">
    <w:p w:rsidR="007D5607" w:rsidRPr="00A1558A" w14:paraId="21744A82" w14:textId="77777777">
      <w:r w:rsidRPr="00A1558A">
        <w:continuationSeparator/>
      </w:r>
    </w:p>
  </w:footnote>
  <w:footnote w:id="2">
    <w:p w:rsidR="005131FD" w:rsidRPr="00EB38C9" w:rsidP="00EB38C9" w14:paraId="6DD51C08" w14:textId="07E51CB7">
      <w:pPr>
        <w:pStyle w:val="FootnoteText"/>
        <w:ind w:left="567" w:hanging="567"/>
        <w:rPr>
          <w:sz w:val="24"/>
          <w:szCs w:val="24"/>
          <w:lang w:val="de-DE"/>
        </w:rPr>
      </w:pPr>
      <w:r w:rsidRPr="00EB38C9">
        <w:rPr>
          <w:rStyle w:val="FootnoteReference"/>
          <w:sz w:val="24"/>
          <w:szCs w:val="24"/>
        </w:rPr>
        <w:footnoteRef/>
      </w:r>
      <w:r w:rsidRPr="00EB38C9">
        <w:rPr>
          <w:sz w:val="24"/>
          <w:szCs w:val="24"/>
          <w:lang w:val="de-DE"/>
        </w:rPr>
        <w:t xml:space="preserve"> </w:t>
      </w:r>
      <w:r w:rsidRPr="00EB38C9">
        <w:rPr>
          <w:sz w:val="24"/>
          <w:szCs w:val="24"/>
          <w:lang w:val="de-DE"/>
        </w:rPr>
        <w:tab/>
      </w:r>
      <w:r w:rsidRPr="00EB38C9">
        <w:rPr>
          <w:rFonts w:eastAsia="Calibri"/>
          <w:sz w:val="24"/>
          <w:szCs w:val="24"/>
          <w:lang w:val="de-DE" w:eastAsia="en-US"/>
        </w:rPr>
        <w:t>HL C, C/2024/893, 2024</w:t>
      </w:r>
      <w:r>
        <w:rPr>
          <w:rFonts w:eastAsia="Calibri"/>
          <w:sz w:val="24"/>
          <w:szCs w:val="24"/>
          <w:lang w:val="de-DE" w:eastAsia="en-US"/>
        </w:rPr>
        <w:t>.2.6.</w:t>
      </w:r>
      <w:r w:rsidRPr="00EB38C9">
        <w:rPr>
          <w:rFonts w:eastAsia="Calibri"/>
          <w:sz w:val="24"/>
          <w:szCs w:val="24"/>
          <w:lang w:val="de-DE" w:eastAsia="en-US"/>
        </w:rPr>
        <w:t>, ELI: </w:t>
      </w:r>
      <w:hyperlink r:id="rId1" w:tgtFrame="_blank" w:tooltip="Gives access to this document through its ELI URI." w:history="1">
        <w:r w:rsidRPr="00EB38C9">
          <w:rPr>
            <w:rFonts w:eastAsia="Calibri"/>
            <w:color w:val="0563C1"/>
            <w:sz w:val="24"/>
            <w:szCs w:val="24"/>
            <w:u w:val="single"/>
            <w:lang w:val="de-DE" w:eastAsia="en-US"/>
          </w:rPr>
          <w:t>http://data.europa.eu/eli/C/2024/893/oj</w:t>
        </w:r>
      </w:hyperlink>
      <w:r w:rsidRPr="00EB38C9">
        <w:rPr>
          <w:rFonts w:eastAsia="Calibri"/>
          <w:sz w:val="24"/>
          <w:szCs w:val="24"/>
          <w:lang w:val="de-DE" w:eastAsia="en-US"/>
        </w:rPr>
        <w:t>.</w:t>
      </w:r>
    </w:p>
  </w:footnote>
  <w:footnote w:id="3">
    <w:p w:rsidR="005131FD" w:rsidRPr="00EB38C9" w:rsidP="00EB38C9" w14:paraId="10F53BB3" w14:textId="14B666D8">
      <w:pPr>
        <w:pStyle w:val="FootnoteText"/>
        <w:ind w:left="567" w:hanging="567"/>
        <w:rPr>
          <w:sz w:val="24"/>
          <w:szCs w:val="24"/>
          <w:lang w:val="fi-FI"/>
        </w:rPr>
      </w:pPr>
      <w:r w:rsidRPr="00EB38C9">
        <w:rPr>
          <w:rStyle w:val="FootnoteReference"/>
          <w:sz w:val="24"/>
          <w:szCs w:val="24"/>
        </w:rPr>
        <w:footnoteRef/>
      </w:r>
      <w:r w:rsidRPr="00EB38C9">
        <w:rPr>
          <w:sz w:val="24"/>
          <w:szCs w:val="24"/>
          <w:lang w:val="fi-FI"/>
        </w:rPr>
        <w:t xml:space="preserve"> </w:t>
      </w:r>
      <w:r w:rsidRPr="00EB38C9">
        <w:rPr>
          <w:sz w:val="24"/>
          <w:szCs w:val="24"/>
          <w:lang w:val="fi-FI"/>
        </w:rPr>
        <w:tab/>
        <w:t>HL C, C/2024/3674, 2024</w:t>
      </w:r>
      <w:r>
        <w:rPr>
          <w:sz w:val="24"/>
          <w:szCs w:val="24"/>
          <w:lang w:val="fi-FI"/>
        </w:rPr>
        <w:t>.6.26.</w:t>
      </w:r>
      <w:r w:rsidRPr="00EB38C9">
        <w:rPr>
          <w:sz w:val="24"/>
          <w:szCs w:val="24"/>
          <w:lang w:val="fi-FI"/>
        </w:rPr>
        <w:t xml:space="preserve">, ELI: </w:t>
      </w:r>
      <w:hyperlink r:id="rId2" w:history="1">
        <w:r w:rsidRPr="00EB38C9">
          <w:rPr>
            <w:rStyle w:val="Hyperlink"/>
            <w:sz w:val="24"/>
            <w:szCs w:val="24"/>
            <w:lang w:val="fi-FI"/>
          </w:rPr>
          <w:t>http://data.europa.eu/eli/C/2024/3674/oj</w:t>
        </w:r>
      </w:hyperlink>
      <w:r w:rsidRPr="00EB38C9">
        <w:rPr>
          <w:sz w:val="24"/>
          <w:szCs w:val="24"/>
          <w:lang w:val="fi-FI"/>
        </w:rPr>
        <w:t>.</w:t>
      </w:r>
    </w:p>
  </w:footnote>
  <w:footnote w:id="4">
    <w:p w:rsidR="007A1852" w:rsidRPr="00EB38C9" w:rsidP="00A1558A" w14:paraId="75B89472" w14:textId="16466AB5">
      <w:pPr>
        <w:pStyle w:val="FootnoteText"/>
        <w:ind w:left="567" w:hanging="567"/>
        <w:rPr>
          <w:sz w:val="24"/>
          <w:lang w:val="fi-FI"/>
        </w:rPr>
      </w:pPr>
      <w:r w:rsidRPr="00A1558A">
        <w:rPr>
          <w:rStyle w:val="FootnoteReference"/>
          <w:sz w:val="24"/>
          <w:lang w:val="hu-HU"/>
        </w:rPr>
        <w:footnoteRef/>
      </w:r>
      <w:r w:rsidRPr="00A1558A" w:rsidR="00A1558A">
        <w:rPr>
          <w:sz w:val="24"/>
          <w:lang w:val="hu-HU"/>
        </w:rPr>
        <w:t xml:space="preserve"> </w:t>
      </w:r>
      <w:r w:rsidRPr="00A1558A" w:rsidR="00A1558A">
        <w:rPr>
          <w:sz w:val="24"/>
          <w:lang w:val="hu-HU"/>
        </w:rPr>
        <w:tab/>
      </w:r>
      <w:r w:rsidRPr="00A1558A">
        <w:rPr>
          <w:sz w:val="24"/>
          <w:lang w:val="hu-HU"/>
        </w:rPr>
        <w:t xml:space="preserve">HL C, C/2024/6358, 2024.11.7., ELI: </w:t>
      </w:r>
      <w:hyperlink r:id="rId3" w:history="1">
        <w:r w:rsidRPr="00A1558A">
          <w:rPr>
            <w:rStyle w:val="Hyperlink"/>
            <w:sz w:val="24"/>
            <w:lang w:val="hu-HU"/>
          </w:rPr>
          <w:t>http://data.europa.eu/eli/C/2024/6358/oj</w:t>
        </w:r>
      </w:hyperlink>
      <w:r w:rsidRPr="00EB38C9" w:rsidR="00DE411A">
        <w:rPr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558A" w14:paraId="6A477AD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558A" w14:paraId="5E571F0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558A" w14:paraId="4ADF415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05871607">
    <w:abstractNumId w:val="9"/>
  </w:num>
  <w:num w:numId="2" w16cid:durableId="1851067251">
    <w:abstractNumId w:val="9"/>
  </w:num>
  <w:num w:numId="3" w16cid:durableId="1304239420">
    <w:abstractNumId w:val="7"/>
  </w:num>
  <w:num w:numId="4" w16cid:durableId="1532105579">
    <w:abstractNumId w:val="7"/>
  </w:num>
  <w:num w:numId="5" w16cid:durableId="1485661900">
    <w:abstractNumId w:val="6"/>
  </w:num>
  <w:num w:numId="6" w16cid:durableId="420837316">
    <w:abstractNumId w:val="6"/>
  </w:num>
  <w:num w:numId="7" w16cid:durableId="1974479391">
    <w:abstractNumId w:val="5"/>
  </w:num>
  <w:num w:numId="8" w16cid:durableId="399526165">
    <w:abstractNumId w:val="5"/>
  </w:num>
  <w:num w:numId="9" w16cid:durableId="1704867024">
    <w:abstractNumId w:val="4"/>
  </w:num>
  <w:num w:numId="10" w16cid:durableId="667293905">
    <w:abstractNumId w:val="4"/>
  </w:num>
  <w:num w:numId="11" w16cid:durableId="271058158">
    <w:abstractNumId w:val="8"/>
  </w:num>
  <w:num w:numId="12" w16cid:durableId="1096443108">
    <w:abstractNumId w:val="8"/>
  </w:num>
  <w:num w:numId="13" w16cid:durableId="1073939993">
    <w:abstractNumId w:val="3"/>
  </w:num>
  <w:num w:numId="14" w16cid:durableId="1647274718">
    <w:abstractNumId w:val="3"/>
  </w:num>
  <w:num w:numId="15" w16cid:durableId="1563905239">
    <w:abstractNumId w:val="2"/>
  </w:num>
  <w:num w:numId="16" w16cid:durableId="28605150">
    <w:abstractNumId w:val="2"/>
  </w:num>
  <w:num w:numId="17" w16cid:durableId="49351329">
    <w:abstractNumId w:val="1"/>
  </w:num>
  <w:num w:numId="18" w16cid:durableId="852035046">
    <w:abstractNumId w:val="1"/>
  </w:num>
  <w:num w:numId="19" w16cid:durableId="1622960157">
    <w:abstractNumId w:val="0"/>
  </w:num>
  <w:num w:numId="20" w16cid:durableId="1033847781">
    <w:abstractNumId w:val="0"/>
  </w:num>
  <w:num w:numId="21" w16cid:durableId="97796863">
    <w:abstractNumId w:val="9"/>
  </w:num>
  <w:num w:numId="22" w16cid:durableId="1060202770">
    <w:abstractNumId w:val="7"/>
  </w:num>
  <w:num w:numId="23" w16cid:durableId="15274447">
    <w:abstractNumId w:val="6"/>
  </w:num>
  <w:num w:numId="24" w16cid:durableId="941883394">
    <w:abstractNumId w:val="5"/>
  </w:num>
  <w:num w:numId="25" w16cid:durableId="648704033">
    <w:abstractNumId w:val="4"/>
  </w:num>
  <w:num w:numId="26" w16cid:durableId="191386107">
    <w:abstractNumId w:val="8"/>
  </w:num>
  <w:num w:numId="27" w16cid:durableId="1060247712">
    <w:abstractNumId w:val="3"/>
  </w:num>
  <w:num w:numId="28" w16cid:durableId="257714367">
    <w:abstractNumId w:val="2"/>
  </w:num>
  <w:num w:numId="29" w16cid:durableId="32779731">
    <w:abstractNumId w:val="1"/>
  </w:num>
  <w:num w:numId="30" w16cid:durableId="98528946">
    <w:abstractNumId w:val="0"/>
  </w:num>
  <w:num w:numId="31" w16cid:durableId="47993696">
    <w:abstractNumId w:val="9"/>
  </w:num>
  <w:num w:numId="32" w16cid:durableId="8338840">
    <w:abstractNumId w:val="7"/>
  </w:num>
  <w:num w:numId="33" w16cid:durableId="576403840">
    <w:abstractNumId w:val="6"/>
  </w:num>
  <w:num w:numId="34" w16cid:durableId="24983008">
    <w:abstractNumId w:val="5"/>
  </w:num>
  <w:num w:numId="35" w16cid:durableId="1420328854">
    <w:abstractNumId w:val="4"/>
  </w:num>
  <w:num w:numId="36" w16cid:durableId="1931813690">
    <w:abstractNumId w:val="8"/>
  </w:num>
  <w:num w:numId="37" w16cid:durableId="924799009">
    <w:abstractNumId w:val="3"/>
  </w:num>
  <w:num w:numId="38" w16cid:durableId="1883519624">
    <w:abstractNumId w:val="2"/>
  </w:num>
  <w:num w:numId="39" w16cid:durableId="55252229">
    <w:abstractNumId w:val="1"/>
  </w:num>
  <w:num w:numId="40" w16cid:durableId="1927380370">
    <w:abstractNumId w:val="0"/>
  </w:num>
  <w:num w:numId="41" w16cid:durableId="644700161">
    <w:abstractNumId w:val="10"/>
  </w:num>
  <w:num w:numId="42" w16cid:durableId="2065712287">
    <w:abstractNumId w:val="10"/>
  </w:num>
  <w:num w:numId="43" w16cid:durableId="569534599">
    <w:abstractNumId w:val="10"/>
  </w:num>
  <w:num w:numId="44" w16cid:durableId="3115704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0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31FD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1852"/>
    <w:rsid w:val="007D1690"/>
    <w:rsid w:val="007D5607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558A"/>
    <w:rsid w:val="00A1687D"/>
    <w:rsid w:val="00A43E52"/>
    <w:rsid w:val="00A4678D"/>
    <w:rsid w:val="00A778C7"/>
    <w:rsid w:val="00AB441E"/>
    <w:rsid w:val="00AB6293"/>
    <w:rsid w:val="00AC0713"/>
    <w:rsid w:val="00AE0928"/>
    <w:rsid w:val="00AF3B82"/>
    <w:rsid w:val="00B12E95"/>
    <w:rsid w:val="00B22876"/>
    <w:rsid w:val="00B558F0"/>
    <w:rsid w:val="00BD48FE"/>
    <w:rsid w:val="00BD7BD8"/>
    <w:rsid w:val="00BE6ADC"/>
    <w:rsid w:val="00C04F30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411A"/>
    <w:rsid w:val="00E365E1"/>
    <w:rsid w:val="00E820A4"/>
    <w:rsid w:val="00EB006A"/>
    <w:rsid w:val="00EB38C9"/>
    <w:rsid w:val="00EB4772"/>
    <w:rsid w:val="00ED169E"/>
    <w:rsid w:val="00ED4235"/>
    <w:rsid w:val="00ED4723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5/2026"/>
    <w:docVar w:name="dvlangue" w:val="HU"/>
    <w:docVar w:name="dvnumam" w:val="0"/>
    <w:docVar w:name="dvpe" w:val="789.924"/>
    <w:docVar w:name="dvrapporteur" w:val="Előadó: "/>
    <w:docVar w:name="dvtitre" w:val="Az Európai Parlament 2026.  ...-i jogalkotási állásfoglalása az egyes új génkezelési technikák útján nyert növényekről és a belőlük származó élelmiszerekről és takarmányokról, valamint az (EU) 2017/625 rendelet módosításáról szóló európai parlamenti és tanácsi rendelet elfogadása céljából első olvasatban kialakított tanácsi álláspontról(17037/1/2025 – C10-0102/2026 – 2023/022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A410183"/>
  <w15:chartTrackingRefBased/>
  <w15:docId w15:val="{09861005-06E9-466C-AB1A-9F299E90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A1852"/>
    <w:pPr>
      <w:spacing w:before="480" w:after="240"/>
    </w:pPr>
  </w:style>
  <w:style w:type="paragraph" w:customStyle="1" w:styleId="NormalBold">
    <w:name w:val="NormalBold"/>
    <w:basedOn w:val="Normal"/>
    <w:rsid w:val="007A1852"/>
    <w:rPr>
      <w:b/>
    </w:rPr>
  </w:style>
  <w:style w:type="paragraph" w:customStyle="1" w:styleId="NormalHanging12a">
    <w:name w:val="NormalHanging12a"/>
    <w:basedOn w:val="Normal"/>
    <w:rsid w:val="007A1852"/>
    <w:pPr>
      <w:spacing w:after="240"/>
      <w:ind w:left="567" w:hanging="567"/>
    </w:pPr>
  </w:style>
  <w:style w:type="character" w:styleId="Hyperlink">
    <w:name w:val="Hyperlink"/>
    <w:basedOn w:val="DefaultParagraphFont"/>
    <w:rsid w:val="007A185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D4723"/>
    <w:rPr>
      <w:sz w:val="24"/>
      <w:lang w:val="hu-HU"/>
    </w:rPr>
  </w:style>
  <w:style w:type="character" w:styleId="CommentReference">
    <w:name w:val="annotation reference"/>
    <w:basedOn w:val="DefaultParagraphFont"/>
    <w:rsid w:val="00ED47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472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D4723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ED4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D4723"/>
    <w:rPr>
      <w:b/>
      <w:bCs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513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3/oj" TargetMode="External" /><Relationship Id="rId2" Type="http://schemas.openxmlformats.org/officeDocument/2006/relationships/hyperlink" Target="http://data.europa.eu/eli/C/2024/3674/oj" TargetMode="External" /><Relationship Id="rId3" Type="http://schemas.openxmlformats.org/officeDocument/2006/relationships/hyperlink" Target="http://data.europa.eu/eli/C/2024/6358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2026-06-17T11:05:00Z</dcterms:created>
  <dcterms:modified xsi:type="dcterms:W3CDTF">2026-06-17T11:05:00Z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A10-0175/2026</vt:lpwstr>
  </property>
  <property fmtid="{D5CDD505-2E9C-101B-9397-08002B2CF9AE}" pid="4" name="&lt;Type&gt;">
    <vt:lpwstr>RR</vt:lpwstr>
  </property>
</Properties>
</file>