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1315D861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5041D" w:rsidP="0010095E" w14:paraId="45C1FF93" w14:textId="77777777">
            <w:pPr>
              <w:pStyle w:val="EPName"/>
            </w:pPr>
            <w:r w:rsidRPr="0095041D">
              <w:t>Parlament Europejski</w:t>
            </w:r>
          </w:p>
          <w:p w:rsidR="00751A4A" w:rsidRPr="0095041D" w:rsidP="005F1B17" w14:paraId="3E769420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5041D">
              <w:t>2024</w:t>
            </w:r>
            <w:r w:rsidRPr="0095041D" w:rsidR="00817416">
              <w:t>-202</w:t>
            </w:r>
            <w:r w:rsidRPr="0095041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95041D" w:rsidP="0010095E" w14:paraId="661D74C7" w14:textId="77777777">
            <w:pPr>
              <w:pStyle w:val="EPLogo"/>
            </w:pPr>
            <w:r w:rsidRPr="0095041D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5041D" w:rsidP="004C5D52" w14:paraId="481AABCC" w14:textId="77777777">
      <w:pPr>
        <w:pStyle w:val="LineTop"/>
      </w:pPr>
    </w:p>
    <w:p w:rsidR="00680577" w:rsidRPr="0095041D" w:rsidP="00680577" w14:paraId="423D918B" w14:textId="77777777">
      <w:pPr>
        <w:pStyle w:val="EPBodyTA1"/>
      </w:pPr>
      <w:r w:rsidRPr="0095041D">
        <w:t>TEKSTY PRZYJĘTE</w:t>
      </w:r>
    </w:p>
    <w:p w:rsidR="00D058B8" w:rsidRPr="0095041D" w:rsidP="00D058B8" w14:paraId="4F055291" w14:textId="77777777">
      <w:pPr>
        <w:pStyle w:val="LineBottom"/>
      </w:pPr>
    </w:p>
    <w:p w:rsidR="00F7510C" w:rsidRPr="0095041D" w:rsidP="00F7510C" w14:paraId="1A3D730C" w14:textId="4F99E978">
      <w:pPr>
        <w:pStyle w:val="ATHeading1"/>
      </w:pPr>
      <w:bookmarkStart w:id="0" w:name="TANumber"/>
      <w:r w:rsidRPr="0095041D">
        <w:t>P10_TA(2026)0</w:t>
      </w:r>
      <w:bookmarkEnd w:id="0"/>
      <w:r w:rsidR="00D2573A">
        <w:t>206</w:t>
      </w:r>
    </w:p>
    <w:p w:rsidR="00F7510C" w:rsidRPr="0095041D" w:rsidP="00496D83" w14:paraId="42735C31" w14:textId="30238F17">
      <w:pPr>
        <w:pStyle w:val="ATHeading2"/>
      </w:pPr>
      <w:r w:rsidRPr="00496D83">
        <w:rPr>
          <w:bCs/>
        </w:rPr>
        <w:t>Rośliny uzyskiwane za pomocą niektórych nowych technik genomowych oraz pochodzące z tych</w:t>
      </w:r>
      <w:r>
        <w:rPr>
          <w:bCs/>
        </w:rPr>
        <w:t xml:space="preserve"> </w:t>
      </w:r>
      <w:r w:rsidRPr="00496D83">
        <w:rPr>
          <w:bCs/>
        </w:rPr>
        <w:t>roślin żywność i pasze</w:t>
      </w:r>
    </w:p>
    <w:p w:rsidR="00F7510C" w:rsidRPr="0095041D" w:rsidP="00F7510C" w14:paraId="5EA48C8E" w14:textId="77777777">
      <w:pPr>
        <w:rPr>
          <w:i/>
          <w:vanish/>
        </w:rPr>
      </w:pPr>
      <w:r>
        <w:rPr>
          <w:i/>
        </w:rPr>
        <w:fldChar w:fldCharType="begin"/>
      </w:r>
      <w:r w:rsidRPr="0095041D">
        <w:rPr>
          <w:i/>
        </w:rPr>
        <w:instrText xml:space="preserve"> TC"(</w:instrText>
      </w:r>
      <w:bookmarkStart w:id="1" w:name="DocNumber"/>
      <w:r w:rsidRPr="0095041D">
        <w:rPr>
          <w:i/>
        </w:rPr>
        <w:instrText>A10-0175/2026</w:instrText>
      </w:r>
      <w:bookmarkEnd w:id="1"/>
      <w:r w:rsidRPr="0095041D">
        <w:rPr>
          <w:i/>
        </w:rPr>
        <w:instrText xml:space="preserve"> - Sprawozdawca: </w:instrText>
      </w:r>
      <w:r w:rsidRPr="0095041D">
        <w:rPr>
          <w:i/>
        </w:rPr>
        <w:instrText>Jessica</w:instrText>
      </w:r>
      <w:r w:rsidRPr="0095041D">
        <w:rPr>
          <w:i/>
        </w:rPr>
        <w:instrText xml:space="preserve"> </w:instrText>
      </w:r>
      <w:r w:rsidRPr="0095041D">
        <w:rPr>
          <w:i/>
        </w:rPr>
        <w:instrText>Polfjärd</w:instrText>
      </w:r>
      <w:r w:rsidRPr="0095041D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F7510C" w:rsidRPr="0095041D" w:rsidP="00F7510C" w14:paraId="69B10BBC" w14:textId="77777777">
      <w:pPr>
        <w:rPr>
          <w:vanish/>
        </w:rPr>
      </w:pPr>
      <w:bookmarkStart w:id="2" w:name="Commission"/>
      <w:r w:rsidRPr="0095041D">
        <w:rPr>
          <w:vanish/>
        </w:rPr>
        <w:t>Komisja Ochrony Środowiska Naturalnego, Klimatu i Bezpieczeństwa Żywności</w:t>
      </w:r>
      <w:bookmarkEnd w:id="2"/>
    </w:p>
    <w:p w:rsidR="00F7510C" w:rsidRPr="0095041D" w:rsidP="00F7510C" w14:paraId="481C1791" w14:textId="77777777">
      <w:pPr>
        <w:rPr>
          <w:vanish/>
        </w:rPr>
      </w:pPr>
      <w:bookmarkStart w:id="3" w:name="PE"/>
      <w:r w:rsidRPr="0095041D">
        <w:rPr>
          <w:vanish/>
        </w:rPr>
        <w:t>PE789.924</w:t>
      </w:r>
      <w:bookmarkEnd w:id="3"/>
    </w:p>
    <w:p w:rsidR="00F7510C" w:rsidRPr="0095041D" w:rsidP="00F7510C" w14:paraId="78C10192" w14:textId="5CE99E84">
      <w:pPr>
        <w:pStyle w:val="ATHeading3"/>
      </w:pPr>
      <w:bookmarkStart w:id="4" w:name="Sujet"/>
      <w:r w:rsidRPr="0095041D">
        <w:t xml:space="preserve">Rezolucja ustawodawcza Parlamentu Europejskiego z dnia </w:t>
      </w:r>
      <w:r w:rsidR="00496D83">
        <w:t>17 czerwca</w:t>
      </w:r>
      <w:r w:rsidRPr="0095041D">
        <w:t xml:space="preserve"> 2026 r. w sprawie stanowiska Rady w pierwszym czytaniu w sprawie przyjęcia rozporządzenia Parlamentu Europejskiego i Rady w sprawie roślin uzyskiwanych za pomocą niektórych nowych technik genomowych oraz pochodzących z tych roślin </w:t>
      </w:r>
      <w:r w:rsidR="00926CA5">
        <w:t>produktów</w:t>
      </w:r>
      <w:r w:rsidRPr="0095041D">
        <w:t>, oraz w sprawie zmiany rozporządzenia (UE) 2017/625</w:t>
      </w:r>
      <w:bookmarkEnd w:id="4"/>
      <w:r w:rsidRPr="0095041D">
        <w:t xml:space="preserve"> </w:t>
      </w:r>
      <w:bookmarkStart w:id="5" w:name="References"/>
      <w:r w:rsidRPr="0095041D">
        <w:t>(17037/1/2025 – C10-0102/2026 – 2023/0226(COD))</w:t>
      </w:r>
      <w:bookmarkEnd w:id="5"/>
    </w:p>
    <w:p w:rsidR="00AF37C9" w:rsidRPr="0095041D" w:rsidP="00AF37C9" w14:paraId="20114FF2" w14:textId="77777777">
      <w:pPr>
        <w:pStyle w:val="NormalBold"/>
      </w:pPr>
      <w:r w:rsidRPr="0095041D">
        <w:t>(Zwykła procedura ustawodawcza: drugie czytanie)</w:t>
      </w:r>
    </w:p>
    <w:p w:rsidR="00AF37C9" w:rsidRPr="0095041D" w:rsidP="00AF37C9" w14:paraId="5334AE36" w14:textId="77777777">
      <w:pPr>
        <w:pStyle w:val="EPComma"/>
      </w:pPr>
      <w:r w:rsidRPr="0095041D">
        <w:rPr>
          <w:i/>
        </w:rPr>
        <w:t>Parlament Europejski</w:t>
      </w:r>
      <w:r w:rsidRPr="0095041D">
        <w:t xml:space="preserve">, </w:t>
      </w:r>
    </w:p>
    <w:p w:rsidR="00AF37C9" w:rsidRPr="0095041D" w:rsidP="00AF37C9" w14:paraId="270C2968" w14:textId="1C3B5769">
      <w:pPr>
        <w:pStyle w:val="NormalHanging12a"/>
      </w:pPr>
      <w:r w:rsidRPr="0095041D">
        <w:t>–</w:t>
      </w:r>
      <w:r w:rsidRPr="0095041D">
        <w:tab/>
        <w:t xml:space="preserve">uwzględniając stanowisko Rady przyjęte w pierwszym </w:t>
      </w:r>
      <w:r w:rsidR="00496D83">
        <w:t xml:space="preserve">czytaniu </w:t>
      </w:r>
      <w:r w:rsidRPr="0095041D">
        <w:t>(17037/</w:t>
      </w:r>
      <w:r w:rsidR="006A3874">
        <w:t>1/</w:t>
      </w:r>
      <w:r w:rsidRPr="0095041D">
        <w:t>25 – C10-0102/2026),</w:t>
      </w:r>
    </w:p>
    <w:p w:rsidR="00AF37C9" w:rsidRPr="0095041D" w:rsidP="00AF37C9" w14:paraId="189D41D1" w14:textId="77777777">
      <w:pPr>
        <w:pStyle w:val="NormalHanging12a"/>
      </w:pPr>
      <w:r w:rsidRPr="0095041D">
        <w:t>–</w:t>
      </w:r>
      <w:r w:rsidRPr="0095041D">
        <w:tab/>
        <w:t>uwzględniając uzasadnione opinie przedstawione – na mocy protokołu nr 2 w sprawie stosowania zasad pomocniczości i proporcjonalności – przez parlament Cypru i parlament Węgier, w których stwierdzono, że projekt aktu ustawodawczego nie jest zgodny z zasadą pomocniczości,</w:t>
      </w:r>
    </w:p>
    <w:p w:rsidR="00AF37C9" w:rsidRPr="0095041D" w:rsidP="00AF37C9" w14:paraId="63F2A9E4" w14:textId="52C76452">
      <w:pPr>
        <w:pStyle w:val="NormalHanging12a"/>
      </w:pPr>
      <w:r w:rsidRPr="0095041D">
        <w:t>–</w:t>
      </w:r>
      <w:r w:rsidRPr="0095041D">
        <w:tab/>
        <w:t xml:space="preserve">uwzględniając opinię Europejskiego Komitetu Ekonomiczno-Społecznego z </w:t>
      </w:r>
      <w:r w:rsidR="00496D83">
        <w:t xml:space="preserve">dnia </w:t>
      </w:r>
      <w:r w:rsidRPr="0095041D">
        <w:t>26 października 2023 r.</w:t>
      </w:r>
      <w:r>
        <w:rPr>
          <w:rStyle w:val="FootnoteReference"/>
        </w:rPr>
        <w:footnoteReference w:id="2"/>
      </w:r>
      <w:r w:rsidRPr="0095041D">
        <w:t>,</w:t>
      </w:r>
    </w:p>
    <w:p w:rsidR="00AF37C9" w:rsidRPr="0095041D" w:rsidP="00AF37C9" w14:paraId="6F6C8E28" w14:textId="56978D95">
      <w:pPr>
        <w:pStyle w:val="NormalHanging12a"/>
      </w:pPr>
      <w:r w:rsidRPr="0095041D">
        <w:t>–</w:t>
      </w:r>
      <w:r w:rsidRPr="0095041D">
        <w:tab/>
        <w:t xml:space="preserve">uwzględniając opinię Komitetu Regionów z </w:t>
      </w:r>
      <w:r w:rsidR="00496D83">
        <w:t xml:space="preserve">dnia </w:t>
      </w:r>
      <w:r w:rsidRPr="0095041D">
        <w:t>17 kwietnia 2024 r.</w:t>
      </w:r>
      <w:r>
        <w:rPr>
          <w:rStyle w:val="FootnoteReference"/>
        </w:rPr>
        <w:footnoteReference w:id="3"/>
      </w:r>
      <w:r w:rsidRPr="0095041D">
        <w:t>,</w:t>
      </w:r>
    </w:p>
    <w:p w:rsidR="00AF37C9" w:rsidRPr="0095041D" w:rsidP="00AF37C9" w14:paraId="329677D0" w14:textId="77777777">
      <w:pPr>
        <w:pStyle w:val="NormalHanging12a"/>
      </w:pPr>
      <w:r w:rsidRPr="0095041D">
        <w:t>–</w:t>
      </w:r>
      <w:r w:rsidRPr="0095041D">
        <w:tab/>
        <w:t>uwzględniając swoje stanowisko zajęte w pierwszym czytaniu</w:t>
      </w:r>
      <w:r>
        <w:rPr>
          <w:rStyle w:val="FootnoteReference"/>
        </w:rPr>
        <w:footnoteReference w:id="4"/>
      </w:r>
      <w:r w:rsidRPr="0095041D">
        <w:t xml:space="preserve"> dotyczące wniosku Komisji przedstawionego Parlamentowi Europejskiemu i Radzie (</w:t>
      </w:r>
      <w:r w:rsidRPr="0095041D">
        <w:t>COM(</w:t>
      </w:r>
      <w:r w:rsidRPr="0095041D">
        <w:t>2023)0411),</w:t>
      </w:r>
    </w:p>
    <w:p w:rsidR="00AF37C9" w:rsidRPr="0095041D" w:rsidP="00AF37C9" w14:paraId="517F33F6" w14:textId="77777777">
      <w:pPr>
        <w:pStyle w:val="NormalHanging12a"/>
      </w:pPr>
      <w:r w:rsidRPr="0095041D">
        <w:t>–</w:t>
      </w:r>
      <w:r w:rsidRPr="0095041D">
        <w:tab/>
        <w:t>uwzględniając art. 294 ust. 7 Traktatu o funkcjonowaniu Unii Europejskiej,</w:t>
      </w:r>
    </w:p>
    <w:p w:rsidR="00AF37C9" w:rsidRPr="0095041D" w:rsidP="00AF37C9" w14:paraId="17F95690" w14:textId="77777777">
      <w:pPr>
        <w:pStyle w:val="NormalHanging12a"/>
      </w:pPr>
      <w:r w:rsidRPr="0095041D">
        <w:t>–</w:t>
      </w:r>
      <w:r w:rsidRPr="0095041D">
        <w:tab/>
        <w:t xml:space="preserve">uwzględniając wstępne porozumienie zatwierdzone przez komisję przedmiotowo </w:t>
      </w:r>
      <w:r w:rsidRPr="0095041D">
        <w:t>właściwą na podstawie art. 75 ust. 4 Regulaminu,</w:t>
      </w:r>
    </w:p>
    <w:p w:rsidR="00AF37C9" w:rsidRPr="0095041D" w:rsidP="00AF37C9" w14:paraId="537A7EE5" w14:textId="77777777">
      <w:pPr>
        <w:pStyle w:val="NormalHanging12a"/>
      </w:pPr>
      <w:r w:rsidRPr="0095041D">
        <w:t>–</w:t>
      </w:r>
      <w:r w:rsidRPr="0095041D">
        <w:tab/>
        <w:t>uwzględniając art. 68 Regulaminu,</w:t>
      </w:r>
    </w:p>
    <w:p w:rsidR="00AF37C9" w:rsidRPr="0095041D" w:rsidP="00AF37C9" w14:paraId="1D62F3F4" w14:textId="77777777">
      <w:pPr>
        <w:pStyle w:val="NormalHanging12a"/>
      </w:pPr>
      <w:r w:rsidRPr="0095041D">
        <w:t>–</w:t>
      </w:r>
      <w:r w:rsidRPr="0095041D">
        <w:tab/>
        <w:t>uwzględniając zalecenie do drugiego czytania przedstawione przez Komisję Ochrony Środowiska Naturalnego, Klimatu i Bezpieczeństwa Żywności (A10-0175/2026),</w:t>
      </w:r>
    </w:p>
    <w:p w:rsidR="00AF37C9" w:rsidRPr="0095041D" w:rsidP="00AF37C9" w14:paraId="7835AC88" w14:textId="77777777">
      <w:pPr>
        <w:pStyle w:val="NormalHanging12a"/>
      </w:pPr>
      <w:r w:rsidRPr="0095041D">
        <w:t>1.</w:t>
      </w:r>
      <w:r w:rsidRPr="0095041D">
        <w:tab/>
        <w:t>zatwierdza stanowisko Rady przyjęte w pierwszym czytaniu;</w:t>
      </w:r>
    </w:p>
    <w:p w:rsidR="00AF37C9" w:rsidRPr="0095041D" w:rsidP="00AF37C9" w14:paraId="3E28D5E4" w14:textId="77777777">
      <w:pPr>
        <w:pStyle w:val="NormalHanging12a"/>
      </w:pPr>
      <w:r w:rsidRPr="0095041D">
        <w:t>2.</w:t>
      </w:r>
      <w:r w:rsidRPr="0095041D">
        <w:tab/>
        <w:t>stwierdza, że akt prawny zostaje przyjęty zgodnie ze stanowiskiem Rady;</w:t>
      </w:r>
    </w:p>
    <w:p w:rsidR="00AF37C9" w:rsidRPr="0095041D" w:rsidP="00AF37C9" w14:paraId="3FA268AA" w14:textId="77777777">
      <w:pPr>
        <w:pStyle w:val="NormalHanging12a"/>
      </w:pPr>
      <w:bookmarkStart w:id="6" w:name="_Hlk232445111"/>
      <w:r w:rsidRPr="0095041D">
        <w:t>3.</w:t>
      </w:r>
      <w:r w:rsidRPr="0095041D">
        <w:tab/>
        <w:t>zobowiązuje swoją przewodniczącą do podpisania wraz z przewodniczącym Rady aktu prawnego zgodnie z art. 297 ust. 1 Traktatu o funkcjonowaniu Unii Europejskiej;</w:t>
      </w:r>
    </w:p>
    <w:bookmarkEnd w:id="6"/>
    <w:p w:rsidR="00AF37C9" w:rsidRPr="0095041D" w:rsidP="00AF37C9" w14:paraId="54961D9E" w14:textId="77777777">
      <w:pPr>
        <w:pStyle w:val="NormalHanging12a"/>
      </w:pPr>
      <w:r w:rsidRPr="0095041D">
        <w:t>4.</w:t>
      </w:r>
      <w:r w:rsidRPr="0095041D">
        <w:tab/>
        <w:t xml:space="preserve">zobowiązuje swojego sekretarza generalnego do podpisania aktu prawnego po stwierdzeniu, że wszystkie procedury zostały prawidłowo zakończone, oraz do przygotowania, w porozumieniu z sekretarzem generalnym Rady, jego publikacji w </w:t>
      </w:r>
      <w:r w:rsidRPr="0095041D">
        <w:rPr>
          <w:i/>
        </w:rPr>
        <w:t>Dzienniku Urzędowym Unii Europejskiej</w:t>
      </w:r>
      <w:r w:rsidRPr="0095041D">
        <w:t>;</w:t>
      </w:r>
    </w:p>
    <w:p w:rsidR="0095041D" w:rsidRPr="0095041D" w:rsidP="0095041D" w14:paraId="1DFB2AC4" w14:textId="112C1BBB">
      <w:pPr>
        <w:pStyle w:val="NormalHanging12a"/>
      </w:pPr>
      <w:r w:rsidRPr="0095041D">
        <w:t>5.</w:t>
      </w:r>
      <w:r w:rsidRPr="0095041D">
        <w:tab/>
        <w:t>zobowiązuje swoją przewodniczącą do przekazania stanowiska Parlamentu Radzie i Komisji oraz parlamentom narodowym.</w:t>
      </w:r>
    </w:p>
    <w:p w:rsidR="00E365E1" w:rsidRPr="0095041D" w:rsidP="00F7510C" w14:paraId="21B769EB" w14:textId="674590AB"/>
    <w:sectPr w:rsidSect="0095041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5041D" w14:paraId="7A13D8E0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5041D" w14:paraId="0A671E1F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5041D" w14:paraId="0BF29AEB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F7510C" w:rsidRPr="0095041D" w14:paraId="5827E3C8" w14:textId="77777777">
      <w:r w:rsidRPr="0095041D">
        <w:separator/>
      </w:r>
    </w:p>
  </w:footnote>
  <w:footnote w:type="continuationSeparator" w:id="1">
    <w:p w:rsidR="00F7510C" w:rsidRPr="0095041D" w14:paraId="5FC490A3" w14:textId="77777777">
      <w:r w:rsidRPr="0095041D">
        <w:continuationSeparator/>
      </w:r>
    </w:p>
  </w:footnote>
  <w:footnote w:id="2">
    <w:p w:rsidR="006A3874" w:rsidRPr="00D2573A" w:rsidP="00D2573A" w14:paraId="4660857D" w14:textId="1E56D963">
      <w:pPr>
        <w:pStyle w:val="FootnoteText"/>
        <w:ind w:left="567" w:hanging="567"/>
        <w:rPr>
          <w:sz w:val="24"/>
          <w:szCs w:val="24"/>
          <w:lang w:val="pl-PL"/>
        </w:rPr>
      </w:pPr>
      <w:r w:rsidRPr="00D2573A">
        <w:rPr>
          <w:rStyle w:val="FootnoteReference"/>
          <w:sz w:val="24"/>
          <w:szCs w:val="24"/>
        </w:rPr>
        <w:footnoteRef/>
      </w:r>
      <w:r w:rsidRPr="00D2573A">
        <w:rPr>
          <w:sz w:val="24"/>
          <w:szCs w:val="24"/>
          <w:lang w:val="pl-PL"/>
        </w:rPr>
        <w:t xml:space="preserve"> </w:t>
      </w:r>
      <w:r w:rsidRPr="00D2573A">
        <w:rPr>
          <w:sz w:val="24"/>
          <w:szCs w:val="24"/>
          <w:lang w:val="pl-PL"/>
        </w:rPr>
        <w:tab/>
        <w:t>Dz.U.</w:t>
      </w:r>
      <w:r w:rsidRPr="00D2573A">
        <w:rPr>
          <w:rFonts w:eastAsia="Calibri"/>
          <w:sz w:val="24"/>
          <w:szCs w:val="24"/>
          <w:lang w:val="pl-PL" w:eastAsia="en-US"/>
        </w:rPr>
        <w:t xml:space="preserve"> C, C/2024/893, </w:t>
      </w:r>
      <w:r w:rsidRPr="00D2573A">
        <w:rPr>
          <w:rFonts w:eastAsia="Calibri"/>
          <w:sz w:val="24"/>
          <w:szCs w:val="24"/>
          <w:lang w:val="pl-PL" w:eastAsia="en-US"/>
        </w:rPr>
        <w:t>6.2.2024</w:t>
      </w:r>
      <w:r w:rsidRPr="00D2573A">
        <w:rPr>
          <w:rFonts w:eastAsia="Calibri"/>
          <w:sz w:val="24"/>
          <w:szCs w:val="24"/>
          <w:lang w:val="pl-PL" w:eastAsia="en-US"/>
        </w:rPr>
        <w:t>, ELI: </w:t>
      </w:r>
      <w:hyperlink r:id="rId1" w:tgtFrame="_blank" w:tooltip="Gives access to this document through its ELI URI." w:history="1">
        <w:r w:rsidRPr="00D2573A">
          <w:rPr>
            <w:rFonts w:eastAsia="Calibri"/>
            <w:color w:val="0563C1"/>
            <w:sz w:val="24"/>
            <w:szCs w:val="24"/>
            <w:u w:val="single"/>
            <w:lang w:val="pl-PL" w:eastAsia="en-US"/>
          </w:rPr>
          <w:t>http://data.europa.eu/eli/C/2024/893/oj</w:t>
        </w:r>
      </w:hyperlink>
    </w:p>
  </w:footnote>
  <w:footnote w:id="3">
    <w:p w:rsidR="006A3874" w:rsidRPr="00D2573A" w:rsidP="00D2573A" w14:paraId="0F1F63D3" w14:textId="5C19388C">
      <w:pPr>
        <w:pStyle w:val="FootnoteText"/>
        <w:ind w:left="567" w:hanging="567"/>
        <w:rPr>
          <w:sz w:val="24"/>
          <w:szCs w:val="24"/>
          <w:lang w:val="fi-FI"/>
        </w:rPr>
      </w:pPr>
      <w:r w:rsidRPr="00D2573A">
        <w:rPr>
          <w:rStyle w:val="FootnoteReference"/>
          <w:sz w:val="24"/>
          <w:szCs w:val="24"/>
        </w:rPr>
        <w:footnoteRef/>
      </w:r>
      <w:r w:rsidRPr="00D2573A">
        <w:rPr>
          <w:sz w:val="24"/>
          <w:szCs w:val="24"/>
          <w:lang w:val="fi-FI"/>
        </w:rPr>
        <w:t xml:space="preserve"> </w:t>
      </w:r>
      <w:r w:rsidRPr="00D2573A">
        <w:rPr>
          <w:sz w:val="24"/>
          <w:szCs w:val="24"/>
          <w:lang w:val="fi-FI"/>
        </w:rPr>
        <w:tab/>
      </w:r>
      <w:r w:rsidRPr="00D2573A">
        <w:rPr>
          <w:sz w:val="24"/>
          <w:szCs w:val="24"/>
          <w:lang w:val="fi-FI"/>
        </w:rPr>
        <w:t>Dz.U</w:t>
      </w:r>
      <w:r w:rsidRPr="00D2573A">
        <w:rPr>
          <w:sz w:val="24"/>
          <w:szCs w:val="24"/>
          <w:lang w:val="fi-FI"/>
        </w:rPr>
        <w:t>. C, C/2024/3674, 26.6.2024, ELI: http://data.europa.eu/eli/C/2024/3674/oj.</w:t>
      </w:r>
    </w:p>
  </w:footnote>
  <w:footnote w:id="4">
    <w:p w:rsidR="00AF37C9" w:rsidRPr="00D2573A" w:rsidP="006A3874" w14:paraId="5E921C92" w14:textId="5F4F4B75">
      <w:pPr>
        <w:pStyle w:val="FootnoteText"/>
        <w:ind w:left="567" w:hanging="567"/>
        <w:rPr>
          <w:sz w:val="24"/>
          <w:lang w:val="fi-FI"/>
        </w:rPr>
      </w:pPr>
      <w:r w:rsidRPr="0095041D">
        <w:rPr>
          <w:rStyle w:val="FootnoteReference"/>
          <w:sz w:val="24"/>
          <w:lang w:val="pl-PL"/>
        </w:rPr>
        <w:footnoteRef/>
      </w:r>
      <w:r w:rsidRPr="00D2573A" w:rsidR="0095041D">
        <w:rPr>
          <w:sz w:val="24"/>
          <w:lang w:val="fi-FI"/>
        </w:rPr>
        <w:t xml:space="preserve"> </w:t>
      </w:r>
      <w:r w:rsidRPr="00D2573A" w:rsidR="0095041D">
        <w:rPr>
          <w:sz w:val="24"/>
          <w:lang w:val="fi-FI"/>
        </w:rPr>
        <w:tab/>
      </w:r>
      <w:r w:rsidRPr="00D2573A">
        <w:rPr>
          <w:sz w:val="24"/>
          <w:lang w:val="fi-FI"/>
        </w:rPr>
        <w:t>Dz.U</w:t>
      </w:r>
      <w:r w:rsidRPr="00D2573A">
        <w:rPr>
          <w:sz w:val="24"/>
          <w:lang w:val="fi-FI"/>
        </w:rPr>
        <w:t xml:space="preserve">. C, C/2024/6358, 7.11.2024, ELI: </w:t>
      </w:r>
      <w:hyperlink r:id="rId2" w:history="1">
        <w:r w:rsidRPr="00D2573A">
          <w:rPr>
            <w:rStyle w:val="Hyperlink"/>
            <w:sz w:val="24"/>
            <w:lang w:val="fi-FI"/>
          </w:rPr>
          <w:t>http://data.europa.eu/eli/C/2024/6358/oj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5041D" w14:paraId="12656B3F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5041D" w14:paraId="625D159C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5041D" w14:paraId="34296D3C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67566279">
    <w:abstractNumId w:val="9"/>
  </w:num>
  <w:num w:numId="2" w16cid:durableId="1837575141">
    <w:abstractNumId w:val="9"/>
  </w:num>
  <w:num w:numId="3" w16cid:durableId="1942640349">
    <w:abstractNumId w:val="7"/>
  </w:num>
  <w:num w:numId="4" w16cid:durableId="1056470197">
    <w:abstractNumId w:val="7"/>
  </w:num>
  <w:num w:numId="5" w16cid:durableId="106123505">
    <w:abstractNumId w:val="6"/>
  </w:num>
  <w:num w:numId="6" w16cid:durableId="286855029">
    <w:abstractNumId w:val="6"/>
  </w:num>
  <w:num w:numId="7" w16cid:durableId="1848250057">
    <w:abstractNumId w:val="5"/>
  </w:num>
  <w:num w:numId="8" w16cid:durableId="585652402">
    <w:abstractNumId w:val="5"/>
  </w:num>
  <w:num w:numId="9" w16cid:durableId="568155562">
    <w:abstractNumId w:val="4"/>
  </w:num>
  <w:num w:numId="10" w16cid:durableId="165243039">
    <w:abstractNumId w:val="4"/>
  </w:num>
  <w:num w:numId="11" w16cid:durableId="380054850">
    <w:abstractNumId w:val="8"/>
  </w:num>
  <w:num w:numId="12" w16cid:durableId="2135168964">
    <w:abstractNumId w:val="8"/>
  </w:num>
  <w:num w:numId="13" w16cid:durableId="786044614">
    <w:abstractNumId w:val="3"/>
  </w:num>
  <w:num w:numId="14" w16cid:durableId="1128476000">
    <w:abstractNumId w:val="3"/>
  </w:num>
  <w:num w:numId="15" w16cid:durableId="215554805">
    <w:abstractNumId w:val="2"/>
  </w:num>
  <w:num w:numId="16" w16cid:durableId="868300287">
    <w:abstractNumId w:val="2"/>
  </w:num>
  <w:num w:numId="17" w16cid:durableId="517736464">
    <w:abstractNumId w:val="1"/>
  </w:num>
  <w:num w:numId="18" w16cid:durableId="742683662">
    <w:abstractNumId w:val="1"/>
  </w:num>
  <w:num w:numId="19" w16cid:durableId="1109660081">
    <w:abstractNumId w:val="0"/>
  </w:num>
  <w:num w:numId="20" w16cid:durableId="1066688680">
    <w:abstractNumId w:val="0"/>
  </w:num>
  <w:num w:numId="21" w16cid:durableId="1602684127">
    <w:abstractNumId w:val="9"/>
  </w:num>
  <w:num w:numId="22" w16cid:durableId="1582175666">
    <w:abstractNumId w:val="7"/>
  </w:num>
  <w:num w:numId="23" w16cid:durableId="1046368554">
    <w:abstractNumId w:val="6"/>
  </w:num>
  <w:num w:numId="24" w16cid:durableId="335573258">
    <w:abstractNumId w:val="5"/>
  </w:num>
  <w:num w:numId="25" w16cid:durableId="1238444693">
    <w:abstractNumId w:val="4"/>
  </w:num>
  <w:num w:numId="26" w16cid:durableId="2118285466">
    <w:abstractNumId w:val="8"/>
  </w:num>
  <w:num w:numId="27" w16cid:durableId="209075425">
    <w:abstractNumId w:val="3"/>
  </w:num>
  <w:num w:numId="28" w16cid:durableId="1946961026">
    <w:abstractNumId w:val="2"/>
  </w:num>
  <w:num w:numId="29" w16cid:durableId="37358730">
    <w:abstractNumId w:val="1"/>
  </w:num>
  <w:num w:numId="30" w16cid:durableId="1861120845">
    <w:abstractNumId w:val="0"/>
  </w:num>
  <w:num w:numId="31" w16cid:durableId="1582987392">
    <w:abstractNumId w:val="9"/>
  </w:num>
  <w:num w:numId="32" w16cid:durableId="396976045">
    <w:abstractNumId w:val="7"/>
  </w:num>
  <w:num w:numId="33" w16cid:durableId="28920767">
    <w:abstractNumId w:val="6"/>
  </w:num>
  <w:num w:numId="34" w16cid:durableId="856240073">
    <w:abstractNumId w:val="5"/>
  </w:num>
  <w:num w:numId="35" w16cid:durableId="159084598">
    <w:abstractNumId w:val="4"/>
  </w:num>
  <w:num w:numId="36" w16cid:durableId="1649171201">
    <w:abstractNumId w:val="8"/>
  </w:num>
  <w:num w:numId="37" w16cid:durableId="1220822619">
    <w:abstractNumId w:val="3"/>
  </w:num>
  <w:num w:numId="38" w16cid:durableId="1887641591">
    <w:abstractNumId w:val="2"/>
  </w:num>
  <w:num w:numId="39" w16cid:durableId="1803115584">
    <w:abstractNumId w:val="1"/>
  </w:num>
  <w:num w:numId="40" w16cid:durableId="1286614582">
    <w:abstractNumId w:val="0"/>
  </w:num>
  <w:num w:numId="41" w16cid:durableId="1398556929">
    <w:abstractNumId w:val="10"/>
  </w:num>
  <w:num w:numId="42" w16cid:durableId="963930487">
    <w:abstractNumId w:val="10"/>
  </w:num>
  <w:num w:numId="43" w16cid:durableId="148520190">
    <w:abstractNumId w:val="10"/>
  </w:num>
  <w:num w:numId="44" w16cid:durableId="6219570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10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579AC"/>
    <w:rsid w:val="00471C19"/>
    <w:rsid w:val="004867E3"/>
    <w:rsid w:val="00494A28"/>
    <w:rsid w:val="00496D83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A3874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6CA5"/>
    <w:rsid w:val="00930C23"/>
    <w:rsid w:val="0093193B"/>
    <w:rsid w:val="0095041D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7C9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573A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7510C"/>
    <w:rsid w:val="00F87713"/>
    <w:rsid w:val="00FB4360"/>
    <w:rsid w:val="00FD0C70"/>
  </w:rsids>
  <w:docVars>
    <w:docVar w:name="dvdocse" w:val="A10-0175/2026"/>
    <w:docVar w:name="dvlangue" w:val="PL"/>
    <w:docVar w:name="dvnumam" w:val="0"/>
    <w:docVar w:name="dvpe" w:val="789.924"/>
    <w:docVar w:name="dvrapporteur" w:val="Sprawozdawca: "/>
    <w:docVar w:name="dvstar" w:val="***II"/>
    <w:docVar w:name="dvtitre" w:val="Rezolucja ustawodawcza Parlamentu Europejskiego z dnia  2026 r. w sprawie stanowiska Rady w pierwszym czytaniu w sprawie przyjęcia rozporządzenia Parlamentu Europejskiego i Rady w sprawie roślin uzyskiwanych za pomocą niektórych nowych technik genomowych oraz pochodzących z tych roślin żywności i pasz, oraz w sprawie zmiany rozporządzenia (UE) 2017/625(17037/1/2025 – C10-0102/2026 – 2023/0226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3A0F3A3"/>
  <w15:chartTrackingRefBased/>
  <w15:docId w15:val="{B51978EE-1C5F-4817-A5F2-E2AB6A1CF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F37C9"/>
    <w:pPr>
      <w:spacing w:before="480" w:after="240"/>
    </w:pPr>
  </w:style>
  <w:style w:type="paragraph" w:customStyle="1" w:styleId="NormalBold">
    <w:name w:val="NormalBold"/>
    <w:basedOn w:val="Normal"/>
    <w:rsid w:val="00AF37C9"/>
    <w:rPr>
      <w:b/>
    </w:rPr>
  </w:style>
  <w:style w:type="paragraph" w:customStyle="1" w:styleId="NormalHanging12a">
    <w:name w:val="NormalHanging12a"/>
    <w:basedOn w:val="Normal"/>
    <w:rsid w:val="00AF37C9"/>
    <w:pPr>
      <w:spacing w:after="240"/>
      <w:ind w:left="567" w:hanging="567"/>
    </w:pPr>
  </w:style>
  <w:style w:type="character" w:styleId="Hyperlink">
    <w:name w:val="Hyperlink"/>
    <w:basedOn w:val="DefaultParagraphFont"/>
    <w:rsid w:val="00AF37C9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496D83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4/893/oj" TargetMode="External" /><Relationship Id="rId2" Type="http://schemas.openxmlformats.org/officeDocument/2006/relationships/hyperlink" Target="http://data.europa.eu/eli/C/2024/6358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297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2026-06-17T11:43:00Z</dcterms:created>
  <dcterms:modified xsi:type="dcterms:W3CDTF">2026-06-17T11:43:00Z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A10-0175/2026</vt:lpwstr>
  </property>
  <property fmtid="{D5CDD505-2E9C-101B-9397-08002B2CF9AE}" pid="4" name="&lt;Type&gt;">
    <vt:lpwstr>RR</vt:lpwstr>
  </property>
</Properties>
</file>