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CD1B27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535C" w:rsidP="0010095E" w14:paraId="7A5C3A85" w14:textId="77777777">
            <w:pPr>
              <w:pStyle w:val="EPName"/>
            </w:pPr>
            <w:r w:rsidRPr="00AC535C">
              <w:t>Európsky parlament</w:t>
            </w:r>
          </w:p>
          <w:p w:rsidR="00751A4A" w:rsidRPr="00AC535C" w:rsidP="005F1B17" w14:paraId="3F3DE7A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535C">
              <w:t>2024</w:t>
            </w:r>
            <w:r w:rsidRPr="00AC535C" w:rsidR="00817416">
              <w:t>-202</w:t>
            </w:r>
            <w:r w:rsidRPr="00AC535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C535C" w:rsidP="0010095E" w14:paraId="44EC6B00" w14:textId="77777777">
            <w:pPr>
              <w:pStyle w:val="EPLogo"/>
            </w:pPr>
            <w:r w:rsidRPr="00AC535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535C" w:rsidP="004C5D52" w14:paraId="53B88CC5" w14:textId="77777777">
      <w:pPr>
        <w:pStyle w:val="LineTop"/>
      </w:pPr>
    </w:p>
    <w:p w:rsidR="00680577" w:rsidRPr="00AC535C" w:rsidP="00680577" w14:paraId="69FD3FF9" w14:textId="77777777">
      <w:pPr>
        <w:pStyle w:val="EPBodyTA1"/>
      </w:pPr>
      <w:r w:rsidRPr="00AC535C">
        <w:t>PRIJATÉ TEXTY</w:t>
      </w:r>
    </w:p>
    <w:p w:rsidR="00D058B8" w:rsidRPr="00AC535C" w:rsidP="00D058B8" w14:paraId="338C2E91" w14:textId="77777777">
      <w:pPr>
        <w:pStyle w:val="LineBottom"/>
      </w:pPr>
    </w:p>
    <w:p w:rsidR="0054654F" w:rsidRPr="00AC535C" w:rsidP="0054654F" w14:paraId="23E334DD" w14:textId="57C9654D">
      <w:pPr>
        <w:pStyle w:val="ATHeading1"/>
      </w:pPr>
      <w:bookmarkStart w:id="0" w:name="TANumber"/>
      <w:r w:rsidRPr="00AC535C">
        <w:t>P10_TA(2026)0</w:t>
      </w:r>
      <w:r w:rsidRPr="00AC535C" w:rsidR="00B423D4">
        <w:t>206</w:t>
      </w:r>
      <w:bookmarkEnd w:id="0"/>
    </w:p>
    <w:p w:rsidR="0054654F" w:rsidRPr="00AC535C" w:rsidP="0054654F" w14:paraId="5E6FC100" w14:textId="77777777">
      <w:pPr>
        <w:pStyle w:val="ATHeading2"/>
      </w:pPr>
      <w:bookmarkStart w:id="1" w:name="title"/>
      <w:r w:rsidRPr="00AC535C">
        <w:t xml:space="preserve">Rastliny získané určitými novými </w:t>
      </w:r>
      <w:r w:rsidRPr="00AC535C">
        <w:t>genómovými</w:t>
      </w:r>
      <w:r w:rsidRPr="00AC535C">
        <w:t xml:space="preserve"> technikami a potraviny a krmivá z nich</w:t>
      </w:r>
      <w:bookmarkEnd w:id="1"/>
    </w:p>
    <w:p w:rsidR="0054654F" w:rsidRPr="00AC535C" w:rsidP="0054654F" w14:paraId="004BF81E" w14:textId="77777777">
      <w:pPr>
        <w:rPr>
          <w:i/>
          <w:vanish/>
        </w:rPr>
      </w:pPr>
      <w:r>
        <w:rPr>
          <w:i/>
        </w:rPr>
        <w:fldChar w:fldCharType="begin"/>
      </w:r>
      <w:r w:rsidRPr="00AC535C">
        <w:rPr>
          <w:i/>
        </w:rPr>
        <w:instrText xml:space="preserve"> TC"(</w:instrText>
      </w:r>
      <w:bookmarkStart w:id="2" w:name="DocNumber"/>
      <w:r w:rsidRPr="00AC535C">
        <w:rPr>
          <w:i/>
        </w:rPr>
        <w:instrText>A10-0175/2026</w:instrText>
      </w:r>
      <w:bookmarkEnd w:id="2"/>
      <w:r w:rsidRPr="00AC535C">
        <w:rPr>
          <w:i/>
        </w:rPr>
        <w:instrText xml:space="preserve"> - Spravodajkyňa: </w:instrText>
      </w:r>
      <w:r w:rsidRPr="00AC535C">
        <w:rPr>
          <w:i/>
        </w:rPr>
        <w:instrText>Jessica</w:instrText>
      </w:r>
      <w:r w:rsidRPr="00AC535C">
        <w:rPr>
          <w:i/>
        </w:rPr>
        <w:instrText xml:space="preserve"> </w:instrText>
      </w:r>
      <w:r w:rsidRPr="00AC535C">
        <w:rPr>
          <w:i/>
        </w:rPr>
        <w:instrText>Polfjärd</w:instrText>
      </w:r>
      <w:r w:rsidRPr="00AC535C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4654F" w:rsidRPr="00AC535C" w:rsidP="0054654F" w14:paraId="7D7A4593" w14:textId="77777777">
      <w:pPr>
        <w:rPr>
          <w:vanish/>
        </w:rPr>
      </w:pPr>
      <w:bookmarkStart w:id="3" w:name="Commission"/>
      <w:r w:rsidRPr="00AC535C">
        <w:rPr>
          <w:vanish/>
        </w:rPr>
        <w:t>Výbor pre životné prostredie, klímu a bezpečnosť potravín</w:t>
      </w:r>
      <w:bookmarkEnd w:id="3"/>
    </w:p>
    <w:p w:rsidR="0054654F" w:rsidRPr="00AC535C" w:rsidP="0054654F" w14:paraId="56CC1ED3" w14:textId="77777777">
      <w:pPr>
        <w:rPr>
          <w:vanish/>
        </w:rPr>
      </w:pPr>
      <w:bookmarkStart w:id="4" w:name="PE"/>
      <w:r w:rsidRPr="00AC535C">
        <w:rPr>
          <w:vanish/>
        </w:rPr>
        <w:t>PE789.924</w:t>
      </w:r>
      <w:bookmarkEnd w:id="4"/>
    </w:p>
    <w:p w:rsidR="0054654F" w:rsidRPr="00AC535C" w:rsidP="0054654F" w14:paraId="6FC767A1" w14:textId="40CE8808">
      <w:pPr>
        <w:pStyle w:val="ATHeading3"/>
      </w:pPr>
      <w:bookmarkStart w:id="5" w:name="Sujet"/>
      <w:r w:rsidRPr="00AC535C">
        <w:t xml:space="preserve">Legislatívne uznesenie Európskeho parlamentu zo </w:t>
      </w:r>
      <w:r w:rsidRPr="00AC535C" w:rsidR="006F2054">
        <w:t>17</w:t>
      </w:r>
      <w:r w:rsidRPr="00AC535C">
        <w:t xml:space="preserve">. </w:t>
      </w:r>
      <w:r w:rsidRPr="00AC535C" w:rsidR="006F2054">
        <w:t xml:space="preserve">júna </w:t>
      </w:r>
      <w:r w:rsidRPr="00AC535C">
        <w:t xml:space="preserve">2026 k pozícii Rady v prvom čítaní na účely prijatia nariadenia Európskeho parlamentu a Rady o rastlinách získaných určitými novými </w:t>
      </w:r>
      <w:r w:rsidRPr="00AC535C">
        <w:t>genómovými</w:t>
      </w:r>
      <w:r w:rsidRPr="00AC535C">
        <w:t xml:space="preserve"> technikami a </w:t>
      </w:r>
      <w:r w:rsidRPr="00AC535C" w:rsidR="005C0F67">
        <w:t>výrobk</w:t>
      </w:r>
      <w:r w:rsidRPr="00AC535C" w:rsidR="00175F73">
        <w:t>och</w:t>
      </w:r>
      <w:r w:rsidRPr="00AC535C">
        <w:t xml:space="preserve"> z nich a o zmene nariadenia (EÚ) 2017/625</w:t>
      </w:r>
      <w:bookmarkEnd w:id="5"/>
      <w:r w:rsidRPr="00AC535C">
        <w:t xml:space="preserve"> </w:t>
      </w:r>
      <w:bookmarkStart w:id="6" w:name="References"/>
      <w:r w:rsidRPr="00AC535C">
        <w:t>(17037/1/2025 – C10-0102/2026 – 2023/0226(COD))</w:t>
      </w:r>
      <w:bookmarkEnd w:id="6"/>
    </w:p>
    <w:p w:rsidR="0054654F" w:rsidRPr="00AC535C" w:rsidP="0054654F" w14:paraId="4FDF89AB" w14:textId="77777777"/>
    <w:p w:rsidR="00BA7303" w:rsidRPr="00AC535C" w:rsidP="00BA7303" w14:paraId="082D1B23" w14:textId="77777777">
      <w:pPr>
        <w:pStyle w:val="NormalBold"/>
      </w:pPr>
      <w:bookmarkStart w:id="7" w:name="TextBodyBegin"/>
      <w:bookmarkEnd w:id="7"/>
      <w:r w:rsidRPr="00AC535C">
        <w:t>(Riadny legislatívny postup: druhé čítanie)</w:t>
      </w:r>
    </w:p>
    <w:p w:rsidR="00BA7303" w:rsidRPr="00AC535C" w:rsidP="00BA7303" w14:paraId="4576B9FF" w14:textId="77777777">
      <w:pPr>
        <w:pStyle w:val="EPComma"/>
      </w:pPr>
      <w:r w:rsidRPr="00AC535C">
        <w:rPr>
          <w:i/>
          <w:iCs/>
        </w:rPr>
        <w:t>Európsky parlament</w:t>
      </w:r>
      <w:r w:rsidRPr="00AC535C">
        <w:t xml:space="preserve">, </w:t>
      </w:r>
    </w:p>
    <w:p w:rsidR="00BA7303" w:rsidRPr="00AC535C" w:rsidP="00BA7303" w14:paraId="76CA52E3" w14:textId="1972D228">
      <w:pPr>
        <w:pStyle w:val="NormalHanging12a"/>
      </w:pPr>
      <w:r w:rsidRPr="00AC535C">
        <w:t>–</w:t>
      </w:r>
      <w:r w:rsidRPr="00AC535C">
        <w:tab/>
        <w:t>so zreteľom na pozíciu Rady v prvom čítaní (17037/</w:t>
      </w:r>
      <w:r w:rsidRPr="00AC535C" w:rsidR="005C0F67">
        <w:t>1/</w:t>
      </w:r>
      <w:r w:rsidRPr="00AC535C">
        <w:t>25 – C10-0102/2026),</w:t>
      </w:r>
    </w:p>
    <w:p w:rsidR="00BA7303" w:rsidRPr="00AC535C" w:rsidP="00BA7303" w14:paraId="4ADAB3D8" w14:textId="0680B8D6">
      <w:pPr>
        <w:pStyle w:val="NormalHanging12a"/>
      </w:pPr>
      <w:r w:rsidRPr="00AC535C">
        <w:t>–</w:t>
      </w:r>
      <w:r w:rsidRPr="00AC535C">
        <w:tab/>
        <w:t xml:space="preserve">so zreteľom na odôvodnené stanoviská predložené na základe Protokolu č. 2 o uplatňovaní zásad subsidiarity a proporcionality cyperským </w:t>
      </w:r>
      <w:r w:rsidRPr="00AC535C" w:rsidR="000111F0">
        <w:t>P</w:t>
      </w:r>
      <w:r w:rsidRPr="00AC535C">
        <w:t xml:space="preserve">arlamentom a maďarským </w:t>
      </w:r>
      <w:r w:rsidRPr="00AC535C" w:rsidR="000111F0">
        <w:t>P</w:t>
      </w:r>
      <w:r w:rsidRPr="00AC535C">
        <w:t>arlamentom, ktoré tvrdia, že návrh legislatívneho aktu nie je v súlade so zásadou subsidiarity,</w:t>
      </w:r>
    </w:p>
    <w:p w:rsidR="00BA7303" w:rsidRPr="00AC535C" w:rsidP="00BA7303" w14:paraId="4332362B" w14:textId="5A86DE45">
      <w:pPr>
        <w:pStyle w:val="NormalHanging12a"/>
      </w:pPr>
      <w:r w:rsidRPr="00AC535C">
        <w:t>–</w:t>
      </w:r>
      <w:r w:rsidRPr="00AC535C">
        <w:tab/>
        <w:t>so zreteľom na stanovisko Európskeho hospodárskeho a sociálneho výboru z 26. októbra 2023</w:t>
      </w:r>
      <w:r>
        <w:rPr>
          <w:rStyle w:val="FootnoteReference"/>
        </w:rPr>
        <w:footnoteReference w:id="2"/>
      </w:r>
      <w:r w:rsidRPr="00AC535C">
        <w:t>,</w:t>
      </w:r>
    </w:p>
    <w:p w:rsidR="00BA7303" w:rsidRPr="00AC535C" w:rsidP="00BA7303" w14:paraId="7854DB25" w14:textId="332927D9">
      <w:pPr>
        <w:pStyle w:val="NormalHanging12a"/>
      </w:pPr>
      <w:r w:rsidRPr="00AC535C">
        <w:t>–</w:t>
      </w:r>
      <w:r w:rsidRPr="00AC535C">
        <w:tab/>
        <w:t>zo zreteľom na stanovisko Výboru regiónov zo 17. apríla 2024</w:t>
      </w:r>
      <w:r>
        <w:rPr>
          <w:rStyle w:val="FootnoteReference"/>
        </w:rPr>
        <w:footnoteReference w:id="3"/>
      </w:r>
      <w:r w:rsidRPr="00AC535C">
        <w:t>,</w:t>
      </w:r>
    </w:p>
    <w:p w:rsidR="00BA7303" w:rsidRPr="00AC535C" w:rsidP="00BA7303" w14:paraId="6A681E3D" w14:textId="77777777">
      <w:pPr>
        <w:pStyle w:val="NormalHanging12a"/>
      </w:pPr>
      <w:r w:rsidRPr="00AC535C">
        <w:t>–</w:t>
      </w:r>
      <w:r w:rsidRPr="00AC535C">
        <w:tab/>
        <w:t>so zreteľom na svoju pozíciu v prvom čítaní</w:t>
      </w:r>
      <w:r>
        <w:rPr>
          <w:rStyle w:val="FootnoteReference"/>
        </w:rPr>
        <w:footnoteReference w:id="4"/>
      </w:r>
      <w:r w:rsidRPr="00AC535C">
        <w:t xml:space="preserve"> k návrhu Komisie pre Európsky parlament a Radu (COM(2023)0411),</w:t>
      </w:r>
    </w:p>
    <w:p w:rsidR="00BA7303" w:rsidRPr="00AC535C" w:rsidP="00BA7303" w14:paraId="375CF77B" w14:textId="77777777">
      <w:pPr>
        <w:pStyle w:val="NormalHanging12a"/>
      </w:pPr>
      <w:r w:rsidRPr="00AC535C">
        <w:t>–</w:t>
      </w:r>
      <w:r w:rsidRPr="00AC535C">
        <w:tab/>
        <w:t>so zreteľom na článok 294 ods. 7 Zmluvy o fungovaní Európskej únie,</w:t>
      </w:r>
    </w:p>
    <w:p w:rsidR="00BA7303" w:rsidRPr="00AC535C" w:rsidP="00BA7303" w14:paraId="048F040D" w14:textId="77777777">
      <w:pPr>
        <w:pStyle w:val="NormalHanging12a"/>
      </w:pPr>
      <w:r w:rsidRPr="00AC535C">
        <w:t>–</w:t>
      </w:r>
      <w:r w:rsidRPr="00AC535C">
        <w:tab/>
        <w:t xml:space="preserve">so zreteľom na predbežnú dohodu schválenú gestorským výborom podľa článku 75 </w:t>
      </w:r>
      <w:r w:rsidRPr="00AC535C">
        <w:t>ods. 4 rokovacieho poriadku,</w:t>
      </w:r>
    </w:p>
    <w:p w:rsidR="00BA7303" w:rsidRPr="00AC535C" w:rsidP="00BA7303" w14:paraId="7D9B1C71" w14:textId="77777777">
      <w:pPr>
        <w:pStyle w:val="NormalHanging12a"/>
      </w:pPr>
      <w:r w:rsidRPr="00AC535C">
        <w:t>–</w:t>
      </w:r>
      <w:r w:rsidRPr="00AC535C">
        <w:tab/>
        <w:t>so zreteľom na článok 68 rokovacieho poriadku,</w:t>
      </w:r>
    </w:p>
    <w:p w:rsidR="00BA7303" w:rsidRPr="00AC535C" w:rsidP="00BA7303" w14:paraId="429F2452" w14:textId="77777777">
      <w:pPr>
        <w:pStyle w:val="NormalHanging12a"/>
      </w:pPr>
      <w:r w:rsidRPr="00AC535C">
        <w:t>–</w:t>
      </w:r>
      <w:r w:rsidRPr="00AC535C">
        <w:tab/>
        <w:t>so zreteľom na odporúčanie Výboru pre životné prostredie, klímu a bezpečnosť potravín do druhého čítania (A10-0175/2026),</w:t>
      </w:r>
    </w:p>
    <w:p w:rsidR="00BA7303" w:rsidRPr="00AC535C" w:rsidP="00BA7303" w14:paraId="6E412EA2" w14:textId="77777777">
      <w:pPr>
        <w:pStyle w:val="NormalHanging12a"/>
      </w:pPr>
      <w:r w:rsidRPr="00AC535C">
        <w:t>1.</w:t>
      </w:r>
      <w:r w:rsidRPr="00AC535C">
        <w:tab/>
        <w:t>schvaľuje pozíciu Rady v prvom čítaní;</w:t>
      </w:r>
    </w:p>
    <w:p w:rsidR="00BA7303" w:rsidRPr="00AC535C" w:rsidP="00BA7303" w14:paraId="55A6FCAE" w14:textId="77777777">
      <w:pPr>
        <w:pStyle w:val="NormalHanging12a"/>
      </w:pPr>
      <w:r w:rsidRPr="00AC535C">
        <w:t>2.</w:t>
      </w:r>
      <w:r w:rsidRPr="00AC535C">
        <w:tab/>
        <w:t>konštatuje, že akt bol prijatý v súlade s pozíciou Rady;</w:t>
      </w:r>
    </w:p>
    <w:p w:rsidR="00BA7303" w:rsidRPr="00AC535C" w:rsidP="00BA7303" w14:paraId="0238748F" w14:textId="77777777">
      <w:pPr>
        <w:pStyle w:val="NormalHanging12a"/>
      </w:pPr>
      <w:bookmarkStart w:id="8" w:name="_Hlk232445111"/>
      <w:r w:rsidRPr="00AC535C">
        <w:t>3.</w:t>
      </w:r>
      <w:r w:rsidRPr="00AC535C">
        <w:tab/>
        <w:t>poveruje svoju predsedníčku, aby podpísala akt spoločne s predsedom Rady v súlade s článkom 297 ods. 1 Zmluvy o fungovaní Európskej únie;</w:t>
      </w:r>
    </w:p>
    <w:bookmarkEnd w:id="8"/>
    <w:p w:rsidR="00BA7303" w:rsidRPr="00AC535C" w:rsidP="00BA7303" w14:paraId="4ADC4127" w14:textId="77777777">
      <w:pPr>
        <w:pStyle w:val="NormalHanging12a"/>
      </w:pPr>
      <w:r w:rsidRPr="00AC535C">
        <w:t>4.</w:t>
      </w:r>
      <w:r w:rsidRPr="00AC535C">
        <w:tab/>
        <w:t xml:space="preserve">poveruje svojho generálneho tajomníka, aby podpísal akt po tom, čo sa overí, že všetky postupy boli náležite ukončené, a aby po dohode s generálnou tajomníčkou Rady zabezpečil jeho uverejnenie v </w:t>
      </w:r>
      <w:r w:rsidRPr="00AC535C">
        <w:rPr>
          <w:i/>
          <w:iCs/>
        </w:rPr>
        <w:t>Úradnom vestníku Európskej únie</w:t>
      </w:r>
      <w:r w:rsidRPr="00AC535C">
        <w:t>;</w:t>
      </w:r>
    </w:p>
    <w:p w:rsidR="00E365E1" w:rsidRPr="00AC535C" w:rsidP="00B1005E" w14:paraId="231CBCCD" w14:textId="3D71F99A">
      <w:pPr>
        <w:pStyle w:val="NormalHanging12a"/>
      </w:pPr>
      <w:r w:rsidRPr="00AC535C">
        <w:t>5.</w:t>
      </w:r>
      <w:r w:rsidRPr="00AC535C">
        <w:tab/>
        <w:t>poveruje svoju predsedníčku, aby postúpila túto pozíciu Rade, Komisii a národným parlamentom.</w:t>
      </w:r>
    </w:p>
    <w:sectPr w:rsidSect="00A453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453A3" w14:paraId="0D03A22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453A3" w14:paraId="4EE4FEA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453A3" w14:paraId="1017B85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4654F" w:rsidRPr="00A453A3" w14:paraId="3B8E7574" w14:textId="77777777">
      <w:r w:rsidRPr="00A453A3">
        <w:separator/>
      </w:r>
    </w:p>
  </w:footnote>
  <w:footnote w:type="continuationSeparator" w:id="1">
    <w:p w:rsidR="0054654F" w:rsidRPr="00A453A3" w14:paraId="2DEB26AF" w14:textId="77777777">
      <w:r w:rsidRPr="00A453A3">
        <w:continuationSeparator/>
      </w:r>
    </w:p>
  </w:footnote>
  <w:footnote w:id="2">
    <w:p w:rsidR="005C0F67" w:rsidRPr="00AC535C" w:rsidP="00AC535C" w14:paraId="0309DDF4" w14:textId="5A2C7032">
      <w:pPr>
        <w:pStyle w:val="FootnoteText"/>
        <w:ind w:left="567" w:hanging="567"/>
        <w:rPr>
          <w:sz w:val="24"/>
          <w:szCs w:val="24"/>
          <w:lang w:val="es-ES"/>
        </w:rPr>
      </w:pPr>
      <w:r w:rsidRPr="00AC535C">
        <w:rPr>
          <w:rStyle w:val="FootnoteReference"/>
          <w:sz w:val="24"/>
          <w:szCs w:val="24"/>
        </w:rPr>
        <w:footnoteRef/>
      </w:r>
      <w:r w:rsidRPr="00AC535C">
        <w:rPr>
          <w:sz w:val="24"/>
          <w:szCs w:val="24"/>
          <w:lang w:val="es-ES"/>
        </w:rPr>
        <w:t xml:space="preserve"> </w:t>
      </w:r>
      <w:r w:rsidRPr="00AC535C">
        <w:rPr>
          <w:sz w:val="24"/>
          <w:szCs w:val="24"/>
          <w:lang w:val="es-ES"/>
        </w:rPr>
        <w:tab/>
      </w:r>
      <w:r w:rsidRPr="005C0F67">
        <w:rPr>
          <w:sz w:val="24"/>
          <w:szCs w:val="24"/>
          <w:lang w:val="sk-SK"/>
        </w:rPr>
        <w:t xml:space="preserve">Ú. v. EÚ </w:t>
      </w:r>
      <w:r w:rsidRPr="00AC535C">
        <w:rPr>
          <w:rFonts w:eastAsia="Calibri"/>
          <w:sz w:val="24"/>
          <w:szCs w:val="24"/>
          <w:lang w:val="es-ES" w:eastAsia="en-US"/>
        </w:rPr>
        <w:t>C, C/2024/893, 6.2.2024, ELI: </w:t>
      </w:r>
      <w:hyperlink r:id="rId1" w:tgtFrame="_blank" w:tooltip="Gives access to this document through its ELI URI." w:history="1">
        <w:r w:rsidRPr="00AC535C">
          <w:rPr>
            <w:rFonts w:eastAsia="Calibri"/>
            <w:color w:val="0563C1"/>
            <w:sz w:val="24"/>
            <w:szCs w:val="24"/>
            <w:u w:val="single"/>
            <w:lang w:val="es-ES" w:eastAsia="en-US"/>
          </w:rPr>
          <w:t>http://data.europa.eu/eli/C/2024/893/oj</w:t>
        </w:r>
      </w:hyperlink>
      <w:r w:rsidRPr="00AC535C">
        <w:rPr>
          <w:rFonts w:eastAsia="Calibri"/>
          <w:sz w:val="24"/>
          <w:szCs w:val="24"/>
          <w:lang w:val="es-ES" w:eastAsia="en-US"/>
        </w:rPr>
        <w:t>.</w:t>
      </w:r>
    </w:p>
  </w:footnote>
  <w:footnote w:id="3">
    <w:p w:rsidR="005C0F67" w:rsidRPr="00AC535C" w:rsidP="00AC535C" w14:paraId="4CEA894C" w14:textId="3D0BEE98">
      <w:pPr>
        <w:pStyle w:val="FootnoteText"/>
        <w:ind w:left="567" w:hanging="567"/>
        <w:rPr>
          <w:sz w:val="24"/>
          <w:szCs w:val="24"/>
          <w:lang w:val="fi-FI"/>
        </w:rPr>
      </w:pPr>
      <w:r w:rsidRPr="00AC535C">
        <w:rPr>
          <w:rStyle w:val="FootnoteReference"/>
          <w:sz w:val="24"/>
          <w:szCs w:val="24"/>
        </w:rPr>
        <w:footnoteRef/>
      </w:r>
      <w:r w:rsidRPr="00AC535C">
        <w:rPr>
          <w:sz w:val="24"/>
          <w:szCs w:val="24"/>
          <w:lang w:val="fi-FI"/>
        </w:rPr>
        <w:t xml:space="preserve"> </w:t>
      </w:r>
      <w:r w:rsidRPr="00AC535C">
        <w:rPr>
          <w:sz w:val="24"/>
          <w:szCs w:val="24"/>
          <w:lang w:val="fi-FI"/>
        </w:rPr>
        <w:tab/>
      </w:r>
      <w:r w:rsidRPr="005C0F67">
        <w:rPr>
          <w:sz w:val="24"/>
          <w:szCs w:val="24"/>
          <w:lang w:val="sk-SK"/>
        </w:rPr>
        <w:t xml:space="preserve">Ú. v. EÚ </w:t>
      </w:r>
      <w:r w:rsidRPr="00AC535C">
        <w:rPr>
          <w:sz w:val="24"/>
          <w:szCs w:val="24"/>
          <w:lang w:val="fi-FI"/>
        </w:rPr>
        <w:t xml:space="preserve">C, C/2024/3674, 26.6.2024, ELI: </w:t>
      </w:r>
      <w:hyperlink r:id="rId2" w:history="1">
        <w:r w:rsidRPr="00AC535C">
          <w:rPr>
            <w:rStyle w:val="Hyperlink"/>
            <w:sz w:val="24"/>
            <w:szCs w:val="24"/>
            <w:lang w:val="fi-FI"/>
          </w:rPr>
          <w:t>http://data.europa.eu/eli/C/2024/3674/oj</w:t>
        </w:r>
      </w:hyperlink>
      <w:r w:rsidRPr="00AC535C">
        <w:rPr>
          <w:sz w:val="24"/>
          <w:szCs w:val="24"/>
          <w:lang w:val="fi-FI"/>
        </w:rPr>
        <w:t>.</w:t>
      </w:r>
    </w:p>
  </w:footnote>
  <w:footnote w:id="4">
    <w:p w:rsidR="00BA7303" w:rsidRPr="005C0F67" w:rsidP="005C0F67" w14:paraId="7F035B8A" w14:textId="2072B4CC">
      <w:pPr>
        <w:pStyle w:val="FootnoteText"/>
        <w:ind w:left="567" w:hanging="567"/>
        <w:rPr>
          <w:sz w:val="24"/>
          <w:szCs w:val="24"/>
          <w:lang w:val="sk-SK"/>
        </w:rPr>
      </w:pPr>
      <w:r w:rsidRPr="005C0F67">
        <w:rPr>
          <w:rStyle w:val="FootnoteReference"/>
          <w:sz w:val="24"/>
          <w:szCs w:val="24"/>
          <w:lang w:val="sk-SK"/>
        </w:rPr>
        <w:footnoteRef/>
      </w:r>
      <w:r w:rsidRPr="005C0F67" w:rsidR="00A453A3">
        <w:rPr>
          <w:sz w:val="24"/>
          <w:szCs w:val="24"/>
          <w:lang w:val="sk-SK"/>
        </w:rPr>
        <w:t xml:space="preserve"> </w:t>
      </w:r>
      <w:r w:rsidRPr="005C0F67" w:rsidR="00A453A3">
        <w:rPr>
          <w:sz w:val="24"/>
          <w:szCs w:val="24"/>
          <w:lang w:val="sk-SK"/>
        </w:rPr>
        <w:tab/>
      </w:r>
      <w:r w:rsidRPr="005C0F67">
        <w:rPr>
          <w:sz w:val="24"/>
          <w:szCs w:val="24"/>
          <w:lang w:val="sk-SK"/>
        </w:rPr>
        <w:t xml:space="preserve">Ú. v. EÚ C, C/2024/6358, 7.11.2024, ELI: </w:t>
      </w:r>
      <w:hyperlink r:id="rId3" w:history="1">
        <w:r w:rsidRPr="005C0F67">
          <w:rPr>
            <w:rStyle w:val="Hyperlink"/>
            <w:sz w:val="24"/>
            <w:szCs w:val="24"/>
            <w:lang w:val="sk-SK"/>
          </w:rPr>
          <w:t>http://data.europa.eu/eli/C/2024/6358/oj</w:t>
        </w:r>
      </w:hyperlink>
      <w:r w:rsidRPr="005C0F67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453A3" w14:paraId="2A4A830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453A3" w14:paraId="4AF53D6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453A3" w14:paraId="3064DE3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2162095">
    <w:abstractNumId w:val="9"/>
  </w:num>
  <w:num w:numId="2" w16cid:durableId="1130711236">
    <w:abstractNumId w:val="9"/>
  </w:num>
  <w:num w:numId="3" w16cid:durableId="1670400898">
    <w:abstractNumId w:val="7"/>
  </w:num>
  <w:num w:numId="4" w16cid:durableId="1325087055">
    <w:abstractNumId w:val="7"/>
  </w:num>
  <w:num w:numId="5" w16cid:durableId="1324434674">
    <w:abstractNumId w:val="6"/>
  </w:num>
  <w:num w:numId="6" w16cid:durableId="1631788327">
    <w:abstractNumId w:val="6"/>
  </w:num>
  <w:num w:numId="7" w16cid:durableId="1688869819">
    <w:abstractNumId w:val="5"/>
  </w:num>
  <w:num w:numId="8" w16cid:durableId="902833108">
    <w:abstractNumId w:val="5"/>
  </w:num>
  <w:num w:numId="9" w16cid:durableId="632030003">
    <w:abstractNumId w:val="4"/>
  </w:num>
  <w:num w:numId="10" w16cid:durableId="2066485681">
    <w:abstractNumId w:val="4"/>
  </w:num>
  <w:num w:numId="11" w16cid:durableId="1612931944">
    <w:abstractNumId w:val="8"/>
  </w:num>
  <w:num w:numId="12" w16cid:durableId="404377658">
    <w:abstractNumId w:val="8"/>
  </w:num>
  <w:num w:numId="13" w16cid:durableId="820653764">
    <w:abstractNumId w:val="3"/>
  </w:num>
  <w:num w:numId="14" w16cid:durableId="1813404137">
    <w:abstractNumId w:val="3"/>
  </w:num>
  <w:num w:numId="15" w16cid:durableId="1886941401">
    <w:abstractNumId w:val="2"/>
  </w:num>
  <w:num w:numId="16" w16cid:durableId="1550074563">
    <w:abstractNumId w:val="2"/>
  </w:num>
  <w:num w:numId="17" w16cid:durableId="1888562581">
    <w:abstractNumId w:val="1"/>
  </w:num>
  <w:num w:numId="18" w16cid:durableId="191235024">
    <w:abstractNumId w:val="1"/>
  </w:num>
  <w:num w:numId="19" w16cid:durableId="1309436988">
    <w:abstractNumId w:val="0"/>
  </w:num>
  <w:num w:numId="20" w16cid:durableId="286666224">
    <w:abstractNumId w:val="0"/>
  </w:num>
  <w:num w:numId="21" w16cid:durableId="383221098">
    <w:abstractNumId w:val="9"/>
  </w:num>
  <w:num w:numId="22" w16cid:durableId="1498031875">
    <w:abstractNumId w:val="7"/>
  </w:num>
  <w:num w:numId="23" w16cid:durableId="44642120">
    <w:abstractNumId w:val="6"/>
  </w:num>
  <w:num w:numId="24" w16cid:durableId="738208565">
    <w:abstractNumId w:val="5"/>
  </w:num>
  <w:num w:numId="25" w16cid:durableId="424571953">
    <w:abstractNumId w:val="4"/>
  </w:num>
  <w:num w:numId="26" w16cid:durableId="1175606342">
    <w:abstractNumId w:val="8"/>
  </w:num>
  <w:num w:numId="27" w16cid:durableId="1366827765">
    <w:abstractNumId w:val="3"/>
  </w:num>
  <w:num w:numId="28" w16cid:durableId="1221789403">
    <w:abstractNumId w:val="2"/>
  </w:num>
  <w:num w:numId="29" w16cid:durableId="521433207">
    <w:abstractNumId w:val="1"/>
  </w:num>
  <w:num w:numId="30" w16cid:durableId="1927305199">
    <w:abstractNumId w:val="0"/>
  </w:num>
  <w:num w:numId="31" w16cid:durableId="2013800648">
    <w:abstractNumId w:val="9"/>
  </w:num>
  <w:num w:numId="32" w16cid:durableId="1177188696">
    <w:abstractNumId w:val="7"/>
  </w:num>
  <w:num w:numId="33" w16cid:durableId="1946377452">
    <w:abstractNumId w:val="6"/>
  </w:num>
  <w:num w:numId="34" w16cid:durableId="1794513783">
    <w:abstractNumId w:val="5"/>
  </w:num>
  <w:num w:numId="35" w16cid:durableId="136798253">
    <w:abstractNumId w:val="4"/>
  </w:num>
  <w:num w:numId="36" w16cid:durableId="439959963">
    <w:abstractNumId w:val="8"/>
  </w:num>
  <w:num w:numId="37" w16cid:durableId="1957253873">
    <w:abstractNumId w:val="3"/>
  </w:num>
  <w:num w:numId="38" w16cid:durableId="787822558">
    <w:abstractNumId w:val="2"/>
  </w:num>
  <w:num w:numId="39" w16cid:durableId="286739850">
    <w:abstractNumId w:val="1"/>
  </w:num>
  <w:num w:numId="40" w16cid:durableId="1365520749">
    <w:abstractNumId w:val="0"/>
  </w:num>
  <w:num w:numId="41" w16cid:durableId="1829250257">
    <w:abstractNumId w:val="10"/>
  </w:num>
  <w:num w:numId="42" w16cid:durableId="1765110549">
    <w:abstractNumId w:val="10"/>
  </w:num>
  <w:num w:numId="43" w16cid:durableId="545143629">
    <w:abstractNumId w:val="10"/>
  </w:num>
  <w:num w:numId="44" w16cid:durableId="4995860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4F"/>
    <w:rsid w:val="00002272"/>
    <w:rsid w:val="000111F0"/>
    <w:rsid w:val="00064002"/>
    <w:rsid w:val="000677B9"/>
    <w:rsid w:val="000831BA"/>
    <w:rsid w:val="000A42CC"/>
    <w:rsid w:val="000E7DD9"/>
    <w:rsid w:val="0010095E"/>
    <w:rsid w:val="00125B37"/>
    <w:rsid w:val="00175F7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54F"/>
    <w:rsid w:val="00560270"/>
    <w:rsid w:val="005C0F67"/>
    <w:rsid w:val="005C2214"/>
    <w:rsid w:val="005C2568"/>
    <w:rsid w:val="005F1B17"/>
    <w:rsid w:val="006037C0"/>
    <w:rsid w:val="006631B6"/>
    <w:rsid w:val="00680577"/>
    <w:rsid w:val="006F205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21A"/>
    <w:rsid w:val="009509D8"/>
    <w:rsid w:val="00950B64"/>
    <w:rsid w:val="00981893"/>
    <w:rsid w:val="00A1687D"/>
    <w:rsid w:val="00A43E52"/>
    <w:rsid w:val="00A453A3"/>
    <w:rsid w:val="00A4678D"/>
    <w:rsid w:val="00A778C7"/>
    <w:rsid w:val="00AB441E"/>
    <w:rsid w:val="00AB6293"/>
    <w:rsid w:val="00AC535C"/>
    <w:rsid w:val="00AE0928"/>
    <w:rsid w:val="00AF3B82"/>
    <w:rsid w:val="00B1005E"/>
    <w:rsid w:val="00B12E95"/>
    <w:rsid w:val="00B22876"/>
    <w:rsid w:val="00B423D4"/>
    <w:rsid w:val="00B558F0"/>
    <w:rsid w:val="00BA730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6E0"/>
    <w:rsid w:val="00F5134D"/>
    <w:rsid w:val="00F74202"/>
    <w:rsid w:val="00F87713"/>
    <w:rsid w:val="00FB4360"/>
    <w:rsid w:val="00FD0C70"/>
  </w:rsids>
  <w:docVars>
    <w:docVar w:name="dvdocse" w:val="A10-0175/2026"/>
    <w:docVar w:name="dvlangue" w:val="SK"/>
    <w:docVar w:name="dvnumam" w:val="0"/>
    <w:docVar w:name="dvpe" w:val="789.924"/>
    <w:docVar w:name="dvrapporteur" w:val="Spravodajkyňa: "/>
    <w:docVar w:name="dvstar" w:val="***II"/>
    <w:docVar w:name="dvtitre" w:val="Legislatívne uznesenie Európskeho parlamentu z/zo xx. xxx 2026 k pozícii Rady v prvom čítaní na účely prijatia nariadenia Európskeho parlamentu a Rady o rastlinách získaných určitými novými genómovými technikami a potravinách a krmivách z nich a o zmene nariadenia (EÚ) 2017/625(17037/1/2025 – C10-0102/2026 – 2023/022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D2EAD4B"/>
  <w15:chartTrackingRefBased/>
  <w15:docId w15:val="{3467101E-5A32-480A-AAE7-D82068F3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7303"/>
    <w:pPr>
      <w:spacing w:before="480" w:after="240"/>
    </w:pPr>
  </w:style>
  <w:style w:type="paragraph" w:customStyle="1" w:styleId="NormalBold">
    <w:name w:val="NormalBold"/>
    <w:basedOn w:val="Normal"/>
    <w:rsid w:val="00BA7303"/>
    <w:rPr>
      <w:b/>
    </w:rPr>
  </w:style>
  <w:style w:type="paragraph" w:customStyle="1" w:styleId="NormalHanging12a">
    <w:name w:val="NormalHanging12a"/>
    <w:basedOn w:val="Normal"/>
    <w:rsid w:val="00BA7303"/>
    <w:pPr>
      <w:spacing w:after="240"/>
      <w:ind w:left="567" w:hanging="567"/>
    </w:pPr>
  </w:style>
  <w:style w:type="character" w:styleId="Hyperlink">
    <w:name w:val="Hyperlink"/>
    <w:basedOn w:val="DefaultParagraphFont"/>
    <w:rsid w:val="00BA730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F2054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5C0F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3/oj" TargetMode="External" /><Relationship Id="rId2" Type="http://schemas.openxmlformats.org/officeDocument/2006/relationships/hyperlink" Target="http://data.europa.eu/eli/C/2024/3674/oj" TargetMode="External" /><Relationship Id="rId3" Type="http://schemas.openxmlformats.org/officeDocument/2006/relationships/hyperlink" Target="http://data.europa.eu/eli/C/2024/635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1907</Characters>
  <Application>Microsoft Office Word</Application>
  <DocSecurity>0</DocSecurity>
  <Lines>79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2026-06-17T11:43:00Z</dcterms:created>
  <dcterms:modified xsi:type="dcterms:W3CDTF">2026-06-17T11:43:00Z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A10-0175/2026</vt:lpwstr>
  </property>
  <property fmtid="{D5CDD505-2E9C-101B-9397-08002B2CF9AE}" pid="4" name="&lt;Type&gt;">
    <vt:lpwstr>RR</vt:lpwstr>
  </property>
</Properties>
</file>