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8E49E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7561F5" w:rsidP="0010095E" w14:paraId="56501328" w14:textId="77777777">
            <w:pPr>
              <w:pStyle w:val="EPName"/>
            </w:pPr>
            <w:r w:rsidRPr="007561F5">
              <w:t>Europa-Parlamentet</w:t>
            </w:r>
          </w:p>
          <w:p w:rsidR="00751A4A" w:rsidRPr="007561F5" w:rsidP="005F1B17" w14:paraId="58FBBF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61F5">
              <w:t>2024</w:t>
            </w:r>
            <w:r w:rsidRPr="007561F5" w:rsidR="00817416">
              <w:t>-202</w:t>
            </w:r>
            <w:r w:rsidRPr="007561F5">
              <w:t>9</w:t>
            </w:r>
          </w:p>
        </w:tc>
        <w:tc>
          <w:tcPr>
            <w:tcW w:w="2268" w:type="dxa"/>
          </w:tcPr>
          <w:p w:rsidR="00751A4A" w:rsidRPr="007561F5" w:rsidP="0010095E" w14:paraId="4CDDF1B3" w14:textId="77777777">
            <w:pPr>
              <w:pStyle w:val="EPLogo"/>
            </w:pPr>
            <w:r w:rsidRPr="007561F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61F5" w:rsidP="004C5D52" w14:paraId="62B5EFA5" w14:textId="77777777">
      <w:pPr>
        <w:pStyle w:val="LineTop"/>
      </w:pPr>
    </w:p>
    <w:p w:rsidR="00680577" w:rsidRPr="007561F5" w:rsidP="00680577" w14:paraId="78B766C7" w14:textId="77777777">
      <w:pPr>
        <w:pStyle w:val="EPBodyTA1"/>
      </w:pPr>
      <w:r w:rsidRPr="007561F5">
        <w:t>VEDTAGNE TEKSTER</w:t>
      </w:r>
    </w:p>
    <w:p w:rsidR="00D058B8" w:rsidRPr="007561F5" w:rsidP="00D058B8" w14:paraId="2EEED854" w14:textId="77777777">
      <w:pPr>
        <w:pStyle w:val="LineBottom"/>
      </w:pPr>
    </w:p>
    <w:p w:rsidR="00F401E8" w:rsidRPr="007561F5" w:rsidP="00F401E8" w14:paraId="1BEDE80F" w14:textId="7F63F063">
      <w:pPr>
        <w:pStyle w:val="ATHeading1"/>
      </w:pPr>
      <w:bookmarkStart w:id="0" w:name="TANumber"/>
      <w:r w:rsidRPr="007561F5">
        <w:t>P10_</w:t>
      </w:r>
      <w:r w:rsidRPr="007561F5">
        <w:t>TA(</w:t>
      </w:r>
      <w:r w:rsidRPr="007561F5">
        <w:t>2026)0</w:t>
      </w:r>
      <w:bookmarkEnd w:id="0"/>
      <w:r w:rsidR="001C4385">
        <w:t>207</w:t>
      </w:r>
    </w:p>
    <w:p w:rsidR="00F401E8" w:rsidRPr="0061612C" w:rsidP="0061612C" w14:paraId="10EC3D40" w14:textId="23270110">
      <w:pPr>
        <w:pStyle w:val="ATHeading2"/>
      </w:pPr>
      <w:r w:rsidRPr="000A414F">
        <w:rPr>
          <w:bCs/>
        </w:rPr>
        <w:t>F</w:t>
      </w:r>
      <w:r w:rsidRPr="000A414F">
        <w:rPr>
          <w:rFonts w:hint="eastAsia"/>
          <w:bCs/>
        </w:rPr>
        <w:t>æ</w:t>
      </w:r>
      <w:r w:rsidRPr="000A414F">
        <w:rPr>
          <w:bCs/>
        </w:rPr>
        <w:t xml:space="preserve">lles system for </w:t>
      </w:r>
      <w:r w:rsidRPr="000A414F">
        <w:rPr>
          <w:bCs/>
        </w:rPr>
        <w:t>tilbagesendelse</w:t>
      </w:r>
      <w:r w:rsidRPr="000A414F">
        <w:rPr>
          <w:bCs/>
        </w:rPr>
        <w:t xml:space="preserve"> af tredjelandsstatsborgere med ulovligt ophold i</w:t>
      </w:r>
      <w:r>
        <w:rPr>
          <w:bCs/>
        </w:rPr>
        <w:t xml:space="preserve"> </w:t>
      </w:r>
      <w:r w:rsidRPr="000A414F">
        <w:rPr>
          <w:bCs/>
        </w:rPr>
        <w:t xml:space="preserve">Unionen (forordningen om </w:t>
      </w:r>
      <w:r w:rsidRPr="000A414F">
        <w:rPr>
          <w:bCs/>
        </w:rPr>
        <w:t>tilbagesendelse</w:t>
      </w:r>
      <w:r w:rsidRPr="000A414F">
        <w:rPr>
          <w:bCs/>
        </w:rPr>
        <w:t>)</w:t>
      </w:r>
    </w:p>
    <w:p w:rsidR="00F401E8" w:rsidRPr="007561F5" w:rsidP="00F401E8" w14:paraId="51F683C2" w14:textId="77777777">
      <w:pPr>
        <w:rPr>
          <w:i/>
          <w:vanish/>
        </w:rPr>
      </w:pPr>
      <w:r>
        <w:rPr>
          <w:i/>
        </w:rPr>
        <w:fldChar w:fldCharType="begin"/>
      </w:r>
      <w:r w:rsidRPr="007561F5">
        <w:rPr>
          <w:i/>
        </w:rPr>
        <w:instrText xml:space="preserve"> TC"(</w:instrText>
      </w:r>
      <w:bookmarkStart w:id="1" w:name="DocNumber"/>
      <w:r w:rsidRPr="007561F5">
        <w:rPr>
          <w:i/>
        </w:rPr>
        <w:instrText>A10-0048/2026</w:instrText>
      </w:r>
      <w:bookmarkEnd w:id="1"/>
      <w:r w:rsidRPr="007561F5">
        <w:rPr>
          <w:i/>
        </w:rPr>
        <w:instrText xml:space="preserve"> - Ordfører: Malik </w:instrText>
      </w:r>
      <w:r w:rsidRPr="007561F5">
        <w:rPr>
          <w:i/>
        </w:rPr>
        <w:instrText>Azmani</w:instrText>
      </w:r>
      <w:r w:rsidRPr="007561F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401E8" w:rsidRPr="007561F5" w:rsidP="00F401E8" w14:paraId="79299C90" w14:textId="77777777">
      <w:pPr>
        <w:rPr>
          <w:vanish/>
        </w:rPr>
      </w:pPr>
      <w:bookmarkStart w:id="2" w:name="Commission"/>
      <w:r w:rsidRPr="007561F5">
        <w:rPr>
          <w:vanish/>
        </w:rPr>
        <w:t>Udvalget om Borgernes Rettigheder og Retlige og Indre Anliggender</w:t>
      </w:r>
      <w:bookmarkEnd w:id="2"/>
    </w:p>
    <w:p w:rsidR="00F401E8" w:rsidRPr="007561F5" w:rsidP="00F401E8" w14:paraId="4C684084" w14:textId="77777777">
      <w:pPr>
        <w:rPr>
          <w:vanish/>
        </w:rPr>
      </w:pPr>
      <w:bookmarkStart w:id="3" w:name="PE"/>
      <w:r w:rsidRPr="007561F5">
        <w:rPr>
          <w:vanish/>
        </w:rPr>
        <w:t>PE779.352</w:t>
      </w:r>
      <w:bookmarkEnd w:id="3"/>
    </w:p>
    <w:p w:rsidR="00F401E8" w:rsidRPr="007561F5" w:rsidP="00F401E8" w14:paraId="567FD9B3" w14:textId="1AE9EEF3">
      <w:pPr>
        <w:pStyle w:val="ATHeading3"/>
      </w:pPr>
      <w:bookmarkStart w:id="4" w:name="Sujet"/>
      <w:r w:rsidRPr="007561F5">
        <w:t xml:space="preserve">Europa-Parlamentets lovgivningsmæssige beslutning af </w:t>
      </w:r>
      <w:r w:rsidR="00010625">
        <w:t>17</w:t>
      </w:r>
      <w:r w:rsidRPr="007561F5">
        <w:t>.</w:t>
      </w:r>
      <w:r w:rsidR="00FD1498">
        <w:t xml:space="preserve"> juni</w:t>
      </w:r>
      <w:r w:rsidRPr="007561F5">
        <w:t xml:space="preserve"> 2026 om forslag til Europa-Parlamentets og Rådets forordning om et fælles system for </w:t>
      </w:r>
      <w:r w:rsidRPr="007561F5">
        <w:t>tilbagesendelse</w:t>
      </w:r>
      <w:r w:rsidRPr="007561F5">
        <w:t xml:space="preserve"> af tredjelandsstatsborgere med ulovligt ophold i Unionen og om ophævelse af Europa-Parlamentets og Rådets direktiv 2008/115/EF, Rådets direktiv 2001/40/EF og Rådets afgørelse 2004/191/EF</w:t>
      </w:r>
      <w:bookmarkEnd w:id="4"/>
      <w:r w:rsidRPr="007561F5">
        <w:t xml:space="preserve"> </w:t>
      </w:r>
      <w:bookmarkStart w:id="5" w:name="References"/>
      <w:r w:rsidRPr="007561F5">
        <w:t>(</w:t>
      </w:r>
      <w:r w:rsidRPr="007561F5">
        <w:t>COM(</w:t>
      </w:r>
      <w:r w:rsidRPr="007561F5">
        <w:t>2025)0101 – C10-0047/2025 – 2025/0059(COD))</w:t>
      </w:r>
      <w:bookmarkEnd w:id="5"/>
    </w:p>
    <w:p w:rsidR="00F401E8" w:rsidRPr="007561F5" w:rsidP="00F401E8" w14:paraId="01CF8864" w14:textId="77777777"/>
    <w:p w:rsidR="00D044AE" w:rsidRPr="007561F5" w:rsidP="00D044AE" w14:paraId="7AF8842D" w14:textId="5281AC44">
      <w:pPr>
        <w:pStyle w:val="NormalBold"/>
      </w:pPr>
      <w:bookmarkStart w:id="6" w:name="TextBodyBegin"/>
      <w:bookmarkEnd w:id="6"/>
      <w:r>
        <w:t>(</w:t>
      </w:r>
      <w:r w:rsidRPr="007561F5">
        <w:t>Almindelig lovgivningsprocedure</w:t>
      </w:r>
      <w:r>
        <w:t>:</w:t>
      </w:r>
      <w:r w:rsidRPr="007561F5">
        <w:t xml:space="preserve"> førstebehandling)</w:t>
      </w:r>
    </w:p>
    <w:p w:rsidR="00D044AE" w:rsidRPr="007561F5" w:rsidP="00D044AE" w14:paraId="2AF3B998" w14:textId="77777777">
      <w:pPr>
        <w:pStyle w:val="EPComma"/>
      </w:pPr>
      <w:r w:rsidRPr="007561F5">
        <w:rPr>
          <w:i/>
          <w:iCs/>
        </w:rPr>
        <w:t>Europa-Parlamentet</w:t>
      </w:r>
      <w:r w:rsidRPr="007561F5">
        <w:t>,</w:t>
      </w:r>
    </w:p>
    <w:p w:rsidR="00D044AE" w:rsidRPr="007561F5" w:rsidP="00D044AE" w14:paraId="6323D0D0" w14:textId="77777777">
      <w:pPr>
        <w:pStyle w:val="NormalHanging12a"/>
      </w:pPr>
      <w:r w:rsidRPr="007561F5">
        <w:t>–</w:t>
      </w:r>
      <w:r w:rsidRPr="007561F5">
        <w:tab/>
        <w:t>der henviser til Kommissionens forslag til Europa-Parlamentet og Rådet (</w:t>
      </w:r>
      <w:r w:rsidRPr="007561F5">
        <w:t>COM(</w:t>
      </w:r>
      <w:r w:rsidRPr="007561F5">
        <w:t>2025)0101),</w:t>
      </w:r>
    </w:p>
    <w:p w:rsidR="00D044AE" w:rsidRPr="007561F5" w:rsidP="00D044AE" w14:paraId="700E982C" w14:textId="77777777">
      <w:pPr>
        <w:pStyle w:val="NormalHanging12a"/>
      </w:pPr>
      <w:r w:rsidRPr="007561F5">
        <w:t>–</w:t>
      </w:r>
      <w:r w:rsidRPr="007561F5">
        <w:tab/>
        <w:t>der henviser til artikel 294, stk. 2, og artikel 79, stk. 2, litra c), i traktaten om Den Europæiske Unions funktionsmåde, på grundlag af hvilke Kommissionen har forelagt forslaget for Parlamentet (C10</w:t>
      </w:r>
      <w:r w:rsidRPr="007561F5">
        <w:noBreakHyphen/>
        <w:t>0047/2025),</w:t>
      </w:r>
    </w:p>
    <w:p w:rsidR="00D044AE" w:rsidP="00D044AE" w14:paraId="7AF0BD4D" w14:textId="77777777">
      <w:pPr>
        <w:pStyle w:val="NormalHanging12a"/>
      </w:pPr>
      <w:r w:rsidRPr="007561F5">
        <w:t>–</w:t>
      </w:r>
      <w:r w:rsidRPr="007561F5">
        <w:tab/>
        <w:t>der henviser til artikel 294, stk. 3, i traktaten om Den Europæiske Unions funktionsmåde,</w:t>
      </w:r>
    </w:p>
    <w:p w:rsidR="00481579" w:rsidRPr="007561F5" w:rsidP="00D044AE" w14:paraId="3EC01551" w14:textId="479CCD41">
      <w:pPr>
        <w:pStyle w:val="NormalHanging12a"/>
      </w:pPr>
      <w:r w:rsidRPr="007561F5">
        <w:t>–</w:t>
      </w:r>
      <w:r w:rsidRPr="007561F5">
        <w:tab/>
      </w:r>
      <w:r w:rsidR="00623290">
        <w:t>der henviser til den begrundede udtalelse, som inden for rammerne af protokol nr. 2 om anvendelse af nærhedsprincippet og proportionalitetsprincippet er blevet forelagt af det franske senat, om, at udkastet til lovgivningsmæssig retsakt ikke overholder nærhedsprincippet,</w:t>
      </w:r>
    </w:p>
    <w:p w:rsidR="00D044AE" w:rsidRPr="007561F5" w:rsidP="00D044AE" w14:paraId="009B33C7" w14:textId="25BD762A">
      <w:pPr>
        <w:pStyle w:val="NormalHanging12a"/>
      </w:pPr>
      <w:r w:rsidRPr="007561F5">
        <w:t>–</w:t>
      </w:r>
      <w:r w:rsidRPr="007561F5">
        <w:tab/>
        <w:t xml:space="preserve">der henviser til udtalelse </w:t>
      </w:r>
      <w:r w:rsidR="00481579">
        <w:t xml:space="preserve">af 18. september 2025 </w:t>
      </w:r>
      <w:r w:rsidRPr="007561F5">
        <w:t>fra Det Europæiske Økonomiske og Sociale Udvalg</w:t>
      </w:r>
      <w:r>
        <w:rPr>
          <w:rStyle w:val="FootnoteReference"/>
        </w:rPr>
        <w:footnoteReference w:id="2"/>
      </w:r>
      <w:r w:rsidRPr="007561F5">
        <w:t>,</w:t>
      </w:r>
    </w:p>
    <w:p w:rsidR="00D044AE" w:rsidRPr="007561F5" w:rsidP="00D044AE" w14:paraId="5D1E160F" w14:textId="6188C0B1">
      <w:pPr>
        <w:pStyle w:val="NormalHanging12a"/>
      </w:pPr>
      <w:r w:rsidRPr="007561F5">
        <w:t>–</w:t>
      </w:r>
      <w:r w:rsidRPr="007561F5">
        <w:tab/>
      </w:r>
      <w:r w:rsidR="00481579">
        <w:t>efter høring af</w:t>
      </w:r>
      <w:r w:rsidRPr="007561F5">
        <w:t xml:space="preserve"> Regionsudvalget,</w:t>
      </w:r>
    </w:p>
    <w:p w:rsidR="00481579" w:rsidRPr="0052608E" w:rsidP="00481579" w14:paraId="02EA6AB8" w14:textId="445A38AA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</w:t>
      </w:r>
      <w:r w:rsidRPr="00110487">
        <w:rPr>
          <w:noProof/>
          <w:szCs w:val="24"/>
        </w:rPr>
        <w:t xml:space="preserve">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10. juni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26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:rsidR="00D044AE" w:rsidRPr="007561F5" w:rsidP="00D044AE" w14:paraId="66412333" w14:textId="77777777">
      <w:pPr>
        <w:pStyle w:val="NormalHanging12a"/>
      </w:pPr>
      <w:r w:rsidRPr="007561F5">
        <w:t>–</w:t>
      </w:r>
      <w:r w:rsidRPr="007561F5">
        <w:tab/>
        <w:t>der henviser til forretningsordenens artikel 60,</w:t>
      </w:r>
    </w:p>
    <w:p w:rsidR="00D044AE" w:rsidRPr="007561F5" w:rsidP="00D044AE" w14:paraId="6BF05A74" w14:textId="77777777">
      <w:pPr>
        <w:pStyle w:val="NormalHanging12a"/>
      </w:pPr>
      <w:r w:rsidRPr="007561F5">
        <w:t>–</w:t>
      </w:r>
      <w:r w:rsidRPr="007561F5">
        <w:tab/>
        <w:t>der henviser til betænkning fra Udvalget om Borgernes Rettigheder og Retlige og Indre Anliggender (A10-0048/2026),</w:t>
      </w:r>
    </w:p>
    <w:p w:rsidR="00D044AE" w:rsidRPr="007561F5" w:rsidP="00D044AE" w14:paraId="7ECB08CD" w14:textId="77777777">
      <w:pPr>
        <w:pStyle w:val="NormalHanging12a"/>
      </w:pPr>
      <w:r w:rsidRPr="007561F5">
        <w:t>1.</w:t>
      </w:r>
      <w:r w:rsidRPr="007561F5">
        <w:tab/>
        <w:t>vedtager nedenstående holdning ved førstebehandling;</w:t>
      </w:r>
    </w:p>
    <w:p w:rsidR="00D044AE" w:rsidRPr="007561F5" w:rsidP="00D044AE" w14:paraId="4E1D99A2" w14:textId="77777777">
      <w:pPr>
        <w:pStyle w:val="NormalHanging12a"/>
      </w:pPr>
      <w:r w:rsidRPr="007561F5">
        <w:t>2.</w:t>
      </w:r>
      <w:r w:rsidRPr="007561F5">
        <w:tab/>
        <w:t>anmoder om fornyet forelæggelse, hvis Kommissionen erstatter, i væsentlig grad ændrer eller agter i væsentlig grad at ændre sit forslag;</w:t>
      </w:r>
    </w:p>
    <w:p w:rsidR="00D044AE" w:rsidRPr="007561F5" w:rsidP="00D044AE" w14:paraId="609BAAC0" w14:textId="77777777">
      <w:pPr>
        <w:pStyle w:val="NormalHanging12a"/>
      </w:pPr>
      <w:r w:rsidRPr="007561F5">
        <w:t>3.</w:t>
      </w:r>
      <w:r w:rsidRPr="007561F5">
        <w:tab/>
        <w:t>pålægger sin formand at sende Parlamentets holdning til Rådet og Kommissionen samt til de nationale parlamenter.</w:t>
      </w:r>
    </w:p>
    <w:p w:rsidR="0061612C" w:rsidP="00D044AE" w14:paraId="20E1C5D4" w14:textId="77777777">
      <w:pPr>
        <w:sectPr w:rsidSect="007561F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52CEC" w:rsidRPr="00606380" w:rsidP="00AA368B" w14:paraId="26B45D0D" w14:textId="5EB9F0DA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t>P10_TC1-</w:t>
      </w:r>
      <w:r w:rsidRPr="00606380">
        <w:rPr>
          <w:rFonts w:eastAsia="Calibri"/>
          <w:b/>
          <w:bCs/>
          <w:color w:val="000000"/>
          <w:szCs w:val="24"/>
        </w:rPr>
        <w:t>COD(</w:t>
      </w:r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059</w:t>
      </w:r>
    </w:p>
    <w:p w:rsidR="00552CEC" w:rsidP="00AA368B" w14:paraId="706275B7" w14:textId="3D60EF11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>
        <w:rPr>
          <w:b/>
        </w:rPr>
        <w:t>17. juni 2026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>
        <w:rPr>
          <w:rFonts w:eastAsia="Calibri"/>
          <w:b/>
        </w:rPr>
        <w:t>2026</w:t>
      </w:r>
      <w:r w:rsidRPr="00511370">
        <w:rPr>
          <w:rFonts w:eastAsia="Calibri"/>
          <w:b/>
        </w:rPr>
        <w:t xml:space="preserve">/… om </w:t>
      </w:r>
      <w:r w:rsidRPr="00552CEC">
        <w:rPr>
          <w:b/>
          <w:color w:val="000000"/>
          <w:szCs w:val="24"/>
          <w:lang w:eastAsia="en-US"/>
        </w:rPr>
        <w:t xml:space="preserve">et fælles system for </w:t>
      </w:r>
      <w:r w:rsidRPr="00552CEC">
        <w:rPr>
          <w:b/>
          <w:color w:val="000000"/>
          <w:szCs w:val="24"/>
          <w:lang w:eastAsia="en-US"/>
        </w:rPr>
        <w:t>tilbagesendelse</w:t>
      </w:r>
      <w:r w:rsidRPr="00552CEC">
        <w:rPr>
          <w:b/>
          <w:color w:val="000000"/>
          <w:szCs w:val="24"/>
          <w:lang w:eastAsia="en-US"/>
        </w:rPr>
        <w:t xml:space="preserve"> af tredjelandsstatsborgere med ulovligt ophold i Unionen og om ophævelse af Europa-Parlamentets og Rådets direktiv 2008/115/EF, Rådets direktiv 2001/40/EF og Rådets afgørelse 2004/191/EF</w:t>
      </w:r>
    </w:p>
    <w:p w:rsidR="00D6753F" w:rsidP="00F95CDF" w14:paraId="42D7C9F5" w14:textId="77777777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:rsidR="00D6753F" w:rsidRPr="00F95CDF" w:rsidP="00F95CDF" w14:paraId="6B6B9790" w14:textId="5236606B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6</w:t>
      </w:r>
      <w:r w:rsidRPr="00F95CDF">
        <w:rPr>
          <w:i/>
        </w:rPr>
        <w:t>/</w:t>
      </w:r>
      <w:r>
        <w:rPr>
          <w:i/>
        </w:rPr>
        <w:t>2280</w:t>
      </w:r>
      <w:r w:rsidRPr="00F95CDF">
        <w:rPr>
          <w:i/>
        </w:rPr>
        <w:t>.)</w:t>
      </w:r>
    </w:p>
    <w:p w:rsidR="00552CEC" w:rsidP="00573675" w14:paraId="0C4ADDF4" w14:textId="2C7FEDF0"/>
    <w:sectPr w:rsidSect="007561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6D12BC1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32E48FB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64544F3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07C42" w:rsidRPr="007561F5" w14:paraId="4AD849DE" w14:textId="77777777">
      <w:r w:rsidRPr="007561F5">
        <w:separator/>
      </w:r>
    </w:p>
  </w:footnote>
  <w:footnote w:type="continuationSeparator" w:id="1">
    <w:p w:rsidR="00107C42" w:rsidRPr="007561F5" w14:paraId="3CABBCD7" w14:textId="77777777">
      <w:r w:rsidRPr="007561F5">
        <w:continuationSeparator/>
      </w:r>
    </w:p>
  </w:footnote>
  <w:footnote w:id="2">
    <w:p w:rsidR="00010625" w:rsidRPr="000A414F" w:rsidP="000A414F" w14:paraId="5242067D" w14:textId="6AA8C22B">
      <w:pPr>
        <w:pStyle w:val="FootnoteText"/>
        <w:ind w:left="567" w:hanging="567"/>
        <w:rPr>
          <w:sz w:val="24"/>
          <w:szCs w:val="24"/>
        </w:rPr>
      </w:pPr>
      <w:r w:rsidRPr="000A414F">
        <w:rPr>
          <w:rStyle w:val="FootnoteReference"/>
          <w:sz w:val="24"/>
          <w:szCs w:val="24"/>
        </w:rPr>
        <w:footnoteRef/>
      </w:r>
      <w:r w:rsidRPr="000A414F">
        <w:rPr>
          <w:sz w:val="24"/>
          <w:szCs w:val="24"/>
        </w:rPr>
        <w:t xml:space="preserve"> </w:t>
      </w:r>
      <w:r w:rsidRPr="000A414F">
        <w:rPr>
          <w:sz w:val="24"/>
          <w:szCs w:val="24"/>
        </w:rPr>
        <w:tab/>
      </w:r>
      <w:r w:rsidRPr="000A414F" w:rsidR="00481579">
        <w:rPr>
          <w:sz w:val="24"/>
          <w:szCs w:val="24"/>
        </w:rPr>
        <w:t xml:space="preserve">EUT C, C/2026/33, 16.1.2026, </w:t>
      </w:r>
      <w:r w:rsidRPr="000A414F" w:rsidR="00481579">
        <w:rPr>
          <w:sz w:val="24"/>
          <w:szCs w:val="24"/>
        </w:rPr>
        <w:t>ELI:</w:t>
      </w:r>
      <w:r w:rsidRPr="000A414F" w:rsidR="00481579">
        <w:rPr>
          <w:sz w:val="24"/>
          <w:szCs w:val="24"/>
        </w:rPr>
        <w:t> </w:t>
      </w:r>
      <w:hyperlink r:id="rId1" w:tgtFrame="_blank" w:tooltip="Giver adgang til dette dokument gennem dets ELI-URI." w:history="1">
        <w:r w:rsidRPr="000A414F" w:rsidR="00481579">
          <w:rPr>
            <w:rStyle w:val="Hyperlink"/>
            <w:sz w:val="24"/>
            <w:szCs w:val="24"/>
          </w:rPr>
          <w:t>http://data.europa.eu/eli/C/2026/33/oj</w:t>
        </w:r>
      </w:hyperlink>
      <w:r w:rsidRPr="000A414F" w:rsidR="00481579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29DFEAC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1B879C8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561F5" w14:paraId="5C0E0E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9224E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675182351">
    <w:abstractNumId w:val="11"/>
  </w:num>
  <w:num w:numId="2" w16cid:durableId="1098522997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403605385">
    <w:abstractNumId w:val="9"/>
  </w:num>
  <w:num w:numId="34" w16cid:durableId="2102876011">
    <w:abstractNumId w:val="7"/>
  </w:num>
  <w:num w:numId="35" w16cid:durableId="21135152">
    <w:abstractNumId w:val="6"/>
  </w:num>
  <w:num w:numId="36" w16cid:durableId="1019819598">
    <w:abstractNumId w:val="5"/>
  </w:num>
  <w:num w:numId="37" w16cid:durableId="1713534425">
    <w:abstractNumId w:val="4"/>
  </w:num>
  <w:num w:numId="38" w16cid:durableId="1528178719">
    <w:abstractNumId w:val="8"/>
  </w:num>
  <w:num w:numId="39" w16cid:durableId="105469292">
    <w:abstractNumId w:val="3"/>
  </w:num>
  <w:num w:numId="40" w16cid:durableId="1155225484">
    <w:abstractNumId w:val="2"/>
  </w:num>
  <w:num w:numId="41" w16cid:durableId="361974591">
    <w:abstractNumId w:val="1"/>
  </w:num>
  <w:num w:numId="42" w16cid:durableId="1338116913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E8"/>
    <w:rsid w:val="00002272"/>
    <w:rsid w:val="00010625"/>
    <w:rsid w:val="00064002"/>
    <w:rsid w:val="000677B9"/>
    <w:rsid w:val="000831BA"/>
    <w:rsid w:val="000A414F"/>
    <w:rsid w:val="000A42CC"/>
    <w:rsid w:val="000E7DD9"/>
    <w:rsid w:val="0010095E"/>
    <w:rsid w:val="00107C42"/>
    <w:rsid w:val="00110487"/>
    <w:rsid w:val="00115245"/>
    <w:rsid w:val="00125B37"/>
    <w:rsid w:val="001840D9"/>
    <w:rsid w:val="00186940"/>
    <w:rsid w:val="00187494"/>
    <w:rsid w:val="001C4385"/>
    <w:rsid w:val="001F03FC"/>
    <w:rsid w:val="001F32AE"/>
    <w:rsid w:val="002705A7"/>
    <w:rsid w:val="002767FF"/>
    <w:rsid w:val="002B18FE"/>
    <w:rsid w:val="002B5493"/>
    <w:rsid w:val="002E1828"/>
    <w:rsid w:val="00343214"/>
    <w:rsid w:val="00361C00"/>
    <w:rsid w:val="00395FA1"/>
    <w:rsid w:val="003E15D4"/>
    <w:rsid w:val="00411CCE"/>
    <w:rsid w:val="0041666E"/>
    <w:rsid w:val="00421060"/>
    <w:rsid w:val="00471C19"/>
    <w:rsid w:val="00481579"/>
    <w:rsid w:val="004867E3"/>
    <w:rsid w:val="00494A28"/>
    <w:rsid w:val="004C0004"/>
    <w:rsid w:val="004C5D52"/>
    <w:rsid w:val="0050519A"/>
    <w:rsid w:val="005072A1"/>
    <w:rsid w:val="00511370"/>
    <w:rsid w:val="00514517"/>
    <w:rsid w:val="005246DC"/>
    <w:rsid w:val="0052608E"/>
    <w:rsid w:val="00545827"/>
    <w:rsid w:val="00552CEC"/>
    <w:rsid w:val="00560270"/>
    <w:rsid w:val="00573675"/>
    <w:rsid w:val="005C2568"/>
    <w:rsid w:val="005F1B17"/>
    <w:rsid w:val="005F1DEF"/>
    <w:rsid w:val="006037C0"/>
    <w:rsid w:val="00606380"/>
    <w:rsid w:val="0061612C"/>
    <w:rsid w:val="00623290"/>
    <w:rsid w:val="006631B6"/>
    <w:rsid w:val="00677EDF"/>
    <w:rsid w:val="00680577"/>
    <w:rsid w:val="006F301D"/>
    <w:rsid w:val="006F74FA"/>
    <w:rsid w:val="00731ADD"/>
    <w:rsid w:val="00734777"/>
    <w:rsid w:val="00747932"/>
    <w:rsid w:val="00751A4A"/>
    <w:rsid w:val="007561F5"/>
    <w:rsid w:val="00756632"/>
    <w:rsid w:val="00762C74"/>
    <w:rsid w:val="00786EC0"/>
    <w:rsid w:val="007A23CB"/>
    <w:rsid w:val="007C338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59A"/>
    <w:rsid w:val="00930C23"/>
    <w:rsid w:val="0093193B"/>
    <w:rsid w:val="009509D8"/>
    <w:rsid w:val="00950B64"/>
    <w:rsid w:val="00981893"/>
    <w:rsid w:val="009A5612"/>
    <w:rsid w:val="00A1687D"/>
    <w:rsid w:val="00A43E52"/>
    <w:rsid w:val="00A4678D"/>
    <w:rsid w:val="00A778C7"/>
    <w:rsid w:val="00AA368B"/>
    <w:rsid w:val="00AB441E"/>
    <w:rsid w:val="00AB6293"/>
    <w:rsid w:val="00AE0928"/>
    <w:rsid w:val="00AF3B82"/>
    <w:rsid w:val="00B12E95"/>
    <w:rsid w:val="00B22876"/>
    <w:rsid w:val="00B23B2E"/>
    <w:rsid w:val="00B558F0"/>
    <w:rsid w:val="00BD48FE"/>
    <w:rsid w:val="00BD7BD8"/>
    <w:rsid w:val="00BE6ADC"/>
    <w:rsid w:val="00C05BFE"/>
    <w:rsid w:val="00C23CD4"/>
    <w:rsid w:val="00C424A5"/>
    <w:rsid w:val="00C61C0C"/>
    <w:rsid w:val="00C941CB"/>
    <w:rsid w:val="00CC2357"/>
    <w:rsid w:val="00CF071A"/>
    <w:rsid w:val="00D044AE"/>
    <w:rsid w:val="00D058B8"/>
    <w:rsid w:val="00D25092"/>
    <w:rsid w:val="00D4780D"/>
    <w:rsid w:val="00D56C11"/>
    <w:rsid w:val="00D6753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C57"/>
    <w:rsid w:val="00ED4235"/>
    <w:rsid w:val="00F04346"/>
    <w:rsid w:val="00F075DC"/>
    <w:rsid w:val="00F149E9"/>
    <w:rsid w:val="00F401E8"/>
    <w:rsid w:val="00F4137E"/>
    <w:rsid w:val="00F5134D"/>
    <w:rsid w:val="00F74202"/>
    <w:rsid w:val="00F87713"/>
    <w:rsid w:val="00F95CDF"/>
    <w:rsid w:val="00FB4360"/>
    <w:rsid w:val="00FD0C70"/>
    <w:rsid w:val="00FD1498"/>
  </w:rsids>
  <w:docVars>
    <w:docVar w:name="dvdocse" w:val="A10-0048/2026"/>
    <w:docVar w:name="dvlangue" w:val="DA"/>
    <w:docVar w:name="dvnumam" w:val="0"/>
    <w:docVar w:name="dvpe" w:val="779.352"/>
    <w:docVar w:name="dvrapporteur" w:val="Ordfører: "/>
    <w:docVar w:name="dvstar" w:val="***I"/>
    <w:docVar w:name="dvtitre" w:val="Europa-Parlamentets lovgivningsmæssige beslutning af xx.xx 2026 om forslag til Europa-Parlamentets og Rådets forordning om et fælles system for tilbagesendelse af tredjelandsstatsborgere med ulovligt ophold i Unionen og om ophævelse af Europa-Parlamentets og Rådets direktiv 2008/115/EF, Rådets direktiv 2001/40/EF og Rådets afgørelse 2004/191/EF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18A609"/>
  <w15:chartTrackingRefBased/>
  <w15:docId w15:val="{5306F5F6-E2EE-44BC-B183-A9A21740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044A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044A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044A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044A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044A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044AE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D044AE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D044AE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D044AE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D044A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44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044AE"/>
    <w:pPr>
      <w:spacing w:before="480" w:after="240"/>
    </w:pPr>
  </w:style>
  <w:style w:type="paragraph" w:customStyle="1" w:styleId="TOCPage">
    <w:name w:val="TOC Page"/>
    <w:basedOn w:val="Normal"/>
    <w:next w:val="TOC1"/>
    <w:rsid w:val="00D044A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044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044AE"/>
    <w:rPr>
      <w:b/>
    </w:rPr>
  </w:style>
  <w:style w:type="paragraph" w:customStyle="1" w:styleId="NormalBold12a">
    <w:name w:val="NormalBold12a"/>
    <w:basedOn w:val="Normal"/>
    <w:rsid w:val="00D044A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044A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44AE"/>
    <w:pPr>
      <w:spacing w:after="480"/>
      <w:ind w:left="1417"/>
    </w:pPr>
  </w:style>
  <w:style w:type="paragraph" w:customStyle="1" w:styleId="CoverNormal">
    <w:name w:val="CoverNormal"/>
    <w:basedOn w:val="Normal"/>
    <w:rsid w:val="00D044AE"/>
    <w:pPr>
      <w:ind w:left="1418"/>
    </w:pPr>
  </w:style>
  <w:style w:type="paragraph" w:customStyle="1" w:styleId="NormalCenter12a">
    <w:name w:val="NormalCenter12a"/>
    <w:basedOn w:val="Normal"/>
    <w:rsid w:val="00D044AE"/>
    <w:pPr>
      <w:spacing w:after="240"/>
      <w:jc w:val="center"/>
    </w:pPr>
  </w:style>
  <w:style w:type="paragraph" w:customStyle="1" w:styleId="CoverReference">
    <w:name w:val="CoverReference"/>
    <w:basedOn w:val="Normal"/>
    <w:rsid w:val="00D044A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44A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44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44AE"/>
    <w:pPr>
      <w:spacing w:before="240" w:after="1200"/>
    </w:pPr>
  </w:style>
  <w:style w:type="paragraph" w:styleId="Header">
    <w:name w:val="header"/>
    <w:basedOn w:val="Normal"/>
    <w:link w:val="HeaderChar"/>
    <w:rsid w:val="00D044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44AE"/>
    <w:rPr>
      <w:sz w:val="24"/>
      <w:lang w:val="da-DK"/>
    </w:rPr>
  </w:style>
  <w:style w:type="paragraph" w:customStyle="1" w:styleId="AmNumberTabs">
    <w:name w:val="AmNumberTabs"/>
    <w:basedOn w:val="Normal"/>
    <w:rsid w:val="00D044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044AE"/>
    <w:pPr>
      <w:spacing w:before="720" w:after="240"/>
      <w:jc w:val="center"/>
    </w:pPr>
  </w:style>
  <w:style w:type="paragraph" w:customStyle="1" w:styleId="EPBody">
    <w:name w:val="EPBody"/>
    <w:basedOn w:val="Normal"/>
    <w:rsid w:val="00D044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44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044A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44A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44AE"/>
    <w:rPr>
      <w:sz w:val="18"/>
    </w:rPr>
  </w:style>
  <w:style w:type="paragraph" w:styleId="Revision">
    <w:name w:val="Revision"/>
    <w:hidden/>
    <w:uiPriority w:val="99"/>
    <w:semiHidden/>
    <w:rsid w:val="00D044AE"/>
    <w:rPr>
      <w:sz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D044AE"/>
  </w:style>
  <w:style w:type="character" w:styleId="Hyperlink">
    <w:name w:val="Hyperlink"/>
    <w:unhideWhenUsed/>
    <w:rsid w:val="00D044AE"/>
    <w:rPr>
      <w:color w:val="auto"/>
      <w:u w:val="none"/>
    </w:rPr>
  </w:style>
  <w:style w:type="character" w:styleId="FollowedHyperlink">
    <w:name w:val="FollowedHyperlink"/>
    <w:unhideWhenUsed/>
    <w:rsid w:val="00D044AE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D044A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D044A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D044AE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D044AE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044A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D044AE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44AE"/>
    <w:rPr>
      <w:lang w:val="da-DK"/>
    </w:rPr>
  </w:style>
  <w:style w:type="paragraph" w:styleId="Footer">
    <w:name w:val="footer"/>
    <w:basedOn w:val="Normal"/>
    <w:link w:val="FooterChar"/>
    <w:unhideWhenUsed/>
    <w:rsid w:val="00D044A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D044AE"/>
    <w:rPr>
      <w:rFonts w:eastAsia="Calibri"/>
      <w:sz w:val="24"/>
      <w:szCs w:val="22"/>
      <w:lang w:val="da-DK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044A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D044AE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D044AE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044AE"/>
    <w:rPr>
      <w:rFonts w:eastAsia="Calibri"/>
      <w:lang w:val="da-DK" w:eastAsia="en-US"/>
    </w:rPr>
  </w:style>
  <w:style w:type="paragraph" w:styleId="ListBullet">
    <w:name w:val="List Bullet"/>
    <w:basedOn w:val="Normal"/>
    <w:uiPriority w:val="99"/>
    <w:unhideWhenUsed/>
    <w:rsid w:val="00D044AE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D044AE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D044AE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D044AE"/>
    <w:pPr>
      <w:widowControl/>
      <w:numPr>
        <w:numId w:val="6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D044AE"/>
    <w:pPr>
      <w:widowControl/>
      <w:numPr>
        <w:numId w:val="7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D044AE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D044AE"/>
    <w:pPr>
      <w:widowControl/>
      <w:numPr>
        <w:numId w:val="9"/>
      </w:numPr>
      <w:tabs>
        <w:tab w:val="num" w:pos="1134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D044AE"/>
    <w:pPr>
      <w:widowControl/>
      <w:numPr>
        <w:numId w:val="10"/>
      </w:numPr>
      <w:tabs>
        <w:tab w:val="num" w:pos="283"/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D044AE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044AE"/>
    <w:rPr>
      <w:rFonts w:ascii="Aptos Display" w:hAnsi="Aptos Display"/>
      <w:spacing w:val="-10"/>
      <w:kern w:val="28"/>
      <w:sz w:val="56"/>
      <w:szCs w:val="56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4AE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044AE"/>
    <w:rPr>
      <w:rFonts w:ascii="Calibri" w:hAnsi="Calibri"/>
      <w:color w:val="595959"/>
      <w:spacing w:val="15"/>
      <w:sz w:val="28"/>
      <w:szCs w:val="28"/>
      <w:lang w:val="da-DK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044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44AE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D044AE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44AE"/>
    <w:rPr>
      <w:rFonts w:ascii="Tahoma" w:hAnsi="Tahoma" w:cs="Tahoma"/>
      <w:sz w:val="16"/>
      <w:szCs w:val="16"/>
      <w:lang w:val="da-DK"/>
    </w:rPr>
  </w:style>
  <w:style w:type="paragraph" w:styleId="ListParagraph">
    <w:name w:val="List Paragraph"/>
    <w:basedOn w:val="Normal"/>
    <w:uiPriority w:val="34"/>
    <w:qFormat/>
    <w:rsid w:val="00D044AE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044AE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044AE"/>
    <w:rPr>
      <w:rFonts w:ascii="Calibri" w:eastAsia="Calibri" w:hAnsi="Calibri"/>
      <w:i/>
      <w:iCs/>
      <w:color w:val="404040"/>
      <w:sz w:val="22"/>
      <w:szCs w:val="22"/>
      <w:lang w:val="da-DK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D044AE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4AE"/>
    <w:rPr>
      <w:rFonts w:ascii="Calibri" w:eastAsia="Calibri" w:hAnsi="Calibri"/>
      <w:i/>
      <w:iCs/>
      <w:color w:val="0F4761"/>
      <w:sz w:val="22"/>
      <w:szCs w:val="22"/>
      <w:lang w:val="da-DK" w:eastAsia="en-US"/>
    </w:rPr>
  </w:style>
  <w:style w:type="paragraph" w:customStyle="1" w:styleId="ListBullet1">
    <w:name w:val="List Bullet 1"/>
    <w:basedOn w:val="Normal"/>
    <w:uiPriority w:val="99"/>
    <w:semiHidden/>
    <w:rsid w:val="00D044AE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D044AE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D044AE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D044AE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D044AE"/>
    <w:pPr>
      <w:widowControl/>
      <w:numPr>
        <w:ilvl w:val="1"/>
        <w:numId w:val="4"/>
      </w:numPr>
      <w:tabs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D044AE"/>
    <w:pPr>
      <w:widowControl/>
      <w:numPr>
        <w:ilvl w:val="2"/>
        <w:numId w:val="4"/>
      </w:numPr>
      <w:tabs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D044AE"/>
    <w:pPr>
      <w:widowControl/>
      <w:numPr>
        <w:ilvl w:val="3"/>
        <w:numId w:val="4"/>
      </w:numPr>
      <w:tabs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D044AE"/>
    <w:pPr>
      <w:widowControl/>
      <w:numPr>
        <w:numId w:val="15"/>
      </w:numPr>
      <w:tabs>
        <w:tab w:val="clear" w:pos="1134"/>
        <w:tab w:val="num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D044AE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D044AE"/>
    <w:pPr>
      <w:numPr>
        <w:numId w:val="17"/>
      </w:numPr>
      <w:tabs>
        <w:tab w:val="num" w:pos="850"/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D044AE"/>
    <w:pPr>
      <w:numPr>
        <w:ilvl w:val="1"/>
        <w:numId w:val="17"/>
      </w:numPr>
      <w:tabs>
        <w:tab w:val="num" w:pos="850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D044AE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D044AE"/>
    <w:pPr>
      <w:numPr>
        <w:ilvl w:val="2"/>
        <w:numId w:val="17"/>
      </w:numPr>
      <w:tabs>
        <w:tab w:val="num" w:pos="850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D044AE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D044AE"/>
    <w:pPr>
      <w:numPr>
        <w:ilvl w:val="3"/>
        <w:numId w:val="17"/>
      </w:numPr>
      <w:tabs>
        <w:tab w:val="num" w:pos="850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D044AE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D044A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D044A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D044A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D044A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D044A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D044A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D044A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D044A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D044A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D044AE"/>
  </w:style>
  <w:style w:type="character" w:customStyle="1" w:styleId="FooterCoverPageChar">
    <w:name w:val="Footer Cover Page Char"/>
    <w:link w:val="FooterCoverPage"/>
    <w:semiHidden/>
    <w:locked/>
    <w:rsid w:val="00D044AE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D044A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D044AE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D044A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D044AE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D044AE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D044AE"/>
    <w:pPr>
      <w:widowControl/>
      <w:numPr>
        <w:ilvl w:val="2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D044AE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D044AE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D044AE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D044AE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D044AE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D044AE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uiPriority w:val="99"/>
    <w:semiHidden/>
    <w:rsid w:val="00D044A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D044AE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D044A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D044A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D044A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D044A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D044A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D044A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D044A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D044A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D044A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D044A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D044A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D044A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D044A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D044A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D044A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D044A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D044A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D044A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D044AE"/>
    <w:pPr>
      <w:numPr>
        <w:numId w:val="19"/>
      </w:numPr>
      <w:tabs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D044AE"/>
    <w:pPr>
      <w:numPr>
        <w:numId w:val="20"/>
      </w:numPr>
      <w:tabs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D044AE"/>
    <w:pPr>
      <w:numPr>
        <w:numId w:val="21"/>
      </w:numPr>
      <w:tabs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D044AE"/>
    <w:pPr>
      <w:numPr>
        <w:numId w:val="22"/>
      </w:numPr>
      <w:tabs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D044AE"/>
    <w:pPr>
      <w:numPr>
        <w:numId w:val="23"/>
      </w:numPr>
      <w:tabs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D044AE"/>
    <w:pPr>
      <w:numPr>
        <w:numId w:val="24"/>
      </w:numPr>
      <w:tabs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D044A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D044A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D044A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D044A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D044A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D044A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D044A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D044A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D044A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D044A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D044AE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D044AE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D044AE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D044AE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D044AE"/>
    <w:pPr>
      <w:widowControl/>
      <w:numPr>
        <w:ilvl w:val="4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D044AE"/>
    <w:pPr>
      <w:widowControl/>
      <w:numPr>
        <w:ilvl w:val="5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D044AE"/>
    <w:pPr>
      <w:widowControl/>
      <w:numPr>
        <w:ilvl w:val="6"/>
        <w:numId w:val="25"/>
      </w:numPr>
      <w:tabs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D044A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D044A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D044A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D044A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D044A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D044A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D044A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D044A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D044A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D044A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D044A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D044A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D044A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D044A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D044A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D044A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D044A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D044A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D044AE"/>
    <w:pPr>
      <w:widowControl/>
      <w:numPr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D044AE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D044AE"/>
    <w:pPr>
      <w:widowControl/>
      <w:numPr>
        <w:ilvl w:val="4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D044AE"/>
    <w:pPr>
      <w:widowControl/>
      <w:numPr>
        <w:ilvl w:val="6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D044AE"/>
    <w:pPr>
      <w:widowControl/>
      <w:numPr>
        <w:ilvl w:val="1"/>
        <w:numId w:val="26"/>
      </w:numPr>
      <w:tabs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D044AE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D044AE"/>
    <w:pPr>
      <w:widowControl/>
      <w:numPr>
        <w:ilvl w:val="5"/>
        <w:numId w:val="26"/>
      </w:numPr>
      <w:tabs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D044AE"/>
    <w:pPr>
      <w:widowControl/>
      <w:numPr>
        <w:ilvl w:val="7"/>
        <w:numId w:val="26"/>
      </w:numPr>
      <w:tabs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D044AE"/>
    <w:pPr>
      <w:widowControl/>
      <w:numPr>
        <w:ilvl w:val="8"/>
        <w:numId w:val="26"/>
      </w:numPr>
      <w:tabs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D044AE"/>
    <w:pPr>
      <w:widowControl/>
      <w:numPr>
        <w:numId w:val="27"/>
      </w:numPr>
      <w:tabs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D044AE"/>
    <w:pPr>
      <w:widowControl/>
      <w:numPr>
        <w:numId w:val="28"/>
      </w:numPr>
      <w:tabs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D044AE"/>
    <w:pPr>
      <w:widowControl/>
      <w:numPr>
        <w:numId w:val="29"/>
      </w:numPr>
      <w:tabs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D044AE"/>
    <w:pPr>
      <w:widowControl/>
      <w:numPr>
        <w:numId w:val="30"/>
      </w:numPr>
      <w:tabs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D044AE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D044A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D044A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D044A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D044A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044A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D044A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D044A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D044A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D044A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D044A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D044A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D044A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044A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044A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D044A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D044A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D044AE"/>
  </w:style>
  <w:style w:type="paragraph" w:customStyle="1" w:styleId="Considrant">
    <w:name w:val="Considérant"/>
    <w:basedOn w:val="Normal"/>
    <w:rsid w:val="00D044AE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D044A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044A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D044A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044A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D044A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044A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044A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D044A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D044A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D044A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044A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044AE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D044A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D044A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D044A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D044A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D044A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D044AE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D044A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D044AE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D044AE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D044AE"/>
  </w:style>
  <w:style w:type="paragraph" w:customStyle="1" w:styleId="Volume">
    <w:name w:val="Volume"/>
    <w:basedOn w:val="Normal"/>
    <w:next w:val="Confidentialit"/>
    <w:uiPriority w:val="99"/>
    <w:semiHidden/>
    <w:rsid w:val="00D044A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D044A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D044A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D044A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D044AE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D044AE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D044AE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D044AE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D044AE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D044AE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D044AE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D044AE"/>
    <w:rPr>
      <w:b/>
      <w:bCs/>
      <w:smallCaps/>
      <w:color w:val="4F81BD"/>
      <w:spacing w:val="5"/>
    </w:rPr>
  </w:style>
  <w:style w:type="character" w:customStyle="1" w:styleId="tw4winMark">
    <w:name w:val="tw4winMark"/>
    <w:rsid w:val="00D044AE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D044AE"/>
    <w:rPr>
      <w:rFonts w:ascii="Times New Roman" w:hAnsi="Times New Roman" w:cs="Times New Roman" w:hint="default"/>
      <w:b/>
      <w:bCs w:val="0"/>
      <w:sz w:val="28"/>
      <w:lang w:val="da-DK"/>
    </w:rPr>
  </w:style>
  <w:style w:type="character" w:customStyle="1" w:styleId="FooterSensitivityChar">
    <w:name w:val="Footer Sensitivity Char"/>
    <w:rsid w:val="00D044AE"/>
    <w:rPr>
      <w:rFonts w:ascii="Times New Roman" w:hAnsi="Times New Roman" w:cs="Times New Roman" w:hint="default"/>
      <w:b/>
      <w:bCs w:val="0"/>
      <w:sz w:val="32"/>
      <w:lang w:val="da-DK"/>
    </w:rPr>
  </w:style>
  <w:style w:type="character" w:customStyle="1" w:styleId="HeaderSensitivityChar">
    <w:name w:val="Header Sensitivity Char"/>
    <w:rsid w:val="00D044AE"/>
    <w:rPr>
      <w:rFonts w:ascii="Times New Roman" w:hAnsi="Times New Roman" w:cs="Times New Roman" w:hint="default"/>
      <w:b/>
      <w:bCs w:val="0"/>
      <w:sz w:val="32"/>
      <w:lang w:val="da-DK"/>
    </w:rPr>
  </w:style>
  <w:style w:type="character" w:customStyle="1" w:styleId="HeaderSensitivityRightChar">
    <w:name w:val="Header Sensitivity Right Char"/>
    <w:rsid w:val="00D044AE"/>
    <w:rPr>
      <w:rFonts w:ascii="Times New Roman" w:hAnsi="Times New Roman" w:cs="Times New Roman" w:hint="default"/>
      <w:sz w:val="28"/>
      <w:lang w:val="da-DK"/>
    </w:rPr>
  </w:style>
  <w:style w:type="character" w:customStyle="1" w:styleId="UnresolvedMention1">
    <w:name w:val="Unresolved Mention1"/>
    <w:basedOn w:val="DefaultParagraphFont"/>
    <w:uiPriority w:val="99"/>
    <w:semiHidden/>
    <w:rsid w:val="00D044AE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D044AE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D044AE"/>
  </w:style>
  <w:style w:type="character" w:customStyle="1" w:styleId="eop">
    <w:name w:val="eop"/>
    <w:basedOn w:val="DefaultParagraphFont"/>
    <w:rsid w:val="00D044AE"/>
  </w:style>
  <w:style w:type="character" w:customStyle="1" w:styleId="diff-single-moved-from">
    <w:name w:val="diff-single-moved-from"/>
    <w:basedOn w:val="DefaultParagraphFont"/>
    <w:rsid w:val="00D044AE"/>
  </w:style>
  <w:style w:type="character" w:customStyle="1" w:styleId="diff-single-moved-from-number">
    <w:name w:val="diff-single-moved-from-number"/>
    <w:basedOn w:val="DefaultParagraphFont"/>
    <w:rsid w:val="00D044AE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D044AE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D044AE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D044AE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D044AE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D044AE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D044AE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D044AE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D044AE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D044AE"/>
  </w:style>
  <w:style w:type="character" w:customStyle="1" w:styleId="HeaderChar1">
    <w:name w:val="Header Char1"/>
    <w:basedOn w:val="DefaultParagraphFont"/>
    <w:uiPriority w:val="99"/>
    <w:semiHidden/>
    <w:rsid w:val="00D044AE"/>
    <w:rPr>
      <w:rFonts w:ascii="Times New Roman" w:hAnsi="Times New Roman" w:cs="Times New Roman" w:hint="default"/>
      <w:kern w:val="0"/>
      <w:sz w:val="24"/>
      <w:lang w:val="da-DK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D044AE"/>
    <w:rPr>
      <w:rFonts w:ascii="Times New Roman" w:hAnsi="Times New Roman" w:cs="Times New Roman" w:hint="default"/>
      <w:kern w:val="0"/>
      <w:sz w:val="24"/>
      <w:lang w:val="da-DK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D044AE"/>
    <w:rPr>
      <w:rFonts w:ascii="Cambria" w:eastAsia="Times New Roman" w:hAnsi="Cambria" w:cs="Times New Roman" w:hint="default"/>
      <w:color w:val="272727"/>
      <w:sz w:val="21"/>
      <w:szCs w:val="21"/>
      <w:lang w:val="da-DK"/>
    </w:rPr>
  </w:style>
  <w:style w:type="character" w:customStyle="1" w:styleId="Heading9Char1">
    <w:name w:val="Heading 9 Char1"/>
    <w:basedOn w:val="DefaultParagraphFont"/>
    <w:uiPriority w:val="9"/>
    <w:semiHidden/>
    <w:rsid w:val="00D044AE"/>
    <w:rPr>
      <w:rFonts w:ascii="Cambria" w:eastAsia="Times New Roman" w:hAnsi="Cambria" w:cs="Times New Roman" w:hint="default"/>
      <w:i/>
      <w:iCs/>
      <w:color w:val="272727"/>
      <w:sz w:val="21"/>
      <w:szCs w:val="21"/>
      <w:lang w:val="da-DK"/>
    </w:rPr>
  </w:style>
  <w:style w:type="character" w:customStyle="1" w:styleId="TitleChar1">
    <w:name w:val="Title Char1"/>
    <w:basedOn w:val="DefaultParagraphFont"/>
    <w:uiPriority w:val="10"/>
    <w:rsid w:val="00D044AE"/>
    <w:rPr>
      <w:rFonts w:ascii="Cambria" w:eastAsia="Times New Roman" w:hAnsi="Cambria" w:cs="Times New Roman" w:hint="default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uiPriority w:val="11"/>
    <w:rsid w:val="00D044AE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da-DK"/>
    </w:rPr>
  </w:style>
  <w:style w:type="character" w:customStyle="1" w:styleId="QuoteChar1">
    <w:name w:val="Quote Char1"/>
    <w:basedOn w:val="DefaultParagraphFont"/>
    <w:uiPriority w:val="29"/>
    <w:rsid w:val="00D044AE"/>
    <w:rPr>
      <w:rFonts w:ascii="Times New Roman" w:hAnsi="Times New Roman" w:cs="Times New Roman" w:hint="default"/>
      <w:i/>
      <w:iCs/>
      <w:color w:val="404040"/>
      <w:sz w:val="24"/>
      <w:lang w:val="da-DK"/>
    </w:rPr>
  </w:style>
  <w:style w:type="character" w:customStyle="1" w:styleId="IntenseQuoteChar1">
    <w:name w:val="Intense Quote Char1"/>
    <w:basedOn w:val="DefaultParagraphFont"/>
    <w:uiPriority w:val="30"/>
    <w:rsid w:val="00D044AE"/>
    <w:rPr>
      <w:rFonts w:ascii="Times New Roman" w:hAnsi="Times New Roman" w:cs="Times New Roman" w:hint="default"/>
      <w:i/>
      <w:iCs/>
      <w:color w:val="365F91"/>
      <w:sz w:val="24"/>
      <w:lang w:val="da-DK"/>
    </w:rPr>
  </w:style>
  <w:style w:type="character" w:customStyle="1" w:styleId="superscript">
    <w:name w:val="superscript"/>
    <w:basedOn w:val="DefaultParagraphFont"/>
    <w:rsid w:val="00D044AE"/>
  </w:style>
  <w:style w:type="character" w:customStyle="1" w:styleId="Marker">
    <w:name w:val="Marker"/>
    <w:basedOn w:val="DefaultParagraphFont"/>
    <w:rsid w:val="00D044AE"/>
    <w:rPr>
      <w:color w:val="0000FF"/>
    </w:rPr>
  </w:style>
  <w:style w:type="character" w:customStyle="1" w:styleId="Marker1">
    <w:name w:val="Marker1"/>
    <w:basedOn w:val="DefaultParagraphFont"/>
    <w:rsid w:val="00D044AE"/>
    <w:rPr>
      <w:color w:val="008000"/>
    </w:rPr>
  </w:style>
  <w:style w:type="character" w:customStyle="1" w:styleId="Marker2">
    <w:name w:val="Marker2"/>
    <w:basedOn w:val="DefaultParagraphFont"/>
    <w:rsid w:val="00D044AE"/>
    <w:rPr>
      <w:color w:val="FF0000"/>
    </w:rPr>
  </w:style>
  <w:style w:type="character" w:customStyle="1" w:styleId="Added">
    <w:name w:val="Added"/>
    <w:basedOn w:val="DefaultParagraphFont"/>
    <w:rsid w:val="00D044AE"/>
    <w:rPr>
      <w:b/>
      <w:bCs w:val="0"/>
      <w:u w:val="single"/>
    </w:rPr>
  </w:style>
  <w:style w:type="character" w:customStyle="1" w:styleId="Deleted">
    <w:name w:val="Deleted"/>
    <w:basedOn w:val="DefaultParagraphFont"/>
    <w:rsid w:val="00D044AE"/>
    <w:rPr>
      <w:strike/>
    </w:rPr>
  </w:style>
  <w:style w:type="table" w:customStyle="1" w:styleId="TableGrid1">
    <w:name w:val="Table Grid1"/>
    <w:basedOn w:val="TableNormal"/>
    <w:next w:val="TableGrid"/>
    <w:rsid w:val="00D044AE"/>
    <w:pPr>
      <w:spacing w:before="120" w:after="120"/>
      <w:jc w:val="both"/>
    </w:pPr>
    <w:rPr>
      <w:lang w:val="da-DK"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D044AE"/>
    <w:rPr>
      <w:lang w:val="da-DK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D044AE"/>
    <w:pPr>
      <w:numPr>
        <w:ilvl w:val="1"/>
        <w:numId w:val="9"/>
      </w:numPr>
      <w:tabs>
        <w:tab w:val="num" w:pos="1134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044AE"/>
    <w:pPr>
      <w:numPr>
        <w:ilvl w:val="1"/>
        <w:numId w:val="10"/>
      </w:numPr>
      <w:tabs>
        <w:tab w:val="num" w:pos="283"/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044AE"/>
    <w:pPr>
      <w:numPr>
        <w:ilvl w:val="2"/>
        <w:numId w:val="9"/>
      </w:numPr>
      <w:tabs>
        <w:tab w:val="num" w:pos="1134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044AE"/>
    <w:pPr>
      <w:numPr>
        <w:ilvl w:val="2"/>
        <w:numId w:val="10"/>
      </w:numPr>
      <w:tabs>
        <w:tab w:val="num" w:pos="283"/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044AE"/>
    <w:pPr>
      <w:numPr>
        <w:ilvl w:val="3"/>
        <w:numId w:val="9"/>
      </w:numPr>
      <w:tabs>
        <w:tab w:val="num" w:pos="1134"/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044AE"/>
    <w:pPr>
      <w:numPr>
        <w:ilvl w:val="3"/>
        <w:numId w:val="10"/>
      </w:numPr>
      <w:tabs>
        <w:tab w:val="num" w:pos="283"/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4A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D044AE"/>
    <w:rPr>
      <w:i/>
      <w:iCs/>
      <w:color w:val="5B9BD5" w:themeColor="accent1"/>
      <w:sz w:val="24"/>
      <w:lang w:val="da-DK"/>
    </w:rPr>
  </w:style>
  <w:style w:type="character" w:styleId="IntenseEmphasis">
    <w:name w:val="Intense Emphasis"/>
    <w:basedOn w:val="DefaultParagraphFont"/>
    <w:uiPriority w:val="21"/>
    <w:qFormat/>
    <w:rsid w:val="00D044AE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D044AE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D044AE"/>
    <w:pPr>
      <w:spacing w:after="480"/>
    </w:pPr>
  </w:style>
  <w:style w:type="paragraph" w:customStyle="1" w:styleId="NormalBoldCenter">
    <w:name w:val="NormalBoldCenter"/>
    <w:basedOn w:val="Normal"/>
    <w:rsid w:val="00D044AE"/>
    <w:pPr>
      <w:jc w:val="center"/>
    </w:pPr>
    <w:rPr>
      <w:b/>
    </w:rPr>
  </w:style>
  <w:style w:type="paragraph" w:customStyle="1" w:styleId="Footprint12b">
    <w:name w:val="Footprint12b"/>
    <w:basedOn w:val="Normal"/>
    <w:rsid w:val="00D044A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044AE"/>
    <w:rPr>
      <w:szCs w:val="24"/>
    </w:rPr>
  </w:style>
  <w:style w:type="paragraph" w:customStyle="1" w:styleId="title-bold">
    <w:name w:val="title-bold"/>
    <w:basedOn w:val="Normal"/>
    <w:rsid w:val="00D044A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D044AE"/>
    <w:pPr>
      <w:spacing w:after="240"/>
    </w:pPr>
  </w:style>
  <w:style w:type="paragraph" w:customStyle="1" w:styleId="RollCallVotes">
    <w:name w:val="RollCallVotes"/>
    <w:basedOn w:val="Normal"/>
    <w:rsid w:val="00D044A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044A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044A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044AE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9A5612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9A5612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9A5612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9A5612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9A5612"/>
    <w:pPr>
      <w:jc w:val="center"/>
    </w:pPr>
  </w:style>
  <w:style w:type="paragraph" w:customStyle="1" w:styleId="HeadingReferenceERCO">
    <w:name w:val="HeadingReferenceERCO"/>
    <w:basedOn w:val="Normal"/>
    <w:rsid w:val="009A5612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9A5612"/>
    <w:pPr>
      <w:spacing w:before="240" w:after="240"/>
    </w:pPr>
  </w:style>
  <w:style w:type="paragraph" w:customStyle="1" w:styleId="AmDocTypeTab">
    <w:name w:val="AmDocTypeTab"/>
    <w:basedOn w:val="Normal"/>
    <w:rsid w:val="00552CE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552CEC"/>
    <w:pPr>
      <w:spacing w:before="240" w:after="240"/>
      <w:jc w:val="right"/>
    </w:pPr>
  </w:style>
  <w:style w:type="paragraph" w:customStyle="1" w:styleId="AmDateTab">
    <w:name w:val="AmDateTab"/>
    <w:basedOn w:val="Normal"/>
    <w:rsid w:val="00552CEC"/>
    <w:pPr>
      <w:tabs>
        <w:tab w:val="right" w:pos="9072"/>
      </w:tabs>
    </w:pPr>
  </w:style>
  <w:style w:type="paragraph" w:customStyle="1" w:styleId="Normal3a">
    <w:name w:val="Normal3a"/>
    <w:basedOn w:val="Normal"/>
    <w:rsid w:val="00552CEC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552CEC"/>
    <w:pPr>
      <w:keepLines/>
      <w:spacing w:line="240" w:lineRule="exact"/>
      <w:ind w:left="850" w:hanging="850"/>
    </w:pPr>
    <w:rPr>
      <w:sz w:val="24"/>
      <w:lang w:val="da-DK" w:eastAsia="en-US"/>
    </w:rPr>
  </w:style>
  <w:style w:type="character" w:customStyle="1" w:styleId="Footer2">
    <w:name w:val="Footer2"/>
    <w:rsid w:val="00552CEC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552CEC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52CEC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552CE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552CEC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552CEC"/>
    <w:pPr>
      <w:spacing w:before="120" w:after="120" w:line="360" w:lineRule="auto"/>
    </w:pPr>
    <w:rPr>
      <w:sz w:val="24"/>
      <w:lang w:val="da-DK" w:eastAsia="en-US"/>
    </w:rPr>
  </w:style>
  <w:style w:type="character" w:customStyle="1" w:styleId="CMissingStyle">
    <w:name w:val="C_MissingStyle"/>
    <w:rsid w:val="00552CEC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552CEC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552CE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CE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rsid w:val="00552CEC"/>
    <w:rPr>
      <w:color w:val="800080"/>
      <w:u w:val="single"/>
    </w:rPr>
  </w:style>
  <w:style w:type="paragraph" w:styleId="NoSpacing">
    <w:name w:val="No Spacing"/>
    <w:uiPriority w:val="1"/>
    <w:qFormat/>
    <w:rsid w:val="00677EDF"/>
    <w:rPr>
      <w:rFonts w:eastAsiaTheme="minorHAnsi" w:cstheme="minorBidi"/>
      <w:sz w:val="24"/>
      <w:szCs w:val="22"/>
      <w:lang w:val="da" w:eastAsia="da-DK" w:bidi="lo-LA"/>
    </w:rPr>
  </w:style>
  <w:style w:type="paragraph" w:customStyle="1" w:styleId="P68B1DB1-Normal1">
    <w:name w:val="P68B1DB1-Normal1"/>
    <w:basedOn w:val="Normal"/>
    <w:rsid w:val="00677EDF"/>
    <w:pPr>
      <w:widowControl/>
      <w:spacing w:before="120" w:after="120" w:line="360" w:lineRule="auto"/>
    </w:pPr>
    <w:rPr>
      <w:b/>
      <w:szCs w:val="24"/>
      <w:lang w:val="da" w:eastAsia="da-DK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2026-10-16T08:22:00Z</dcterms:created>
  <dcterms:modified xsi:type="dcterms:W3CDTF">2026-10-16T08:22:00Z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