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B772EB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0131A4" w:rsidP="0010095E" w14:paraId="6CCA94B6" w14:textId="46D68575">
            <w:pPr>
              <w:pStyle w:val="EPName"/>
            </w:pPr>
            <w:r w:rsidRPr="000131A4">
              <w:t>Parlament Ewropew</w:t>
            </w:r>
          </w:p>
          <w:p w:rsidR="00751A4A" w:rsidRPr="000131A4" w:rsidP="005F1B17" w14:paraId="32B7FA1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31A4">
              <w:t>2024</w:t>
            </w:r>
            <w:r w:rsidRPr="000131A4" w:rsidR="00817416">
              <w:t>-202</w:t>
            </w:r>
            <w:r w:rsidRPr="000131A4">
              <w:t>9</w:t>
            </w:r>
          </w:p>
        </w:tc>
        <w:tc>
          <w:tcPr>
            <w:tcW w:w="2268" w:type="dxa"/>
          </w:tcPr>
          <w:p w:rsidR="00751A4A" w:rsidRPr="000131A4" w:rsidP="0010095E" w14:paraId="5700F9AC" w14:textId="77777777">
            <w:pPr>
              <w:pStyle w:val="EPLogo"/>
            </w:pPr>
            <w:r w:rsidRPr="000131A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31A4" w:rsidP="004C5D52" w14:paraId="064856FD" w14:textId="77777777">
      <w:pPr>
        <w:pStyle w:val="LineTop"/>
      </w:pPr>
    </w:p>
    <w:p w:rsidR="00680577" w:rsidRPr="000131A4" w:rsidP="00680577" w14:paraId="203DCAFB" w14:textId="344306A1">
      <w:pPr>
        <w:pStyle w:val="EPBodyTA1"/>
      </w:pPr>
      <w:r w:rsidRPr="000131A4">
        <w:t>TESTI ADOTTATI</w:t>
      </w:r>
    </w:p>
    <w:p w:rsidR="00D058B8" w:rsidRPr="000131A4" w:rsidP="00D058B8" w14:paraId="7DA0B2F5" w14:textId="77777777">
      <w:pPr>
        <w:pStyle w:val="LineBottom"/>
      </w:pPr>
    </w:p>
    <w:p w:rsidR="008F4CBE" w:rsidRPr="000131A4" w:rsidP="008F4CBE" w14:paraId="08366397" w14:textId="13CE0E65">
      <w:pPr>
        <w:pStyle w:val="ATHeading1"/>
      </w:pPr>
      <w:bookmarkStart w:id="0" w:name="TANumber"/>
      <w:r w:rsidRPr="000131A4">
        <w:t>P10_TA(2026)0</w:t>
      </w:r>
      <w:bookmarkEnd w:id="0"/>
      <w:r w:rsidR="005042D4">
        <w:t>207</w:t>
      </w:r>
    </w:p>
    <w:p w:rsidR="008F4CBE" w:rsidRPr="000131A4" w:rsidP="008F4CBE" w14:paraId="7B90862E" w14:textId="77777777">
      <w:pPr>
        <w:pStyle w:val="ATHeading2"/>
      </w:pPr>
      <w:bookmarkStart w:id="1" w:name="title"/>
      <w:r w:rsidRPr="000131A4">
        <w:t>Sistema komuni għar-ritorn ta’ ċittadini ta’ pajjiżi terzi li jkunu qegħdin illegalment fl-Unjoni (ir-Regolament dwar ir-Ritorn)</w:t>
      </w:r>
      <w:bookmarkEnd w:id="1"/>
    </w:p>
    <w:p w:rsidR="008F4CBE" w:rsidRPr="000131A4" w:rsidP="008F4CBE" w14:paraId="63BA1D75" w14:textId="77777777">
      <w:pPr>
        <w:rPr>
          <w:i/>
          <w:vanish/>
        </w:rPr>
      </w:pPr>
      <w:r>
        <w:rPr>
          <w:i/>
        </w:rPr>
        <w:fldChar w:fldCharType="begin"/>
      </w:r>
      <w:r w:rsidRPr="000131A4">
        <w:rPr>
          <w:i/>
        </w:rPr>
        <w:instrText xml:space="preserve"> TC"(</w:instrText>
      </w:r>
      <w:bookmarkStart w:id="2" w:name="DocNumber"/>
      <w:r w:rsidRPr="000131A4">
        <w:rPr>
          <w:i/>
        </w:rPr>
        <w:instrText>A10-0048/2026</w:instrText>
      </w:r>
      <w:bookmarkEnd w:id="2"/>
      <w:r w:rsidRPr="000131A4">
        <w:rPr>
          <w:i/>
        </w:rPr>
        <w:instrText xml:space="preserve"> - Rapporteur: Malik Azmani)"\l3 \n&gt; \* MERGEFORMAT </w:instrText>
      </w:r>
      <w:r>
        <w:rPr>
          <w:i/>
        </w:rPr>
        <w:fldChar w:fldCharType="end"/>
      </w:r>
    </w:p>
    <w:p w:rsidR="008F4CBE" w:rsidRPr="000131A4" w:rsidP="008F4CBE" w14:paraId="1C0CB821" w14:textId="77777777">
      <w:pPr>
        <w:rPr>
          <w:vanish/>
        </w:rPr>
      </w:pPr>
      <w:bookmarkStart w:id="3" w:name="Commission"/>
      <w:r w:rsidRPr="000131A4">
        <w:rPr>
          <w:vanish/>
        </w:rPr>
        <w:t>Kumitat għal-Libertajiet Ċivili, il-Ġustizzja u l-Intern</w:t>
      </w:r>
      <w:bookmarkEnd w:id="3"/>
    </w:p>
    <w:p w:rsidR="008F4CBE" w:rsidRPr="000131A4" w:rsidP="008F4CBE" w14:paraId="518D43EA" w14:textId="77777777">
      <w:pPr>
        <w:rPr>
          <w:vanish/>
        </w:rPr>
      </w:pPr>
      <w:bookmarkStart w:id="4" w:name="PE"/>
      <w:r w:rsidRPr="000131A4">
        <w:rPr>
          <w:vanish/>
        </w:rPr>
        <w:t>PE779.352</w:t>
      </w:r>
      <w:bookmarkEnd w:id="4"/>
    </w:p>
    <w:p w:rsidR="008F4CBE" w:rsidRPr="000131A4" w:rsidP="008F4CBE" w14:paraId="4A9B74EF" w14:textId="3CC55EAF">
      <w:pPr>
        <w:pStyle w:val="ATHeading3"/>
      </w:pPr>
      <w:bookmarkStart w:id="5" w:name="Sujet"/>
      <w:r w:rsidRPr="000131A4">
        <w:t xml:space="preserve">Riżoluzzjoni leġiżlattiva tal-Parlament Ewropew </w:t>
      </w:r>
      <w:r w:rsidR="00274C5D">
        <w:t>tas-17 ta’ Ġunju</w:t>
      </w:r>
      <w:r w:rsidRPr="000131A4">
        <w:t xml:space="preserve"> 2026 dwar il-proposta tal-Kummissjoni għal regolament tal-Parlament Ewropew u tal-Kunsill li jistabbilixxi sistema komuni għar-ritorn ta’ ċittadini ta’ pajjiżi terzi li jkunu qegħdin illegalment fl-Unjoni, u li jħassar id-Direttiva 2008/115/KE tal-Parlament Ewropew u tal-Kunsill, id-Direttiva tal-Kunsill 2001/40/KE u d-Deċiżjoni tal-Kunsill 2004/191/KE</w:t>
      </w:r>
      <w:bookmarkEnd w:id="5"/>
      <w:r w:rsidRPr="000131A4">
        <w:t xml:space="preserve"> </w:t>
      </w:r>
      <w:bookmarkStart w:id="6" w:name="References"/>
      <w:r w:rsidRPr="000131A4">
        <w:t>(COM(2025)0101 – C10-0047/2025 – 2025/0059(COD))</w:t>
      </w:r>
      <w:bookmarkEnd w:id="6"/>
    </w:p>
    <w:p w:rsidR="008F4CBE" w:rsidRPr="000131A4" w:rsidP="008F4CBE" w14:paraId="1CFDFC30" w14:textId="77777777"/>
    <w:p w:rsidR="00286D1F" w:rsidRPr="000131A4" w:rsidP="00286D1F" w14:paraId="7B43B5F8" w14:textId="77777777">
      <w:pPr>
        <w:pStyle w:val="NormalBold"/>
      </w:pPr>
      <w:bookmarkStart w:id="7" w:name="TextBodyBegin"/>
      <w:bookmarkEnd w:id="7"/>
      <w:r w:rsidRPr="000131A4">
        <w:t>(Proċedura leġiżlattiva ordinarja: l-ewwel qari)</w:t>
      </w:r>
    </w:p>
    <w:p w:rsidR="00286D1F" w:rsidRPr="000131A4" w:rsidP="00286D1F" w14:paraId="6FA8EB25" w14:textId="77777777">
      <w:pPr>
        <w:pStyle w:val="EPComma"/>
      </w:pPr>
      <w:r w:rsidRPr="000131A4">
        <w:rPr>
          <w:i/>
        </w:rPr>
        <w:t>Il-Parlament Ewropew</w:t>
      </w:r>
      <w:r w:rsidRPr="000131A4">
        <w:t>,</w:t>
      </w:r>
    </w:p>
    <w:p w:rsidR="00286D1F" w:rsidRPr="000131A4" w:rsidP="00286D1F" w14:paraId="3E51D49D" w14:textId="4F90641E">
      <w:pPr>
        <w:spacing w:after="240"/>
        <w:ind w:left="567" w:hanging="567"/>
      </w:pPr>
      <w:r w:rsidRPr="000131A4">
        <w:t>–</w:t>
      </w:r>
      <w:r w:rsidRPr="000131A4">
        <w:tab/>
        <w:t>wara li kkunsidra l-proposta tal-Kummissjoni lill-Parlament u lill-Kunsill (COM(2025)0101),</w:t>
      </w:r>
    </w:p>
    <w:p w:rsidR="00286D1F" w:rsidRPr="000131A4" w:rsidP="00286D1F" w14:paraId="645673B5" w14:textId="2829763E">
      <w:pPr>
        <w:spacing w:after="240"/>
        <w:ind w:left="567" w:hanging="567"/>
      </w:pPr>
      <w:r w:rsidRPr="000131A4">
        <w:t>–</w:t>
      </w:r>
      <w:r w:rsidRPr="000131A4">
        <w:tab/>
        <w:t>wara li kkunsidra l-Artikolu 294(2) u l-Artikolu 79(2), il-punt (c)</w:t>
      </w:r>
      <w:r w:rsidR="003E63D5">
        <w:t>,</w:t>
      </w:r>
      <w:r w:rsidRPr="000131A4">
        <w:t xml:space="preserve"> tat-Trattat dwar il-Funzjonament tal-Unjoni Ewropea, skont liema artikoli l-Kummissjoni ppreżentat il-proposta lill-Parlament (C10</w:t>
      </w:r>
      <w:r w:rsidRPr="000131A4">
        <w:noBreakHyphen/>
        <w:t>0047/2025),</w:t>
      </w:r>
    </w:p>
    <w:p w:rsidR="00286D1F" w:rsidP="00286D1F" w14:paraId="63A1DD70" w14:textId="77777777">
      <w:pPr>
        <w:spacing w:after="240"/>
        <w:ind w:left="567" w:hanging="567"/>
      </w:pPr>
      <w:r w:rsidRPr="000131A4">
        <w:t>–</w:t>
      </w:r>
      <w:r w:rsidRPr="000131A4">
        <w:tab/>
        <w:t>wara li kkunsidra l-Artikolu 294(3) tat-Trattat dwar il-Funzjonament tal-Unjoni Ewropea,</w:t>
      </w:r>
    </w:p>
    <w:p w:rsidR="003A7F61" w:rsidRPr="000131A4" w:rsidP="00286D1F" w14:paraId="30B2317C" w14:textId="1F960073">
      <w:pPr>
        <w:spacing w:after="240"/>
        <w:ind w:left="567" w:hanging="567"/>
      </w:pPr>
      <w:r w:rsidRPr="003A7F61">
        <w:t>–</w:t>
      </w:r>
      <w:r w:rsidRPr="003A7F61">
        <w:tab/>
        <w:t>wara li kkunsidra l-opinjoni motivata ppreżentata</w:t>
      </w:r>
      <w:r>
        <w:t xml:space="preserve"> </w:t>
      </w:r>
      <w:r w:rsidRPr="003A7F61">
        <w:t>mis-Senat Franċiż, fil-qafas tal-Protokoll Nru 2 dwar l-applikazzjoni tal-prinċipji ta' sussidjarjetà u proporzjonalità li tiddikjara li l-abbozz ta' att leġiżlattiv ma jimxix mal-prinċipju ta' sussidjarjetà,</w:t>
      </w:r>
    </w:p>
    <w:p w:rsidR="00286D1F" w:rsidRPr="000131A4" w:rsidP="00286D1F" w14:paraId="53B90719" w14:textId="51811CC3">
      <w:pPr>
        <w:spacing w:after="240"/>
        <w:ind w:left="567" w:hanging="567"/>
      </w:pPr>
      <w:r w:rsidRPr="000131A4">
        <w:t>–</w:t>
      </w:r>
      <w:r w:rsidRPr="000131A4">
        <w:tab/>
        <w:t>wara li kkunsidra l-opinjoni tal-Kumitat Ekonomiku u Soċjali Ewropew</w:t>
      </w:r>
      <w:r w:rsidR="003A7F61">
        <w:t xml:space="preserve"> tat-18 ta’ Settembru 2025</w:t>
      </w:r>
      <w:r>
        <w:rPr>
          <w:rStyle w:val="FootnoteReference"/>
        </w:rPr>
        <w:footnoteReference w:id="2"/>
      </w:r>
      <w:r w:rsidRPr="000131A4">
        <w:t>,</w:t>
      </w:r>
    </w:p>
    <w:p w:rsidR="00286D1F" w:rsidP="00286D1F" w14:paraId="7C523C1F" w14:textId="24534F2F">
      <w:pPr>
        <w:spacing w:after="240"/>
        <w:ind w:left="567" w:hanging="567"/>
      </w:pPr>
      <w:r w:rsidRPr="000131A4">
        <w:t>–</w:t>
      </w:r>
      <w:r w:rsidRPr="000131A4">
        <w:tab/>
        <w:t>wara li kk</w:t>
      </w:r>
      <w:r w:rsidR="00DF6811">
        <w:t>onsulta</w:t>
      </w:r>
      <w:r w:rsidRPr="000131A4">
        <w:t xml:space="preserve"> l-opinjoni tal-Kumitat tar-Reġjuni,</w:t>
      </w:r>
    </w:p>
    <w:p w:rsidR="003A7F61" w:rsidRPr="000131A4" w:rsidP="00286D1F" w14:paraId="32D893D3" w14:textId="2DD38748">
      <w:pPr>
        <w:spacing w:after="240"/>
        <w:ind w:left="567" w:hanging="567"/>
      </w:pPr>
      <w:r w:rsidRPr="003A7F61">
        <w:t>–</w:t>
      </w:r>
      <w:r w:rsidRPr="003A7F61">
        <w:tab/>
        <w:t>wara li kkunsidra l-ftehim proviżorju approvat mill-kumitat responsabbli fis-sens tal-Artikolu 75(4) tar-Regoli ta' Proċedura tiegħu u l-impenn meħud mir-rappreżentant tal-Kunsill, permezz tal-ittra tal-</w:t>
      </w:r>
      <w:r>
        <w:t>10</w:t>
      </w:r>
      <w:r w:rsidRPr="003A7F61">
        <w:t xml:space="preserve"> ta' </w:t>
      </w:r>
      <w:r>
        <w:t>Ġunju</w:t>
      </w:r>
      <w:r w:rsidRPr="003A7F61">
        <w:t xml:space="preserve"> </w:t>
      </w:r>
      <w:r>
        <w:t>2026</w:t>
      </w:r>
      <w:r w:rsidRPr="003A7F61">
        <w:t xml:space="preserve">, li japprova l-pożizzjoni tal-Parlament, </w:t>
      </w:r>
      <w:r w:rsidRPr="003A7F61">
        <w:t>skont l-Artikolu 294(4) tat-Trattat dwar il-Funzjonament tal-Unjoni Ewropea,</w:t>
      </w:r>
    </w:p>
    <w:p w:rsidR="00286D1F" w:rsidRPr="000131A4" w:rsidP="00286D1F" w14:paraId="79D95CA1" w14:textId="77777777">
      <w:pPr>
        <w:spacing w:after="240"/>
        <w:ind w:left="567" w:hanging="567"/>
      </w:pPr>
      <w:r w:rsidRPr="000131A4">
        <w:t>–</w:t>
      </w:r>
      <w:r w:rsidRPr="000131A4">
        <w:tab/>
        <w:t>wara li kkunsidra l-Artikolu 60 tar-Regoli ta’ Proċedura tiegħu,</w:t>
      </w:r>
    </w:p>
    <w:p w:rsidR="00286D1F" w:rsidRPr="000131A4" w:rsidP="00286D1F" w14:paraId="22C397EF" w14:textId="77777777">
      <w:pPr>
        <w:spacing w:after="240"/>
        <w:ind w:left="567" w:hanging="567"/>
      </w:pPr>
      <w:r w:rsidRPr="000131A4">
        <w:t>–</w:t>
      </w:r>
      <w:r w:rsidRPr="000131A4">
        <w:tab/>
        <w:t>wara li kkunsidra r-rapport tal-Kumitat għal-Libertajiet Ċivili, il-Ġustizzja u l-Intern (A10-0048/2026),</w:t>
      </w:r>
    </w:p>
    <w:p w:rsidR="00286D1F" w:rsidRPr="000131A4" w:rsidP="00286D1F" w14:paraId="44A860A6" w14:textId="77777777">
      <w:pPr>
        <w:spacing w:after="240"/>
        <w:ind w:left="567" w:hanging="567"/>
      </w:pPr>
      <w:r w:rsidRPr="000131A4">
        <w:t>1.</w:t>
      </w:r>
      <w:r w:rsidRPr="000131A4">
        <w:tab/>
        <w:t>Jadotta l-pożizzjoni fl-ewwel qari li tidher hawn taħt;</w:t>
      </w:r>
    </w:p>
    <w:p w:rsidR="00286D1F" w:rsidRPr="000131A4" w:rsidP="00286D1F" w14:paraId="0A909C52" w14:textId="77777777">
      <w:pPr>
        <w:spacing w:after="240"/>
        <w:ind w:left="567" w:hanging="567"/>
      </w:pPr>
      <w:r w:rsidRPr="000131A4">
        <w:t>2.</w:t>
      </w:r>
      <w:r w:rsidRPr="000131A4">
        <w:tab/>
        <w:t>Jitlob lill-Kummissjoni terġa’ tirreferi l-kwistjoni lill-Parlament jekk tibdel il-proposta tagħha, temendaha b’mod sustanzjali jew ikollha l-ħsieb li temendaha b’mod sustanzjali;</w:t>
      </w:r>
    </w:p>
    <w:p w:rsidR="00286D1F" w:rsidRPr="000131A4" w:rsidP="00286D1F" w14:paraId="68C9AB5C" w14:textId="77777777">
      <w:pPr>
        <w:spacing w:after="240"/>
        <w:ind w:left="567" w:hanging="567"/>
      </w:pPr>
      <w:r w:rsidRPr="000131A4">
        <w:t>3.</w:t>
      </w:r>
      <w:r w:rsidRPr="000131A4">
        <w:tab/>
        <w:t>Jagħti istruzzjonijiet lill-President tiegħu biex tgħaddi l-pożizzjoni tal-Parlament lill-Kunsill u lill-Kummissjoni kif ukoll lill-parlamenti nazzjonali.</w:t>
      </w:r>
    </w:p>
    <w:p w:rsidR="00286D1F" w:rsidRPr="000131A4" w:rsidP="00286D1F" w14:paraId="1BBFE3C2" w14:textId="77777777"/>
    <w:p w:rsidR="00274C5D" w:rsidP="00286D1F" w14:paraId="2BD91453" w14:textId="7777777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  <w:sectPr w:rsidSect="000131A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A7F61" w:rsidRPr="00866EDD" w:rsidP="003A7F61" w14:paraId="713123B5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66EDD">
        <w:rPr>
          <w:rFonts w:eastAsia="Calibri"/>
          <w:b/>
          <w:bCs/>
          <w:color w:val="000000"/>
          <w:szCs w:val="24"/>
        </w:rPr>
        <w:t>P10_TC1-COD(2025)0059</w:t>
      </w:r>
    </w:p>
    <w:p w:rsidR="009A6CD8" w:rsidP="006A2DCE" w14:paraId="7BC3A916" w14:textId="3F8C9BB9">
      <w:pPr>
        <w:rPr>
          <w:b/>
          <w:szCs w:val="24"/>
          <w:lang w:eastAsia="en-US"/>
        </w:rPr>
      </w:pPr>
      <w:bookmarkStart w:id="8" w:name="_Hlk232437425"/>
      <w:r w:rsidRPr="00CE3598">
        <w:rPr>
          <w:rFonts w:eastAsia="Calibri"/>
          <w:b/>
          <w:bCs/>
        </w:rPr>
        <w:t>Pożizzjoni tal-Parlament Ewropew adottata f</w:t>
      </w:r>
      <w:r w:rsidRPr="003A7F61">
        <w:rPr>
          <w:rFonts w:eastAsia="Calibri"/>
          <w:b/>
          <w:bCs/>
        </w:rPr>
        <w:t>l-ewwel qari tas-17</w:t>
      </w:r>
      <w:r w:rsidRPr="003A7F61">
        <w:rPr>
          <w:b/>
        </w:rPr>
        <w:t xml:space="preserve"> </w:t>
      </w:r>
      <w:r w:rsidRPr="003A7F61">
        <w:rPr>
          <w:rFonts w:eastAsia="Calibri"/>
          <w:b/>
          <w:bCs/>
        </w:rPr>
        <w:t xml:space="preserve">ta’ Ġunju 2026 bil-ħsieb tal-adozzjoni tar-Regolament (UE) 2026/... </w:t>
      </w:r>
      <w:r w:rsidRPr="003A7F61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 w:rsidRPr="00CE3598">
        <w:rPr>
          <w:rFonts w:eastAsia="Calibri"/>
          <w:b/>
          <w:szCs w:val="22"/>
        </w:rPr>
        <w:t xml:space="preserve"> </w:t>
      </w:r>
      <w:bookmarkEnd w:id="8"/>
      <w:r w:rsidRPr="00D46D60" w:rsidR="00D46D60">
        <w:rPr>
          <w:b/>
          <w:szCs w:val="24"/>
          <w:lang w:eastAsia="en-US"/>
        </w:rPr>
        <w:t>li jistabbilixxi sistema komuni għar-ritorn ta’ ċittadini ta’ pajjiżi terzi b’</w:t>
      </w:r>
      <w:r w:rsidRPr="00D46D60" w:rsidR="00D46D60">
        <w:rPr>
          <w:b/>
          <w:szCs w:val="24"/>
          <w:lang w:eastAsia="en-US"/>
        </w:rPr>
        <w:t>soġġorn</w:t>
      </w:r>
      <w:r w:rsidRPr="00D46D60" w:rsidR="00D46D60">
        <w:rPr>
          <w:b/>
          <w:szCs w:val="24"/>
          <w:lang w:eastAsia="en-US"/>
        </w:rPr>
        <w:t xml:space="preserve"> illegali fl-Unjoni, u li jħassar id-Direttiva 2008/115/KE tal-Parlament Ewropew u tal-Kunsill, id-Direttiva tal-Kunsill 2001/40/KE u d-Deċiżjoni tal-Kunsill 2004/191/KE</w:t>
      </w:r>
    </w:p>
    <w:p w:rsidR="006A2DCE" w:rsidP="006A2DCE" w14:paraId="27C36A84" w14:textId="77777777">
      <w:pPr>
        <w:rPr>
          <w:rFonts w:eastAsia="Aptos"/>
          <w:noProof/>
          <w:szCs w:val="22"/>
          <w:lang w:val="en-GB"/>
        </w:rPr>
      </w:pPr>
    </w:p>
    <w:p w:rsidR="006A2DCE" w:rsidRPr="006A2DCE" w:rsidP="006A2DCE" w14:paraId="272E0F22" w14:textId="7E64F1D6">
      <w:pPr>
        <w:rPr>
          <w:rFonts w:eastAsia="Aptos"/>
          <w:i/>
          <w:iCs/>
          <w:noProof/>
          <w:szCs w:val="22"/>
          <w:lang w:val="en-GB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>
        <w:rPr>
          <w:i/>
          <w:lang w:val="en-GB"/>
        </w:rPr>
        <w:t>t</w:t>
      </w:r>
      <w:r w:rsidRPr="0050178C">
        <w:rPr>
          <w:i/>
        </w:rPr>
        <w:t>aqbel</w:t>
      </w:r>
      <w:r w:rsidRPr="0050178C">
        <w:rPr>
          <w:i/>
        </w:rPr>
        <w:t xml:space="preserve"> mal-att leġislattiv finali,</w:t>
      </w:r>
      <w:r>
        <w:rPr>
          <w:i/>
        </w:rPr>
        <w:t xml:space="preserve"> r-Regolament</w:t>
      </w:r>
      <w:r>
        <w:rPr>
          <w:i/>
        </w:rPr>
        <w:t xml:space="preserve"> </w:t>
      </w:r>
      <w:r w:rsidRPr="006A2DCE">
        <w:rPr>
          <w:rFonts w:eastAsia="Aptos"/>
          <w:i/>
          <w:iCs/>
          <w:noProof/>
          <w:szCs w:val="22"/>
          <w:lang w:val="en-GB"/>
        </w:rPr>
        <w:t>(U</w:t>
      </w:r>
      <w:r>
        <w:rPr>
          <w:rFonts w:eastAsia="Aptos"/>
          <w:i/>
          <w:iCs/>
          <w:noProof/>
          <w:szCs w:val="22"/>
          <w:lang w:val="en-GB"/>
        </w:rPr>
        <w:t>E</w:t>
      </w:r>
      <w:r w:rsidRPr="006A2DCE">
        <w:rPr>
          <w:rFonts w:eastAsia="Aptos"/>
          <w:i/>
          <w:iCs/>
          <w:noProof/>
          <w:szCs w:val="22"/>
          <w:lang w:val="en-GB"/>
        </w:rPr>
        <w:t>) 2026/2280.)</w:t>
      </w:r>
    </w:p>
    <w:p w:rsidR="006A2DCE" w:rsidRPr="006A2DCE" w:rsidP="006A2DCE" w14:paraId="4F61C150" w14:textId="77777777">
      <w:pPr>
        <w:rPr>
          <w:rFonts w:eastAsia="Aptos"/>
          <w:noProof/>
          <w:szCs w:val="22"/>
          <w:lang w:val="en-GB"/>
        </w:rPr>
      </w:pPr>
    </w:p>
    <w:sectPr w:rsidSect="000131A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31A4" w14:paraId="33D4EE5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31A4" w14:paraId="1BAA226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31A4" w14:paraId="34B6593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02ADB" w:rsidRPr="000131A4" w14:paraId="50DBBCEE" w14:textId="77777777">
      <w:r w:rsidRPr="000131A4">
        <w:separator/>
      </w:r>
    </w:p>
  </w:footnote>
  <w:footnote w:type="continuationSeparator" w:id="1">
    <w:p w:rsidR="00902ADB" w:rsidRPr="000131A4" w14:paraId="28A8D6E6" w14:textId="77777777">
      <w:r w:rsidRPr="000131A4">
        <w:continuationSeparator/>
      </w:r>
    </w:p>
  </w:footnote>
  <w:footnote w:id="2">
    <w:p w:rsidR="00274C5D" w:rsidRPr="003A7F61" w:rsidP="003A7F61" w14:paraId="527240B7" w14:textId="12670186">
      <w:pPr>
        <w:pStyle w:val="FootnoteText"/>
        <w:ind w:left="709" w:hanging="709"/>
        <w:rPr>
          <w:sz w:val="24"/>
          <w:szCs w:val="24"/>
          <w:lang w:val="mt-MT"/>
        </w:rPr>
      </w:pPr>
      <w:r w:rsidRPr="003A7F61">
        <w:rPr>
          <w:rStyle w:val="FootnoteReference"/>
          <w:sz w:val="24"/>
          <w:szCs w:val="24"/>
        </w:rPr>
        <w:footnoteRef/>
      </w:r>
      <w:r w:rsidRPr="00DF6811">
        <w:rPr>
          <w:sz w:val="24"/>
          <w:szCs w:val="24"/>
          <w:lang w:val="fi-FI"/>
        </w:rPr>
        <w:t xml:space="preserve"> </w:t>
      </w:r>
      <w:r w:rsidRPr="003A7F61">
        <w:rPr>
          <w:sz w:val="24"/>
          <w:szCs w:val="24"/>
          <w:lang w:val="mt-MT"/>
        </w:rPr>
        <w:tab/>
      </w:r>
      <w:r w:rsidRPr="003A7F61" w:rsidR="003A7F61">
        <w:rPr>
          <w:sz w:val="24"/>
          <w:szCs w:val="24"/>
          <w:lang w:val="mt-MT"/>
        </w:rPr>
        <w:t xml:space="preserve">ĠU C, C/2026/33, 16.1.2026, ELI: </w:t>
      </w:r>
      <w:hyperlink r:id="rId1" w:history="1">
        <w:r w:rsidRPr="003A7F61" w:rsidR="003A7F61">
          <w:rPr>
            <w:rStyle w:val="Hyperlink"/>
            <w:sz w:val="24"/>
            <w:szCs w:val="24"/>
            <w:lang w:val="mt-MT"/>
          </w:rPr>
          <w:t>http://data.europa.eu/eli/C/2026/33/oj</w:t>
        </w:r>
      </w:hyperlink>
      <w:r w:rsidRPr="003A7F61" w:rsidR="003A7F61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31A4" w14:paraId="6A77E2A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31A4" w14:paraId="4544305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31A4" w14:paraId="60B5728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94BC7F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624650155">
    <w:abstractNumId w:val="11"/>
  </w:num>
  <w:num w:numId="2" w16cid:durableId="472409618">
    <w:abstractNumId w:val="22"/>
  </w:num>
  <w:num w:numId="3" w16cid:durableId="246352801">
    <w:abstractNumId w:val="37"/>
  </w:num>
  <w:num w:numId="4" w16cid:durableId="95109033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0"/>
  </w:num>
  <w:num w:numId="6" w16cid:durableId="1191142020">
    <w:abstractNumId w:val="41"/>
  </w:num>
  <w:num w:numId="7" w16cid:durableId="1234702092">
    <w:abstractNumId w:val="33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29"/>
  </w:num>
  <w:num w:numId="14" w16cid:durableId="1294141786">
    <w:abstractNumId w:val="28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6"/>
  </w:num>
  <w:num w:numId="20" w16cid:durableId="857280154">
    <w:abstractNumId w:val="24"/>
  </w:num>
  <w:num w:numId="21" w16cid:durableId="415976620">
    <w:abstractNumId w:val="38"/>
  </w:num>
  <w:num w:numId="22" w16cid:durableId="1354721482">
    <w:abstractNumId w:val="17"/>
  </w:num>
  <w:num w:numId="23" w16cid:durableId="763040635">
    <w:abstractNumId w:val="25"/>
  </w:num>
  <w:num w:numId="24" w16cid:durableId="1744981924">
    <w:abstractNumId w:val="26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4"/>
  </w:num>
  <w:num w:numId="29" w16cid:durableId="60561001">
    <w:abstractNumId w:val="35"/>
  </w:num>
  <w:num w:numId="30" w16cid:durableId="1035543080">
    <w:abstractNumId w:val="16"/>
  </w:num>
  <w:num w:numId="31" w16cid:durableId="1609313555">
    <w:abstractNumId w:val="31"/>
  </w:num>
  <w:num w:numId="32" w16cid:durableId="418673356">
    <w:abstractNumId w:val="42"/>
    <w:lvlOverride w:ilvl="0">
      <w:startOverride w:val="1"/>
    </w:lvlOverride>
  </w:num>
  <w:num w:numId="33" w16cid:durableId="1380592002">
    <w:abstractNumId w:val="9"/>
  </w:num>
  <w:num w:numId="34" w16cid:durableId="1936786271">
    <w:abstractNumId w:val="7"/>
  </w:num>
  <w:num w:numId="35" w16cid:durableId="2047675292">
    <w:abstractNumId w:val="6"/>
  </w:num>
  <w:num w:numId="36" w16cid:durableId="2096436890">
    <w:abstractNumId w:val="5"/>
  </w:num>
  <w:num w:numId="37" w16cid:durableId="1616596300">
    <w:abstractNumId w:val="4"/>
  </w:num>
  <w:num w:numId="38" w16cid:durableId="781387017">
    <w:abstractNumId w:val="8"/>
  </w:num>
  <w:num w:numId="39" w16cid:durableId="382338851">
    <w:abstractNumId w:val="3"/>
  </w:num>
  <w:num w:numId="40" w16cid:durableId="910232003">
    <w:abstractNumId w:val="2"/>
  </w:num>
  <w:num w:numId="41" w16cid:durableId="1525749851">
    <w:abstractNumId w:val="1"/>
  </w:num>
  <w:num w:numId="42" w16cid:durableId="2079933797">
    <w:abstractNumId w:val="0"/>
  </w:num>
  <w:num w:numId="43" w16cid:durableId="1756314835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BE"/>
    <w:rsid w:val="00002272"/>
    <w:rsid w:val="000131A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C5D"/>
    <w:rsid w:val="002767FF"/>
    <w:rsid w:val="00286D1F"/>
    <w:rsid w:val="00291DA0"/>
    <w:rsid w:val="002B18FE"/>
    <w:rsid w:val="002B5493"/>
    <w:rsid w:val="003271D4"/>
    <w:rsid w:val="00343214"/>
    <w:rsid w:val="00361C00"/>
    <w:rsid w:val="00395FA1"/>
    <w:rsid w:val="003A7F61"/>
    <w:rsid w:val="003E15D4"/>
    <w:rsid w:val="003E63D5"/>
    <w:rsid w:val="00411CCE"/>
    <w:rsid w:val="0041666E"/>
    <w:rsid w:val="00421060"/>
    <w:rsid w:val="00442CDC"/>
    <w:rsid w:val="00471C19"/>
    <w:rsid w:val="004867E3"/>
    <w:rsid w:val="00494A28"/>
    <w:rsid w:val="004B5CF5"/>
    <w:rsid w:val="004C0004"/>
    <w:rsid w:val="004C5D52"/>
    <w:rsid w:val="0050178C"/>
    <w:rsid w:val="005042D4"/>
    <w:rsid w:val="0050519A"/>
    <w:rsid w:val="005072A1"/>
    <w:rsid w:val="00514517"/>
    <w:rsid w:val="00545827"/>
    <w:rsid w:val="00560270"/>
    <w:rsid w:val="005C2568"/>
    <w:rsid w:val="005C306A"/>
    <w:rsid w:val="005F1B17"/>
    <w:rsid w:val="006037C0"/>
    <w:rsid w:val="006631B6"/>
    <w:rsid w:val="00680577"/>
    <w:rsid w:val="006A2DC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EDD"/>
    <w:rsid w:val="00881A7B"/>
    <w:rsid w:val="008840E5"/>
    <w:rsid w:val="00887B3E"/>
    <w:rsid w:val="008C2AC6"/>
    <w:rsid w:val="008C746F"/>
    <w:rsid w:val="008F4CBE"/>
    <w:rsid w:val="00902ADB"/>
    <w:rsid w:val="00930C23"/>
    <w:rsid w:val="0093193B"/>
    <w:rsid w:val="009509D8"/>
    <w:rsid w:val="00950B64"/>
    <w:rsid w:val="00981893"/>
    <w:rsid w:val="009A6CD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E3598"/>
    <w:rsid w:val="00CE650D"/>
    <w:rsid w:val="00CF071A"/>
    <w:rsid w:val="00D058B8"/>
    <w:rsid w:val="00D46D60"/>
    <w:rsid w:val="00D56C11"/>
    <w:rsid w:val="00D834A0"/>
    <w:rsid w:val="00D872DF"/>
    <w:rsid w:val="00D91E21"/>
    <w:rsid w:val="00DA7FCD"/>
    <w:rsid w:val="00DC56E7"/>
    <w:rsid w:val="00DF6811"/>
    <w:rsid w:val="00E365E1"/>
    <w:rsid w:val="00E624C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48/2026"/>
    <w:docVar w:name="dvlangue" w:val="MT"/>
    <w:docVar w:name="dvnumam" w:val="0"/>
    <w:docVar w:name="dvpe" w:val="779.352"/>
    <w:docVar w:name="dvrapporteur" w:val="Rapporteur: "/>
    <w:docVar w:name="dvstar" w:val="***I"/>
    <w:docVar w:name="dvtitre" w:val="Riżoluzzjoni leġiżlattiva tal-Parlament Ewropew xx xx xxxx 2026 dwar il-proposta tal-Kummissjoni għal regolament tal-Parlament Ewropew u tal-Kunsill li jistabbilixxi sistema komuni għar-ritorn ta’ ċittadini ta’ pajjiżi terzi li jkunu qegħdin illegalment fl-Unjoni, u li jħassar id-Direttiva 2008/115/KE tal-Parlament Ewropew u tal-Kunsill, id-Direttiva tal-Kunsill 2001/40/KE u d-Deċiżjoni tal-Kunsill 2004/191/KE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C6D57C"/>
  <w15:chartTrackingRefBased/>
  <w15:docId w15:val="{E5920045-0765-423E-9481-816D09B1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iPriority="99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86D1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86D1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86D1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86D1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86D1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86D1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286D1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86D1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86D1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86D1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86D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86D1F"/>
    <w:pPr>
      <w:spacing w:before="480" w:after="240"/>
    </w:pPr>
  </w:style>
  <w:style w:type="paragraph" w:customStyle="1" w:styleId="TOCPage">
    <w:name w:val="TOC Page"/>
    <w:basedOn w:val="Normal"/>
    <w:next w:val="TOC1"/>
    <w:rsid w:val="00286D1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286D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86D1F"/>
    <w:rPr>
      <w:b/>
    </w:rPr>
  </w:style>
  <w:style w:type="paragraph" w:customStyle="1" w:styleId="NormalBold12a">
    <w:name w:val="NormalBold12a"/>
    <w:basedOn w:val="Normal"/>
    <w:rsid w:val="00286D1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86D1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86D1F"/>
    <w:pPr>
      <w:spacing w:after="480"/>
      <w:ind w:left="1417"/>
    </w:pPr>
  </w:style>
  <w:style w:type="paragraph" w:customStyle="1" w:styleId="CoverNormal">
    <w:name w:val="CoverNormal"/>
    <w:basedOn w:val="Normal"/>
    <w:rsid w:val="00286D1F"/>
    <w:pPr>
      <w:ind w:left="1418"/>
    </w:pPr>
  </w:style>
  <w:style w:type="paragraph" w:customStyle="1" w:styleId="NormalCenter12a">
    <w:name w:val="NormalCenter12a"/>
    <w:basedOn w:val="Normal"/>
    <w:rsid w:val="00286D1F"/>
    <w:pPr>
      <w:spacing w:after="240"/>
      <w:jc w:val="center"/>
    </w:pPr>
  </w:style>
  <w:style w:type="paragraph" w:customStyle="1" w:styleId="CoverReference">
    <w:name w:val="CoverReference"/>
    <w:basedOn w:val="Normal"/>
    <w:rsid w:val="00286D1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86D1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86D1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6D1F"/>
    <w:pPr>
      <w:spacing w:before="240" w:after="1200"/>
    </w:pPr>
  </w:style>
  <w:style w:type="paragraph" w:styleId="Header">
    <w:name w:val="header"/>
    <w:basedOn w:val="Normal"/>
    <w:link w:val="HeaderChar"/>
    <w:rsid w:val="00286D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6D1F"/>
    <w:rPr>
      <w:sz w:val="24"/>
      <w:lang w:val="mt-MT"/>
    </w:rPr>
  </w:style>
  <w:style w:type="paragraph" w:customStyle="1" w:styleId="AmNumberTabs">
    <w:name w:val="AmNumberTabs"/>
    <w:basedOn w:val="Normal"/>
    <w:rsid w:val="00286D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86D1F"/>
    <w:pPr>
      <w:spacing w:before="720" w:after="240"/>
      <w:jc w:val="center"/>
    </w:pPr>
  </w:style>
  <w:style w:type="paragraph" w:customStyle="1" w:styleId="EPBody">
    <w:name w:val="EPBody"/>
    <w:basedOn w:val="Normal"/>
    <w:rsid w:val="00286D1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86D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286D1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86D1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86D1F"/>
    <w:pPr>
      <w:ind w:left="0" w:firstLine="0"/>
    </w:pPr>
  </w:style>
  <w:style w:type="paragraph" w:styleId="Revision">
    <w:name w:val="Revision"/>
    <w:hidden/>
    <w:uiPriority w:val="99"/>
    <w:semiHidden/>
    <w:rsid w:val="00286D1F"/>
    <w:rPr>
      <w:sz w:val="24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286D1F"/>
  </w:style>
  <w:style w:type="character" w:styleId="Hyperlink">
    <w:name w:val="Hyperlink"/>
    <w:unhideWhenUsed/>
    <w:rsid w:val="00286D1F"/>
    <w:rPr>
      <w:color w:val="auto"/>
      <w:u w:val="none"/>
    </w:rPr>
  </w:style>
  <w:style w:type="character" w:styleId="FollowedHyperlink">
    <w:name w:val="FollowedHyperlink"/>
    <w:unhideWhenUsed/>
    <w:rsid w:val="00286D1F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286D1F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286D1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286D1F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286D1F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286D1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86D1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86D1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86D1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86D1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86D1F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286D1F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D1F"/>
    <w:rPr>
      <w:lang w:val="mt-MT"/>
    </w:rPr>
  </w:style>
  <w:style w:type="paragraph" w:styleId="Footer">
    <w:name w:val="footer"/>
    <w:basedOn w:val="Normal"/>
    <w:link w:val="FooterChar"/>
    <w:unhideWhenUsed/>
    <w:rsid w:val="00286D1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286D1F"/>
    <w:rPr>
      <w:rFonts w:eastAsia="Calibri"/>
      <w:sz w:val="24"/>
      <w:szCs w:val="22"/>
      <w:lang w:val="mt-MT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286D1F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286D1F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286D1F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86D1F"/>
    <w:rPr>
      <w:rFonts w:eastAsia="Calibri"/>
      <w:lang w:val="mt-MT" w:eastAsia="en-US"/>
    </w:rPr>
  </w:style>
  <w:style w:type="paragraph" w:styleId="ListBullet">
    <w:name w:val="List Bullet"/>
    <w:basedOn w:val="Normal"/>
    <w:uiPriority w:val="99"/>
    <w:unhideWhenUsed/>
    <w:rsid w:val="00286D1F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286D1F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286D1F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286D1F"/>
    <w:pPr>
      <w:widowControl/>
      <w:numPr>
        <w:numId w:val="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286D1F"/>
    <w:pPr>
      <w:widowControl/>
      <w:numPr>
        <w:numId w:val="7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286D1F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286D1F"/>
    <w:pPr>
      <w:widowControl/>
      <w:numPr>
        <w:numId w:val="9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286D1F"/>
    <w:pPr>
      <w:widowControl/>
      <w:numPr>
        <w:numId w:val="10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286D1F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86D1F"/>
    <w:rPr>
      <w:rFonts w:ascii="Aptos Display" w:hAnsi="Aptos Display"/>
      <w:spacing w:val="-10"/>
      <w:kern w:val="28"/>
      <w:sz w:val="56"/>
      <w:szCs w:val="56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D1F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86D1F"/>
    <w:rPr>
      <w:rFonts w:ascii="Calibri" w:hAnsi="Calibri"/>
      <w:color w:val="595959"/>
      <w:spacing w:val="15"/>
      <w:sz w:val="28"/>
      <w:szCs w:val="28"/>
      <w:lang w:val="mt-MT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86D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86D1F"/>
    <w:rPr>
      <w:b/>
      <w:bCs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286D1F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86D1F"/>
    <w:rPr>
      <w:rFonts w:ascii="Tahoma" w:hAnsi="Tahoma" w:cs="Tahoma"/>
      <w:sz w:val="16"/>
      <w:szCs w:val="16"/>
      <w:lang w:val="mt-MT"/>
    </w:rPr>
  </w:style>
  <w:style w:type="paragraph" w:styleId="ListParagraph">
    <w:name w:val="List Paragraph"/>
    <w:basedOn w:val="Normal"/>
    <w:uiPriority w:val="34"/>
    <w:qFormat/>
    <w:rsid w:val="00286D1F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86D1F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86D1F"/>
    <w:rPr>
      <w:rFonts w:ascii="Calibri" w:eastAsia="Calibri" w:hAnsi="Calibri"/>
      <w:i/>
      <w:iCs/>
      <w:color w:val="404040"/>
      <w:sz w:val="22"/>
      <w:szCs w:val="22"/>
      <w:lang w:val="mt-MT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286D1F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D1F"/>
    <w:rPr>
      <w:rFonts w:ascii="Calibri" w:eastAsia="Calibri" w:hAnsi="Calibri"/>
      <w:i/>
      <w:iCs/>
      <w:color w:val="0F4761"/>
      <w:sz w:val="22"/>
      <w:szCs w:val="22"/>
      <w:lang w:val="mt-MT" w:eastAsia="en-US"/>
    </w:rPr>
  </w:style>
  <w:style w:type="paragraph" w:customStyle="1" w:styleId="ListBullet1">
    <w:name w:val="List Bullet 1"/>
    <w:basedOn w:val="Normal"/>
    <w:uiPriority w:val="99"/>
    <w:semiHidden/>
    <w:rsid w:val="00286D1F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286D1F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286D1F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286D1F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286D1F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286D1F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286D1F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286D1F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286D1F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286D1F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286D1F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286D1F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286D1F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286D1F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286D1F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286D1F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286D1F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286D1F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286D1F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286D1F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286D1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286D1F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286D1F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286D1F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286D1F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286D1F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286D1F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286D1F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286D1F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286D1F"/>
  </w:style>
  <w:style w:type="character" w:customStyle="1" w:styleId="FooterCoverPageChar">
    <w:name w:val="Footer Cover Page Char"/>
    <w:link w:val="FooterCoverPage"/>
    <w:semiHidden/>
    <w:locked/>
    <w:rsid w:val="00286D1F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286D1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286D1F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286D1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286D1F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286D1F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286D1F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286D1F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286D1F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286D1F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286D1F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286D1F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286D1F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uiPriority w:val="99"/>
    <w:semiHidden/>
    <w:rsid w:val="00286D1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286D1F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286D1F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286D1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286D1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286D1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286D1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286D1F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286D1F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286D1F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286D1F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286D1F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286D1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286D1F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286D1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286D1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286D1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286D1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286D1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286D1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286D1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286D1F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286D1F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286D1F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286D1F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286D1F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286D1F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286D1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286D1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286D1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286D1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286D1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286D1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286D1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286D1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286D1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286D1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286D1F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286D1F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286D1F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286D1F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286D1F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286D1F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286D1F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286D1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286D1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286D1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286D1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286D1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286D1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286D1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286D1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286D1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286D1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286D1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286D1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286D1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286D1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286D1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286D1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286D1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286D1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286D1F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286D1F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286D1F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286D1F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286D1F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286D1F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286D1F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286D1F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286D1F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286D1F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286D1F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286D1F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286D1F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286D1F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286D1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286D1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286D1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286D1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86D1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286D1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286D1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286D1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286D1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286D1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286D1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286D1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86D1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86D1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286D1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286D1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286D1F"/>
  </w:style>
  <w:style w:type="paragraph" w:customStyle="1" w:styleId="Considrant">
    <w:name w:val="Considérant"/>
    <w:basedOn w:val="Normal"/>
    <w:rsid w:val="00286D1F"/>
    <w:pPr>
      <w:widowControl/>
      <w:numPr>
        <w:numId w:val="32"/>
      </w:numPr>
      <w:tabs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286D1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86D1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286D1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86D1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286D1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86D1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86D1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286D1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286D1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286D1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86D1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86D1F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286D1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286D1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286D1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286D1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286D1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286D1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286D1F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286D1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286D1F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286D1F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286D1F"/>
  </w:style>
  <w:style w:type="paragraph" w:customStyle="1" w:styleId="Volume">
    <w:name w:val="Volume"/>
    <w:basedOn w:val="Normal"/>
    <w:next w:val="Confidentialit"/>
    <w:uiPriority w:val="99"/>
    <w:semiHidden/>
    <w:rsid w:val="00286D1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286D1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286D1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286D1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286D1F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286D1F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286D1F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286D1F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286D1F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286D1F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286D1F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286D1F"/>
    <w:rPr>
      <w:b/>
      <w:bCs/>
      <w:smallCaps/>
      <w:color w:val="4F81BD"/>
      <w:spacing w:val="5"/>
    </w:rPr>
  </w:style>
  <w:style w:type="character" w:customStyle="1" w:styleId="tw4winMark">
    <w:name w:val="tw4winMark"/>
    <w:rsid w:val="00286D1F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286D1F"/>
    <w:rPr>
      <w:rFonts w:ascii="Times New Roman" w:hAnsi="Times New Roman" w:cs="Times New Roman" w:hint="default"/>
      <w:b/>
      <w:bCs w:val="0"/>
      <w:sz w:val="28"/>
      <w:lang w:val="mt-MT"/>
    </w:rPr>
  </w:style>
  <w:style w:type="character" w:customStyle="1" w:styleId="FooterSensitivityChar">
    <w:name w:val="Footer Sensitivity Char"/>
    <w:rsid w:val="00286D1F"/>
    <w:rPr>
      <w:rFonts w:ascii="Times New Roman" w:hAnsi="Times New Roman" w:cs="Times New Roman" w:hint="default"/>
      <w:b/>
      <w:bCs w:val="0"/>
      <w:sz w:val="32"/>
      <w:lang w:val="mt-MT"/>
    </w:rPr>
  </w:style>
  <w:style w:type="character" w:customStyle="1" w:styleId="HeaderSensitivityChar">
    <w:name w:val="Header Sensitivity Char"/>
    <w:rsid w:val="00286D1F"/>
    <w:rPr>
      <w:rFonts w:ascii="Times New Roman" w:hAnsi="Times New Roman" w:cs="Times New Roman" w:hint="default"/>
      <w:b/>
      <w:bCs w:val="0"/>
      <w:sz w:val="32"/>
      <w:lang w:val="mt-MT"/>
    </w:rPr>
  </w:style>
  <w:style w:type="character" w:customStyle="1" w:styleId="HeaderSensitivityRightChar">
    <w:name w:val="Header Sensitivity Right Char"/>
    <w:rsid w:val="00286D1F"/>
    <w:rPr>
      <w:rFonts w:ascii="Times New Roman" w:hAnsi="Times New Roman" w:cs="Times New Roman" w:hint="default"/>
      <w:sz w:val="28"/>
      <w:lang w:val="mt-MT"/>
    </w:rPr>
  </w:style>
  <w:style w:type="character" w:customStyle="1" w:styleId="UnresolvedMention1">
    <w:name w:val="Unresolved Mention1"/>
    <w:basedOn w:val="DefaultParagraphFont"/>
    <w:uiPriority w:val="99"/>
    <w:semiHidden/>
    <w:rsid w:val="00286D1F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286D1F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286D1F"/>
  </w:style>
  <w:style w:type="character" w:customStyle="1" w:styleId="eop">
    <w:name w:val="eop"/>
    <w:basedOn w:val="DefaultParagraphFont"/>
    <w:rsid w:val="00286D1F"/>
  </w:style>
  <w:style w:type="character" w:customStyle="1" w:styleId="diff-single-moved-from">
    <w:name w:val="diff-single-moved-from"/>
    <w:basedOn w:val="DefaultParagraphFont"/>
    <w:rsid w:val="00286D1F"/>
  </w:style>
  <w:style w:type="character" w:customStyle="1" w:styleId="diff-single-moved-from-number">
    <w:name w:val="diff-single-moved-from-number"/>
    <w:basedOn w:val="DefaultParagraphFont"/>
    <w:rsid w:val="00286D1F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286D1F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286D1F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286D1F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286D1F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286D1F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286D1F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286D1F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286D1F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286D1F"/>
  </w:style>
  <w:style w:type="character" w:customStyle="1" w:styleId="HeaderChar1">
    <w:name w:val="Header Char1"/>
    <w:basedOn w:val="DefaultParagraphFont"/>
    <w:uiPriority w:val="99"/>
    <w:semiHidden/>
    <w:rsid w:val="00286D1F"/>
    <w:rPr>
      <w:rFonts w:ascii="Times New Roman" w:hAnsi="Times New Roman" w:cs="Times New Roman" w:hint="default"/>
      <w:kern w:val="0"/>
      <w:sz w:val="24"/>
      <w:lang w:val="mt-MT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286D1F"/>
    <w:rPr>
      <w:rFonts w:ascii="Times New Roman" w:hAnsi="Times New Roman" w:cs="Times New Roman" w:hint="default"/>
      <w:kern w:val="0"/>
      <w:sz w:val="24"/>
      <w:lang w:val="mt-MT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286D1F"/>
    <w:rPr>
      <w:rFonts w:ascii="Cambria" w:eastAsia="Times New Roman" w:hAnsi="Cambria" w:cs="Times New Roman" w:hint="default"/>
      <w:color w:val="272727"/>
      <w:sz w:val="21"/>
      <w:szCs w:val="21"/>
      <w:lang w:val="mt-MT"/>
    </w:rPr>
  </w:style>
  <w:style w:type="character" w:customStyle="1" w:styleId="Heading9Char1">
    <w:name w:val="Heading 9 Char1"/>
    <w:basedOn w:val="DefaultParagraphFont"/>
    <w:uiPriority w:val="9"/>
    <w:semiHidden/>
    <w:rsid w:val="00286D1F"/>
    <w:rPr>
      <w:rFonts w:ascii="Cambria" w:eastAsia="Times New Roman" w:hAnsi="Cambria" w:cs="Times New Roman" w:hint="default"/>
      <w:i/>
      <w:iCs/>
      <w:color w:val="272727"/>
      <w:sz w:val="21"/>
      <w:szCs w:val="21"/>
      <w:lang w:val="mt-MT"/>
    </w:rPr>
  </w:style>
  <w:style w:type="character" w:customStyle="1" w:styleId="TitleChar1">
    <w:name w:val="Title Char1"/>
    <w:basedOn w:val="DefaultParagraphFont"/>
    <w:uiPriority w:val="10"/>
    <w:rsid w:val="00286D1F"/>
    <w:rPr>
      <w:rFonts w:ascii="Cambria" w:eastAsia="Times New Roman" w:hAnsi="Cambria" w:cs="Times New Roman" w:hint="default"/>
      <w:spacing w:val="-10"/>
      <w:kern w:val="28"/>
      <w:sz w:val="56"/>
      <w:szCs w:val="56"/>
      <w:lang w:val="mt-MT"/>
    </w:rPr>
  </w:style>
  <w:style w:type="character" w:customStyle="1" w:styleId="SubtitleChar1">
    <w:name w:val="Subtitle Char1"/>
    <w:basedOn w:val="DefaultParagraphFont"/>
    <w:uiPriority w:val="11"/>
    <w:rsid w:val="00286D1F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mt-MT"/>
    </w:rPr>
  </w:style>
  <w:style w:type="character" w:customStyle="1" w:styleId="QuoteChar1">
    <w:name w:val="Quote Char1"/>
    <w:basedOn w:val="DefaultParagraphFont"/>
    <w:uiPriority w:val="29"/>
    <w:rsid w:val="00286D1F"/>
    <w:rPr>
      <w:rFonts w:ascii="Times New Roman" w:hAnsi="Times New Roman" w:cs="Times New Roman" w:hint="default"/>
      <w:i/>
      <w:iCs/>
      <w:color w:val="404040"/>
      <w:sz w:val="24"/>
      <w:lang w:val="mt-MT"/>
    </w:rPr>
  </w:style>
  <w:style w:type="character" w:customStyle="1" w:styleId="IntenseQuoteChar1">
    <w:name w:val="Intense Quote Char1"/>
    <w:basedOn w:val="DefaultParagraphFont"/>
    <w:uiPriority w:val="30"/>
    <w:rsid w:val="00286D1F"/>
    <w:rPr>
      <w:rFonts w:ascii="Times New Roman" w:hAnsi="Times New Roman" w:cs="Times New Roman" w:hint="default"/>
      <w:i/>
      <w:iCs/>
      <w:color w:val="365F91"/>
      <w:sz w:val="24"/>
      <w:lang w:val="mt-MT"/>
    </w:rPr>
  </w:style>
  <w:style w:type="character" w:customStyle="1" w:styleId="superscript">
    <w:name w:val="superscript"/>
    <w:basedOn w:val="DefaultParagraphFont"/>
    <w:rsid w:val="00286D1F"/>
  </w:style>
  <w:style w:type="character" w:customStyle="1" w:styleId="Marker">
    <w:name w:val="Marker"/>
    <w:basedOn w:val="DefaultParagraphFont"/>
    <w:rsid w:val="00286D1F"/>
    <w:rPr>
      <w:color w:val="0000FF"/>
    </w:rPr>
  </w:style>
  <w:style w:type="character" w:customStyle="1" w:styleId="Marker1">
    <w:name w:val="Marker1"/>
    <w:basedOn w:val="DefaultParagraphFont"/>
    <w:rsid w:val="00286D1F"/>
    <w:rPr>
      <w:color w:val="008000"/>
    </w:rPr>
  </w:style>
  <w:style w:type="character" w:customStyle="1" w:styleId="Marker2">
    <w:name w:val="Marker2"/>
    <w:basedOn w:val="DefaultParagraphFont"/>
    <w:rsid w:val="00286D1F"/>
    <w:rPr>
      <w:color w:val="FF0000"/>
    </w:rPr>
  </w:style>
  <w:style w:type="character" w:customStyle="1" w:styleId="Added">
    <w:name w:val="Added"/>
    <w:basedOn w:val="DefaultParagraphFont"/>
    <w:rsid w:val="00286D1F"/>
    <w:rPr>
      <w:b/>
      <w:bCs w:val="0"/>
      <w:u w:val="single"/>
    </w:rPr>
  </w:style>
  <w:style w:type="character" w:customStyle="1" w:styleId="Deleted">
    <w:name w:val="Deleted"/>
    <w:basedOn w:val="DefaultParagraphFont"/>
    <w:rsid w:val="00286D1F"/>
    <w:rPr>
      <w:strike/>
    </w:rPr>
  </w:style>
  <w:style w:type="table" w:customStyle="1" w:styleId="TableGrid1">
    <w:name w:val="Table Grid1"/>
    <w:basedOn w:val="TableNormal"/>
    <w:next w:val="TableGrid"/>
    <w:rsid w:val="00286D1F"/>
    <w:pPr>
      <w:spacing w:before="120" w:after="120"/>
      <w:jc w:val="both"/>
    </w:pPr>
    <w:rPr>
      <w:lang w:val="mt-MT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286D1F"/>
    <w:rPr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286D1F"/>
    <w:pPr>
      <w:numPr>
        <w:ilvl w:val="1"/>
        <w:numId w:val="9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286D1F"/>
    <w:pPr>
      <w:numPr>
        <w:ilvl w:val="1"/>
        <w:numId w:val="10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286D1F"/>
    <w:pPr>
      <w:numPr>
        <w:ilvl w:val="2"/>
        <w:numId w:val="9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286D1F"/>
    <w:pPr>
      <w:numPr>
        <w:ilvl w:val="2"/>
        <w:numId w:val="10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286D1F"/>
    <w:pPr>
      <w:numPr>
        <w:ilvl w:val="3"/>
        <w:numId w:val="9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286D1F"/>
    <w:pPr>
      <w:numPr>
        <w:ilvl w:val="3"/>
        <w:numId w:val="10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D1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286D1F"/>
    <w:rPr>
      <w:i/>
      <w:iCs/>
      <w:color w:val="5B9BD5" w:themeColor="accent1"/>
      <w:sz w:val="24"/>
      <w:lang w:val="mt-MT"/>
    </w:rPr>
  </w:style>
  <w:style w:type="character" w:styleId="IntenseEmphasis">
    <w:name w:val="Intense Emphasis"/>
    <w:basedOn w:val="DefaultParagraphFont"/>
    <w:uiPriority w:val="21"/>
    <w:qFormat/>
    <w:rsid w:val="00286D1F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286D1F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286D1F"/>
    <w:pPr>
      <w:spacing w:after="480"/>
    </w:pPr>
  </w:style>
  <w:style w:type="paragraph" w:customStyle="1" w:styleId="NormalBoldCenter">
    <w:name w:val="NormalBoldCenter"/>
    <w:basedOn w:val="Normal"/>
    <w:rsid w:val="00286D1F"/>
    <w:pPr>
      <w:jc w:val="center"/>
    </w:pPr>
    <w:rPr>
      <w:b/>
    </w:rPr>
  </w:style>
  <w:style w:type="paragraph" w:customStyle="1" w:styleId="Footprint12b">
    <w:name w:val="Footprint12b"/>
    <w:basedOn w:val="Normal"/>
    <w:rsid w:val="00286D1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86D1F"/>
    <w:rPr>
      <w:szCs w:val="24"/>
    </w:rPr>
  </w:style>
  <w:style w:type="paragraph" w:customStyle="1" w:styleId="title-bold">
    <w:name w:val="title-bold"/>
    <w:basedOn w:val="Normal"/>
    <w:rsid w:val="00286D1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286D1F"/>
    <w:pPr>
      <w:spacing w:after="240"/>
    </w:pPr>
  </w:style>
  <w:style w:type="paragraph" w:customStyle="1" w:styleId="RollCallVotes">
    <w:name w:val="RollCallVotes"/>
    <w:basedOn w:val="Normal"/>
    <w:rsid w:val="00286D1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86D1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86D1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86D1F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86D1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286D1F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286D1F"/>
    <w:rPr>
      <w:rFonts w:ascii="Consolas" w:hAnsi="Consolas"/>
      <w:lang w:val="mt-MT"/>
    </w:rPr>
  </w:style>
  <w:style w:type="paragraph" w:customStyle="1" w:styleId="Normal12">
    <w:name w:val="Normal12"/>
    <w:basedOn w:val="Normal"/>
    <w:qFormat/>
    <w:rsid w:val="00286D1F"/>
    <w:pPr>
      <w:spacing w:after="240"/>
    </w:pPr>
    <w:rPr>
      <w:snapToGrid w:val="0"/>
      <w:lang w:eastAsia="en-US"/>
    </w:rPr>
  </w:style>
  <w:style w:type="paragraph" w:customStyle="1" w:styleId="LineSingle">
    <w:name w:val="LineSingle"/>
    <w:basedOn w:val="Normal"/>
    <w:next w:val="Normal"/>
    <w:rsid w:val="009A6CD8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9A6CD8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9A6CD8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9A6CD8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9A6CD8"/>
    <w:pPr>
      <w:jc w:val="center"/>
    </w:pPr>
  </w:style>
  <w:style w:type="paragraph" w:customStyle="1" w:styleId="HeadingReferenceERCO">
    <w:name w:val="HeadingReferenceERCO"/>
    <w:basedOn w:val="Normal"/>
    <w:rsid w:val="009A6CD8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9A6CD8"/>
    <w:pPr>
      <w:spacing w:before="240" w:after="240"/>
    </w:pPr>
  </w:style>
  <w:style w:type="paragraph" w:customStyle="1" w:styleId="AmDocTypeTab">
    <w:name w:val="AmDocTypeTab"/>
    <w:basedOn w:val="Normal"/>
    <w:rsid w:val="003A7F61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3A7F61"/>
    <w:pPr>
      <w:spacing w:before="240" w:after="240"/>
      <w:jc w:val="right"/>
    </w:pPr>
  </w:style>
  <w:style w:type="paragraph" w:customStyle="1" w:styleId="AmDateTab">
    <w:name w:val="AmDateTab"/>
    <w:basedOn w:val="Normal"/>
    <w:rsid w:val="003A7F61"/>
    <w:pPr>
      <w:tabs>
        <w:tab w:val="right" w:pos="9072"/>
      </w:tabs>
    </w:pPr>
  </w:style>
  <w:style w:type="paragraph" w:customStyle="1" w:styleId="Normal3a">
    <w:name w:val="Normal3a"/>
    <w:basedOn w:val="Normal"/>
    <w:rsid w:val="003A7F61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3A7F61"/>
    <w:pPr>
      <w:keepLines/>
      <w:spacing w:line="240" w:lineRule="exact"/>
      <w:ind w:left="850" w:hanging="850"/>
    </w:pPr>
    <w:rPr>
      <w:sz w:val="24"/>
      <w:lang w:val="mt-MT" w:eastAsia="en-US"/>
    </w:rPr>
  </w:style>
  <w:style w:type="character" w:customStyle="1" w:styleId="Footer2">
    <w:name w:val="Footer2"/>
    <w:rsid w:val="003A7F61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3A7F61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A7F61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A7F6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3A7F61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3A7F61"/>
    <w:pPr>
      <w:spacing w:before="120" w:after="120" w:line="360" w:lineRule="auto"/>
    </w:pPr>
    <w:rPr>
      <w:sz w:val="24"/>
      <w:lang w:val="mt-MT" w:eastAsia="en-US"/>
    </w:rPr>
  </w:style>
  <w:style w:type="character" w:customStyle="1" w:styleId="CMissingStyle">
    <w:name w:val="C_MissingStyle"/>
    <w:rsid w:val="003A7F61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A7F61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3A7F61"/>
    <w:rPr>
      <w:color w:val="0000FF"/>
      <w:u w:val="single"/>
    </w:rPr>
  </w:style>
  <w:style w:type="character" w:customStyle="1" w:styleId="FollowedHyperlink1">
    <w:name w:val="FollowedHyperlink1"/>
    <w:basedOn w:val="DefaultParagraphFont"/>
    <w:rsid w:val="003A7F6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2026-10-16T08:18:00Z</dcterms:created>
  <dcterms:modified xsi:type="dcterms:W3CDTF">2026-10-16T08:18:00Z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