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2AF636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CF6D3A" w:rsidP="0010095E" w14:paraId="57081426" w14:textId="77777777">
            <w:pPr>
              <w:pStyle w:val="EPName"/>
            </w:pPr>
            <w:r w:rsidRPr="00CF6D3A">
              <w:t xml:space="preserve">Parlamento </w:t>
            </w:r>
            <w:r w:rsidRPr="00CF6D3A">
              <w:t>Europeu</w:t>
            </w:r>
          </w:p>
          <w:p w:rsidR="00751A4A" w:rsidRPr="00CF6D3A" w:rsidP="005F1B17" w14:paraId="6BF9DFA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6D3A">
              <w:t>2024</w:t>
            </w:r>
            <w:r w:rsidRPr="00CF6D3A" w:rsidR="00817416">
              <w:t>-202</w:t>
            </w:r>
            <w:r w:rsidRPr="00CF6D3A">
              <w:t>9</w:t>
            </w:r>
          </w:p>
        </w:tc>
        <w:tc>
          <w:tcPr>
            <w:tcW w:w="2268" w:type="dxa"/>
          </w:tcPr>
          <w:p w:rsidR="00751A4A" w:rsidRPr="00CF6D3A" w:rsidP="0010095E" w14:paraId="6C06F9F0" w14:textId="77777777">
            <w:pPr>
              <w:pStyle w:val="EPLogo"/>
            </w:pPr>
            <w:r w:rsidRPr="00CF6D3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6D3A" w:rsidP="004C5D52" w14:paraId="7D851997" w14:textId="77777777">
      <w:pPr>
        <w:pStyle w:val="LineTop"/>
      </w:pPr>
    </w:p>
    <w:p w:rsidR="00680577" w:rsidRPr="00CF6D3A" w:rsidP="00680577" w14:paraId="7633B861" w14:textId="77777777">
      <w:pPr>
        <w:pStyle w:val="EPBodyTA1"/>
      </w:pPr>
      <w:r w:rsidRPr="00CF6D3A">
        <w:t>TEXTOS APROVADOS</w:t>
      </w:r>
    </w:p>
    <w:p w:rsidR="00D058B8" w:rsidRPr="00CF6D3A" w:rsidP="00D058B8" w14:paraId="39354B43" w14:textId="77777777">
      <w:pPr>
        <w:pStyle w:val="LineBottom"/>
      </w:pPr>
    </w:p>
    <w:p w:rsidR="009F001A" w:rsidRPr="00CF6D3A" w:rsidP="009F001A" w14:paraId="4C952414" w14:textId="6930F5CB">
      <w:pPr>
        <w:pStyle w:val="ATHeading1"/>
      </w:pPr>
      <w:bookmarkStart w:id="0" w:name="TANumber"/>
      <w:r w:rsidRPr="00CF6D3A">
        <w:t>P10_TA(2026)0</w:t>
      </w:r>
      <w:r w:rsidR="00CD1806">
        <w:t>207</w:t>
      </w:r>
      <w:bookmarkEnd w:id="0"/>
    </w:p>
    <w:p w:rsidR="009F001A" w:rsidRPr="00CF6D3A" w:rsidP="009F001A" w14:paraId="1095EBD6" w14:textId="216F1EDE">
      <w:pPr>
        <w:pStyle w:val="ATHeading2"/>
      </w:pPr>
      <w:bookmarkStart w:id="1" w:name="title"/>
      <w:r w:rsidRPr="00CF6D3A">
        <w:t>Sistema comum de regresso dos nacionais de países terceiros em situação irregular na União</w:t>
      </w:r>
      <w:bookmarkEnd w:id="1"/>
      <w:r w:rsidR="00C455B3">
        <w:t xml:space="preserve"> </w:t>
      </w:r>
      <w:r w:rsidRPr="00C455B3" w:rsidR="00C455B3">
        <w:t>(Regulamento relativo ao regresso)</w:t>
      </w:r>
    </w:p>
    <w:p w:rsidR="009F001A" w:rsidRPr="00CF6D3A" w:rsidP="009F001A" w14:paraId="628518AD" w14:textId="77777777">
      <w:pPr>
        <w:rPr>
          <w:i/>
          <w:vanish/>
        </w:rPr>
      </w:pPr>
      <w:r>
        <w:rPr>
          <w:i/>
        </w:rPr>
        <w:fldChar w:fldCharType="begin"/>
      </w:r>
      <w:r w:rsidRPr="00CF6D3A">
        <w:rPr>
          <w:i/>
        </w:rPr>
        <w:instrText xml:space="preserve"> TC"(</w:instrText>
      </w:r>
      <w:bookmarkStart w:id="2" w:name="DocNumber"/>
      <w:r w:rsidRPr="00CF6D3A">
        <w:rPr>
          <w:i/>
        </w:rPr>
        <w:instrText>A10-0048/2026</w:instrText>
      </w:r>
      <w:bookmarkEnd w:id="2"/>
      <w:r w:rsidRPr="00CF6D3A">
        <w:rPr>
          <w:i/>
        </w:rPr>
        <w:instrText xml:space="preserve"> - Relator: </w:instrText>
      </w:r>
      <w:r w:rsidRPr="00CF6D3A">
        <w:rPr>
          <w:i/>
        </w:rPr>
        <w:instrText>Malik</w:instrText>
      </w:r>
      <w:r w:rsidRPr="00CF6D3A">
        <w:rPr>
          <w:i/>
        </w:rPr>
        <w:instrText xml:space="preserve"> </w:instrText>
      </w:r>
      <w:r w:rsidRPr="00CF6D3A">
        <w:rPr>
          <w:i/>
        </w:rPr>
        <w:instrText>Azmani</w:instrText>
      </w:r>
      <w:r w:rsidRPr="00CF6D3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F001A" w:rsidRPr="00CF6D3A" w:rsidP="009F001A" w14:paraId="27109DEF" w14:textId="77777777">
      <w:pPr>
        <w:rPr>
          <w:vanish/>
        </w:rPr>
      </w:pPr>
      <w:bookmarkStart w:id="3" w:name="Commission"/>
      <w:r w:rsidRPr="00CF6D3A">
        <w:rPr>
          <w:vanish/>
        </w:rPr>
        <w:t>Comissão das Liberdades Cívicas, da Justiça e dos Assuntos Internos</w:t>
      </w:r>
      <w:bookmarkEnd w:id="3"/>
    </w:p>
    <w:p w:rsidR="009F001A" w:rsidRPr="00CF6D3A" w:rsidP="009F001A" w14:paraId="4387A1AE" w14:textId="77777777">
      <w:pPr>
        <w:rPr>
          <w:vanish/>
        </w:rPr>
      </w:pPr>
      <w:bookmarkStart w:id="4" w:name="PE"/>
      <w:r w:rsidRPr="00CF6D3A">
        <w:rPr>
          <w:vanish/>
        </w:rPr>
        <w:t>PE779.352</w:t>
      </w:r>
      <w:bookmarkEnd w:id="4"/>
    </w:p>
    <w:p w:rsidR="009F001A" w:rsidRPr="00CF6D3A" w:rsidP="009F001A" w14:paraId="06D7D998" w14:textId="7763E758">
      <w:pPr>
        <w:pStyle w:val="ATHeading3"/>
      </w:pPr>
      <w:bookmarkStart w:id="5" w:name="Sujet"/>
      <w:r w:rsidRPr="00CF6D3A">
        <w:t xml:space="preserve">Resolução legislativa do Parlamento Europeu, de </w:t>
      </w:r>
      <w:r w:rsidR="00AD34FA">
        <w:t>17</w:t>
      </w:r>
      <w:r w:rsidRPr="00CF6D3A" w:rsidR="00AD34FA">
        <w:t xml:space="preserve"> </w:t>
      </w:r>
      <w:r w:rsidRPr="00CF6D3A">
        <w:t xml:space="preserve">de </w:t>
      </w:r>
      <w:r w:rsidR="00AD34FA">
        <w:t>junho</w:t>
      </w:r>
      <w:r w:rsidRPr="00CF6D3A" w:rsidR="00AD34FA">
        <w:t xml:space="preserve"> </w:t>
      </w:r>
      <w:r w:rsidRPr="00CF6D3A">
        <w:t>de 2026, sobre a proposta de regulamento do Parlamento Europeu e do Conselho que estabelece um sistema comum de regresso dos nacionais de países terceiros em situação irregular na União, e que revoga a Diretiva 2008/115/CE do Parlamento Europeu e do Conselho, a Diretiva 2001/40/CE do Conselho e a Decisão 2004/191/CE do Conselho</w:t>
      </w:r>
      <w:bookmarkEnd w:id="5"/>
      <w:r w:rsidRPr="00CF6D3A">
        <w:t xml:space="preserve"> </w:t>
      </w:r>
      <w:bookmarkStart w:id="6" w:name="References"/>
      <w:r w:rsidRPr="00CF6D3A">
        <w:t>(</w:t>
      </w:r>
      <w:r w:rsidRPr="00CF6D3A">
        <w:t>COM(</w:t>
      </w:r>
      <w:r w:rsidRPr="00CF6D3A">
        <w:t>2025)0101 – C10</w:t>
      </w:r>
      <w:r w:rsidR="00010EBD">
        <w:noBreakHyphen/>
      </w:r>
      <w:r w:rsidRPr="00CF6D3A">
        <w:t>0047/2025 – 2025/0059(COD))</w:t>
      </w:r>
      <w:bookmarkEnd w:id="6"/>
    </w:p>
    <w:p w:rsidR="009F001A" w:rsidRPr="00CF6D3A" w:rsidP="009F001A" w14:paraId="21C35D42" w14:textId="77777777"/>
    <w:p w:rsidR="00FA1607" w:rsidRPr="00CF6D3A" w:rsidP="00FA1607" w14:paraId="5ACCD9C3" w14:textId="77777777">
      <w:pPr>
        <w:pStyle w:val="NormalBold"/>
      </w:pPr>
      <w:bookmarkStart w:id="7" w:name="TextBodyBegin"/>
      <w:bookmarkEnd w:id="7"/>
      <w:r w:rsidRPr="00CF6D3A">
        <w:t>(Processo legislativo ordinário: primeira leitura)</w:t>
      </w:r>
    </w:p>
    <w:p w:rsidR="00FA1607" w:rsidRPr="00CF6D3A" w:rsidP="00FA1607" w14:paraId="7FCB06FF" w14:textId="77777777">
      <w:pPr>
        <w:pStyle w:val="EPComma"/>
      </w:pPr>
      <w:r w:rsidRPr="00CF6D3A">
        <w:rPr>
          <w:i/>
          <w:iCs/>
        </w:rPr>
        <w:t>O Parlamento Europeu</w:t>
      </w:r>
      <w:r w:rsidRPr="00CF6D3A">
        <w:t>,</w:t>
      </w:r>
    </w:p>
    <w:p w:rsidR="00FA1607" w:rsidRPr="00CF6D3A" w:rsidP="00FA1607" w14:paraId="2AD859D4" w14:textId="5F673E05">
      <w:pPr>
        <w:pStyle w:val="NormalHanging12a"/>
      </w:pPr>
      <w:r w:rsidRPr="00CF6D3A">
        <w:t>–</w:t>
      </w:r>
      <w:r w:rsidRPr="00CF6D3A">
        <w:tab/>
        <w:t xml:space="preserve">Tendo em conta a proposta da Comissão ao </w:t>
      </w:r>
      <w:r w:rsidR="00AD04B7">
        <w:t>Parlamento</w:t>
      </w:r>
      <w:r w:rsidRPr="00CF6D3A">
        <w:t xml:space="preserve"> e ao Conselho (</w:t>
      </w:r>
      <w:r w:rsidRPr="00CF6D3A">
        <w:t>COM(</w:t>
      </w:r>
      <w:r w:rsidRPr="00CF6D3A">
        <w:t>2025)0101),</w:t>
      </w:r>
    </w:p>
    <w:p w:rsidR="00FA1607" w:rsidRPr="00CF6D3A" w:rsidP="00FA1607" w14:paraId="48FAD0CA" w14:textId="77777777">
      <w:pPr>
        <w:pStyle w:val="NormalHanging12a"/>
      </w:pPr>
      <w:r w:rsidRPr="00CF6D3A">
        <w:t>–</w:t>
      </w:r>
      <w:r w:rsidRPr="00CF6D3A">
        <w:tab/>
        <w:t>Tendo em conta o artigo 294.º, n.º 2, e o artigo 79.º, n.º 2, alínea c), do Tratado sobre o Funcionamento da União Europeia, nos termos dos quais a proposta lhe foi apresentada pela Comissão (C10</w:t>
      </w:r>
      <w:r w:rsidRPr="00CF6D3A">
        <w:noBreakHyphen/>
        <w:t>0047/2025),</w:t>
      </w:r>
    </w:p>
    <w:p w:rsidR="00FA1607" w:rsidP="00FA1607" w14:paraId="5928A6C1" w14:textId="77777777">
      <w:pPr>
        <w:pStyle w:val="NormalHanging12a"/>
      </w:pPr>
      <w:r w:rsidRPr="00CF6D3A">
        <w:t>–</w:t>
      </w:r>
      <w:r w:rsidRPr="00CF6D3A">
        <w:tab/>
        <w:t>Tendo em conta o artigo 294.º, n.º 3, do Tratado sobre o Funcionamento da União Europeia,</w:t>
      </w:r>
    </w:p>
    <w:p w:rsidR="00423505" w:rsidRPr="00CF6D3A" w:rsidP="00FA1607" w14:paraId="1A8AB92A" w14:textId="48A40369">
      <w:pPr>
        <w:pStyle w:val="NormalHanging12a"/>
      </w:pPr>
      <w:r w:rsidRPr="00CF6D3A">
        <w:t>–</w:t>
      </w:r>
      <w:r w:rsidRPr="00CF6D3A">
        <w:tab/>
      </w:r>
      <w:r w:rsidRPr="00423505">
        <w:t>Tendo em conta o parecer fundamentado apresentado pelo Senado francês, no âmbito do Protocolo n.º 2 relativo à aplicação dos princípios da subsidiariedade e da proporcionalidade, segundo o qual</w:t>
      </w:r>
      <w:r w:rsidR="00B72B4A">
        <w:t xml:space="preserve"> </w:t>
      </w:r>
      <w:r w:rsidRPr="00423505">
        <w:t>o projeto de ato legislativo não respeita o princípio da subsidiariedade,</w:t>
      </w:r>
    </w:p>
    <w:p w:rsidR="00FA1607" w:rsidRPr="00CF6D3A" w:rsidP="00FA1607" w14:paraId="07921DFF" w14:textId="32EE9D7F">
      <w:pPr>
        <w:pStyle w:val="NormalHanging12a"/>
      </w:pPr>
      <w:r w:rsidRPr="00CF6D3A">
        <w:t>–</w:t>
      </w:r>
      <w:r w:rsidRPr="00CF6D3A">
        <w:tab/>
        <w:t>Tendo em conta o parecer do Comité Económico e Social Europeu</w:t>
      </w:r>
      <w:r w:rsidR="00B72B4A">
        <w:t xml:space="preserve"> de 18 de setembro de</w:t>
      </w:r>
      <w:r w:rsidR="00C61C9E">
        <w:t> </w:t>
      </w:r>
      <w:r w:rsidR="00B72B4A">
        <w:t>2025</w:t>
      </w:r>
      <w:r>
        <w:rPr>
          <w:rStyle w:val="FootnoteReference"/>
        </w:rPr>
        <w:footnoteReference w:id="2"/>
      </w:r>
      <w:r w:rsidRPr="00CF6D3A">
        <w:t>,</w:t>
      </w:r>
    </w:p>
    <w:p w:rsidR="00FA1607" w:rsidP="00FA1607" w14:paraId="0B9577FC" w14:textId="0AF80480">
      <w:pPr>
        <w:pStyle w:val="NormalHanging12a"/>
      </w:pPr>
      <w:r w:rsidRPr="00CF6D3A">
        <w:t>–</w:t>
      </w:r>
      <w:r w:rsidRPr="00CF6D3A">
        <w:tab/>
      </w:r>
      <w:r w:rsidR="00B72B4A">
        <w:t>Após consulta a</w:t>
      </w:r>
      <w:r w:rsidRPr="00CF6D3A">
        <w:t>o Comité das Regiões,</w:t>
      </w:r>
    </w:p>
    <w:p w:rsidR="00B72B4A" w:rsidRPr="00CF6D3A" w:rsidP="00FA1607" w14:paraId="4E44BCEF" w14:textId="7C1602FD">
      <w:pPr>
        <w:pStyle w:val="NormalHanging12a"/>
      </w:pPr>
      <w:r w:rsidRPr="00B72B4A">
        <w:t>–</w:t>
      </w:r>
      <w:r w:rsidRPr="00B72B4A">
        <w:tab/>
        <w:t>Tendo em conta o acordo provisório aprovado pela comissão competente nos termos do artigo</w:t>
      </w:r>
      <w:r w:rsidR="00C61C9E">
        <w:t> </w:t>
      </w:r>
      <w:r w:rsidRPr="00B72B4A">
        <w:t xml:space="preserve">75.º, n.º 4, do seu Regimento e o compromisso assumido pelo representante do Conselho, em carta de </w:t>
      </w:r>
      <w:r w:rsidR="008709E2">
        <w:t>10</w:t>
      </w:r>
      <w:r w:rsidRPr="00B72B4A">
        <w:t xml:space="preserve"> de </w:t>
      </w:r>
      <w:r w:rsidR="008709E2">
        <w:t xml:space="preserve">junho </w:t>
      </w:r>
      <w:r w:rsidRPr="00B72B4A">
        <w:t>de 2026, de aprovar a posição do Parlamento, nos termos do artigo 294.º, n.º 4, do Tratado sobre o Funcionamento da União Europeia,</w:t>
      </w:r>
    </w:p>
    <w:p w:rsidR="00FA1607" w:rsidRPr="00CF6D3A" w:rsidP="00FA1607" w14:paraId="0028C8CE" w14:textId="77777777">
      <w:pPr>
        <w:pStyle w:val="NormalHanging12a"/>
      </w:pPr>
      <w:r w:rsidRPr="00CF6D3A">
        <w:t>–</w:t>
      </w:r>
      <w:r w:rsidRPr="00CF6D3A">
        <w:tab/>
        <w:t>Tendo em conta o artigo 60.º do seu Regimento,</w:t>
      </w:r>
    </w:p>
    <w:p w:rsidR="00FA1607" w:rsidRPr="00CF6D3A" w:rsidP="00FA1607" w14:paraId="37AC3A8A" w14:textId="77777777">
      <w:pPr>
        <w:pStyle w:val="NormalHanging12a"/>
      </w:pPr>
      <w:r w:rsidRPr="00CF6D3A">
        <w:t>–</w:t>
      </w:r>
      <w:r w:rsidRPr="00CF6D3A">
        <w:tab/>
        <w:t>Tendo em conta o relatório da Comissão das Liberdades Cívicas, da Justiça e dos Assuntos Internos (A10</w:t>
      </w:r>
      <w:r w:rsidRPr="00CF6D3A">
        <w:noBreakHyphen/>
        <w:t>0048/2026),</w:t>
      </w:r>
    </w:p>
    <w:p w:rsidR="00FA1607" w:rsidRPr="00CF6D3A" w:rsidP="00FA1607" w14:paraId="654E8059" w14:textId="77777777">
      <w:pPr>
        <w:pStyle w:val="NormalHanging12a"/>
      </w:pPr>
      <w:r w:rsidRPr="00CF6D3A">
        <w:t>1.</w:t>
      </w:r>
      <w:r w:rsidRPr="00CF6D3A">
        <w:tab/>
        <w:t>Aprova a posição em primeira leitura que se segue;</w:t>
      </w:r>
    </w:p>
    <w:p w:rsidR="00FA1607" w:rsidRPr="00CF6D3A" w:rsidP="00FA1607" w14:paraId="0F9EB1BF" w14:textId="77777777">
      <w:pPr>
        <w:pStyle w:val="NormalHanging12a"/>
      </w:pPr>
      <w:r w:rsidRPr="00CF6D3A">
        <w:t>2.</w:t>
      </w:r>
      <w:r w:rsidRPr="00CF6D3A">
        <w:tab/>
        <w:t>Requer à Comissão que lhe submeta de novo a sua proposta, se a substituir, se a alterar substancialmente ou se pretender alterá</w:t>
      </w:r>
      <w:r w:rsidRPr="00CF6D3A">
        <w:noBreakHyphen/>
        <w:t>la substancialmente;</w:t>
      </w:r>
    </w:p>
    <w:p w:rsidR="00FA1607" w:rsidRPr="00CF6D3A" w:rsidP="00FA1607" w14:paraId="5615B6F0" w14:textId="77777777">
      <w:pPr>
        <w:pStyle w:val="NormalHanging12a"/>
      </w:pPr>
      <w:r w:rsidRPr="00CF6D3A">
        <w:t>3.</w:t>
      </w:r>
      <w:r w:rsidRPr="00CF6D3A">
        <w:tab/>
        <w:t>Encarrega a sua Presidente de transmitir a posição do Parlamento ao Conselho, à Comissão e aos parlamentos nacionais.</w:t>
      </w:r>
    </w:p>
    <w:p w:rsidR="00FA1607" w:rsidRPr="00CF6D3A" w:rsidP="00010EBD" w14:paraId="276FA0B8" w14:textId="77777777">
      <w:pPr>
        <w:pStyle w:val="AmNumberTabs"/>
      </w:pPr>
    </w:p>
    <w:p w:rsidR="0044727B" w:rsidP="00010EBD" w14:paraId="16FDF27E" w14:textId="77777777">
      <w:pPr>
        <w:pStyle w:val="AmNumberTabs"/>
        <w:sectPr w:rsidSect="00C61C9E">
          <w:footerReference w:type="default" r:id="rId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134" w:bottom="1134" w:left="1134" w:header="1134" w:footer="567" w:gutter="0"/>
          <w:cols w:space="720"/>
          <w:noEndnote/>
          <w:docGrid w:linePitch="326"/>
        </w:sectPr>
      </w:pPr>
    </w:p>
    <w:p w:rsidR="00423505" w:rsidRPr="00866EDD" w:rsidP="00010EBD" w14:paraId="59F46EE5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66EDD">
        <w:rPr>
          <w:rFonts w:eastAsia="Calibri"/>
          <w:b/>
          <w:bCs/>
          <w:color w:val="000000"/>
          <w:szCs w:val="24"/>
        </w:rPr>
        <w:t>P10_TC1-COD(2025)0059</w:t>
      </w:r>
    </w:p>
    <w:p w:rsidR="00E365E1" w:rsidP="00AD04B7" w14:paraId="719B67D7" w14:textId="771A6455">
      <w:pPr>
        <w:pStyle w:val="AmNumberTabs"/>
        <w:spacing w:after="240"/>
        <w:rPr>
          <w:szCs w:val="24"/>
        </w:rPr>
      </w:pPr>
      <w:r w:rsidRPr="005448D8">
        <w:rPr>
          <w:szCs w:val="24"/>
        </w:rPr>
        <w:t>Posição do Parlamento Europeu aprovada em primeira leitura em 1</w:t>
      </w:r>
      <w:r w:rsidR="00BD440C">
        <w:rPr>
          <w:szCs w:val="24"/>
        </w:rPr>
        <w:t>7</w:t>
      </w:r>
      <w:r w:rsidRPr="005448D8">
        <w:rPr>
          <w:szCs w:val="24"/>
        </w:rPr>
        <w:t xml:space="preserve"> de junho de 2026 tendo em vista a adoção do Regulamento (UE) 2026/... do Parlamento Europeu e do Conselho </w:t>
      </w:r>
      <w:r w:rsidRPr="00423505">
        <w:rPr>
          <w:szCs w:val="24"/>
        </w:rPr>
        <w:t xml:space="preserve">que estabelece um sistema comum </w:t>
      </w:r>
      <w:r w:rsidR="004B455F">
        <w:rPr>
          <w:szCs w:val="24"/>
        </w:rPr>
        <w:t>para o</w:t>
      </w:r>
      <w:r w:rsidRPr="00423505">
        <w:rPr>
          <w:szCs w:val="24"/>
        </w:rPr>
        <w:t xml:space="preserve"> regresso dos nacionais de países terceiros em situação </w:t>
      </w:r>
      <w:r w:rsidR="0039335B">
        <w:rPr>
          <w:szCs w:val="24"/>
        </w:rPr>
        <w:t xml:space="preserve">de permanência </w:t>
      </w:r>
      <w:r w:rsidRPr="00423505">
        <w:rPr>
          <w:szCs w:val="24"/>
        </w:rPr>
        <w:t>irregular na União, e que revoga a Diretiva 2008/115/CE do Parlamento Europeu e do Conselho, a Diretiva 2001/40/CE do Conselho e a Decisão 2004/191/CE do Conselho</w:t>
      </w:r>
    </w:p>
    <w:p w:rsidR="00010EBD" w:rsidRPr="00AD04B7" w:rsidP="00AD04B7" w14:paraId="13365B1D" w14:textId="7445FEDD">
      <w:pPr>
        <w:rPr>
          <w:i/>
          <w:iCs/>
          <w:lang w:eastAsia="en-US"/>
        </w:rPr>
      </w:pPr>
      <w:r w:rsidRPr="00AD04B7">
        <w:rPr>
          <w:i/>
          <w:iCs/>
          <w:lang w:eastAsia="en-US"/>
        </w:rPr>
        <w:t>(Uma vez que foi alcançado um acordo entre o Parlamento e o Conselho, a posição do Parlamento corresponde ao texto legislativo final, Regulamento (UE) 20</w:t>
      </w:r>
      <w:r>
        <w:rPr>
          <w:i/>
          <w:iCs/>
          <w:lang w:eastAsia="en-US"/>
        </w:rPr>
        <w:t>2</w:t>
      </w:r>
      <w:r w:rsidRPr="00AD04B7">
        <w:rPr>
          <w:i/>
          <w:iCs/>
          <w:lang w:eastAsia="en-US"/>
        </w:rPr>
        <w:t>6/</w:t>
      </w:r>
      <w:r>
        <w:rPr>
          <w:i/>
          <w:iCs/>
          <w:lang w:eastAsia="en-US"/>
        </w:rPr>
        <w:t>2280</w:t>
      </w:r>
      <w:r w:rsidRPr="00AD04B7">
        <w:rPr>
          <w:i/>
          <w:iCs/>
          <w:lang w:eastAsia="en-US"/>
        </w:rPr>
        <w:t>.)</w:t>
      </w:r>
    </w:p>
    <w:sectPr w:rsidSect="001F36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3661" w:rsidP="001F3661" w14:paraId="42D76552" w14:textId="77777777">
    <w:pPr>
      <w:pStyle w:val="Footer"/>
      <w:tabs>
        <w:tab w:val="clear" w:pos="4535"/>
        <w:tab w:val="clear" w:pos="9071"/>
        <w:tab w:val="clear" w:pos="9921"/>
      </w:tabs>
      <w:spacing w:before="0"/>
      <w:ind w:left="0" w:righ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47523" w:rsidRPr="00CF6D3A" w14:paraId="043AFB23" w14:textId="77777777">
      <w:r w:rsidRPr="00CF6D3A">
        <w:separator/>
      </w:r>
    </w:p>
  </w:footnote>
  <w:footnote w:type="continuationSeparator" w:id="1">
    <w:p w:rsidR="00B47523" w:rsidRPr="00CF6D3A" w14:paraId="3B403C33" w14:textId="77777777">
      <w:r w:rsidRPr="00CF6D3A">
        <w:continuationSeparator/>
      </w:r>
    </w:p>
  </w:footnote>
  <w:footnote w:id="2">
    <w:p w:rsidR="0044727B" w:rsidRPr="00CD1806" w14:paraId="6A0F9E88" w14:textId="5ECE6D97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CD1806">
        <w:rPr>
          <w:lang w:val="fi-FI"/>
        </w:rPr>
        <w:t xml:space="preserve"> </w:t>
      </w:r>
      <w:r w:rsidRPr="00CD1806">
        <w:rPr>
          <w:lang w:val="fi-FI"/>
        </w:rPr>
        <w:tab/>
        <w:t xml:space="preserve">JO </w:t>
      </w:r>
      <w:r w:rsidRPr="00CD1806" w:rsidR="00B72B4A">
        <w:rPr>
          <w:lang w:val="fi-FI"/>
        </w:rPr>
        <w:t xml:space="preserve">C, C/2026/33, 16.1.2026, ELI: </w:t>
      </w:r>
      <w:hyperlink r:id="rId1" w:history="1">
        <w:r w:rsidRPr="00773431" w:rsidR="00B72B4A">
          <w:rPr>
            <w:rStyle w:val="Hyperlink1"/>
            <w:lang w:val="fi-FI"/>
          </w:rPr>
          <w:t>http://data.europa.eu/eli/C/2026/33/oj</w:t>
        </w:r>
      </w:hyperlink>
      <w:r w:rsidR="00B72B4A">
        <w:rPr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5CA81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122337579">
    <w:abstractNumId w:val="11"/>
  </w:num>
  <w:num w:numId="2" w16cid:durableId="1023943758">
    <w:abstractNumId w:val="22"/>
  </w:num>
  <w:num w:numId="3" w16cid:durableId="246352801">
    <w:abstractNumId w:val="37"/>
  </w:num>
  <w:num w:numId="4" w16cid:durableId="95109033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0"/>
  </w:num>
  <w:num w:numId="6" w16cid:durableId="1191142020">
    <w:abstractNumId w:val="41"/>
  </w:num>
  <w:num w:numId="7" w16cid:durableId="1234702092">
    <w:abstractNumId w:val="33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29"/>
  </w:num>
  <w:num w:numId="14" w16cid:durableId="1294141786">
    <w:abstractNumId w:val="28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6"/>
  </w:num>
  <w:num w:numId="20" w16cid:durableId="857280154">
    <w:abstractNumId w:val="24"/>
  </w:num>
  <w:num w:numId="21" w16cid:durableId="415976620">
    <w:abstractNumId w:val="38"/>
  </w:num>
  <w:num w:numId="22" w16cid:durableId="1354721482">
    <w:abstractNumId w:val="17"/>
  </w:num>
  <w:num w:numId="23" w16cid:durableId="763040635">
    <w:abstractNumId w:val="25"/>
  </w:num>
  <w:num w:numId="24" w16cid:durableId="1744981924">
    <w:abstractNumId w:val="26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7"/>
  </w:num>
  <w:num w:numId="28" w16cid:durableId="2059939940">
    <w:abstractNumId w:val="34"/>
  </w:num>
  <w:num w:numId="29" w16cid:durableId="60561001">
    <w:abstractNumId w:val="35"/>
  </w:num>
  <w:num w:numId="30" w16cid:durableId="1035543080">
    <w:abstractNumId w:val="16"/>
  </w:num>
  <w:num w:numId="31" w16cid:durableId="1609313555">
    <w:abstractNumId w:val="31"/>
  </w:num>
  <w:num w:numId="32" w16cid:durableId="418673356">
    <w:abstractNumId w:val="42"/>
    <w:lvlOverride w:ilvl="0">
      <w:startOverride w:val="1"/>
    </w:lvlOverride>
  </w:num>
  <w:num w:numId="33" w16cid:durableId="1899704779">
    <w:abstractNumId w:val="9"/>
  </w:num>
  <w:num w:numId="34" w16cid:durableId="19212689">
    <w:abstractNumId w:val="7"/>
  </w:num>
  <w:num w:numId="35" w16cid:durableId="1060593483">
    <w:abstractNumId w:val="6"/>
  </w:num>
  <w:num w:numId="36" w16cid:durableId="1981687828">
    <w:abstractNumId w:val="5"/>
  </w:num>
  <w:num w:numId="37" w16cid:durableId="1037001990">
    <w:abstractNumId w:val="4"/>
  </w:num>
  <w:num w:numId="38" w16cid:durableId="668364051">
    <w:abstractNumId w:val="8"/>
  </w:num>
  <w:num w:numId="39" w16cid:durableId="1054354864">
    <w:abstractNumId w:val="3"/>
  </w:num>
  <w:num w:numId="40" w16cid:durableId="1538396116">
    <w:abstractNumId w:val="2"/>
  </w:num>
  <w:num w:numId="41" w16cid:durableId="1036349019">
    <w:abstractNumId w:val="1"/>
  </w:num>
  <w:num w:numId="42" w16cid:durableId="645819227">
    <w:abstractNumId w:val="0"/>
  </w:num>
  <w:num w:numId="43" w16cid:durableId="1756314835">
    <w:abstractNumId w:val="3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1A"/>
    <w:rsid w:val="00002272"/>
    <w:rsid w:val="00010EBD"/>
    <w:rsid w:val="00064002"/>
    <w:rsid w:val="000677B9"/>
    <w:rsid w:val="000831BA"/>
    <w:rsid w:val="00087A38"/>
    <w:rsid w:val="000A42CC"/>
    <w:rsid w:val="000E7BE3"/>
    <w:rsid w:val="000E7DD9"/>
    <w:rsid w:val="0010095E"/>
    <w:rsid w:val="00125B37"/>
    <w:rsid w:val="00187494"/>
    <w:rsid w:val="001F32AE"/>
    <w:rsid w:val="001F3661"/>
    <w:rsid w:val="002767FF"/>
    <w:rsid w:val="002B18FE"/>
    <w:rsid w:val="002B5493"/>
    <w:rsid w:val="002E6EF6"/>
    <w:rsid w:val="0031070D"/>
    <w:rsid w:val="00343214"/>
    <w:rsid w:val="00361C00"/>
    <w:rsid w:val="003775E9"/>
    <w:rsid w:val="0039335B"/>
    <w:rsid w:val="00395FA1"/>
    <w:rsid w:val="003E15D4"/>
    <w:rsid w:val="00411CCE"/>
    <w:rsid w:val="0041666E"/>
    <w:rsid w:val="00421060"/>
    <w:rsid w:val="00423505"/>
    <w:rsid w:val="0044727B"/>
    <w:rsid w:val="00447EA6"/>
    <w:rsid w:val="00471C19"/>
    <w:rsid w:val="004867E3"/>
    <w:rsid w:val="00494A28"/>
    <w:rsid w:val="004B455F"/>
    <w:rsid w:val="004C0004"/>
    <w:rsid w:val="004C5D52"/>
    <w:rsid w:val="0050519A"/>
    <w:rsid w:val="005072A1"/>
    <w:rsid w:val="00514517"/>
    <w:rsid w:val="005448D8"/>
    <w:rsid w:val="00545827"/>
    <w:rsid w:val="00560270"/>
    <w:rsid w:val="00595B98"/>
    <w:rsid w:val="005C2568"/>
    <w:rsid w:val="005F1B17"/>
    <w:rsid w:val="006037C0"/>
    <w:rsid w:val="006304C6"/>
    <w:rsid w:val="006631B6"/>
    <w:rsid w:val="00680577"/>
    <w:rsid w:val="006C00D5"/>
    <w:rsid w:val="006F74FA"/>
    <w:rsid w:val="00731ADD"/>
    <w:rsid w:val="00734777"/>
    <w:rsid w:val="00747932"/>
    <w:rsid w:val="00751A4A"/>
    <w:rsid w:val="00756632"/>
    <w:rsid w:val="00762C74"/>
    <w:rsid w:val="00773431"/>
    <w:rsid w:val="00786EC0"/>
    <w:rsid w:val="007D1690"/>
    <w:rsid w:val="007E22AD"/>
    <w:rsid w:val="007E52B2"/>
    <w:rsid w:val="00817416"/>
    <w:rsid w:val="00842779"/>
    <w:rsid w:val="00865F67"/>
    <w:rsid w:val="00866EDD"/>
    <w:rsid w:val="008709E2"/>
    <w:rsid w:val="00881A7B"/>
    <w:rsid w:val="008840E5"/>
    <w:rsid w:val="00887B3E"/>
    <w:rsid w:val="008C2AC6"/>
    <w:rsid w:val="00930C23"/>
    <w:rsid w:val="0093193B"/>
    <w:rsid w:val="009509D8"/>
    <w:rsid w:val="00950B64"/>
    <w:rsid w:val="00957877"/>
    <w:rsid w:val="00981893"/>
    <w:rsid w:val="00996749"/>
    <w:rsid w:val="009F001A"/>
    <w:rsid w:val="00A1687D"/>
    <w:rsid w:val="00A43E52"/>
    <w:rsid w:val="00A4678D"/>
    <w:rsid w:val="00A778C7"/>
    <w:rsid w:val="00AA781F"/>
    <w:rsid w:val="00AB441E"/>
    <w:rsid w:val="00AB6293"/>
    <w:rsid w:val="00AB6B81"/>
    <w:rsid w:val="00AD04B7"/>
    <w:rsid w:val="00AD34FA"/>
    <w:rsid w:val="00AE0928"/>
    <w:rsid w:val="00AF3B82"/>
    <w:rsid w:val="00B12E95"/>
    <w:rsid w:val="00B22876"/>
    <w:rsid w:val="00B47523"/>
    <w:rsid w:val="00B558F0"/>
    <w:rsid w:val="00B578D1"/>
    <w:rsid w:val="00B72B4A"/>
    <w:rsid w:val="00BD440C"/>
    <w:rsid w:val="00BD48FE"/>
    <w:rsid w:val="00BD5805"/>
    <w:rsid w:val="00BD7BD8"/>
    <w:rsid w:val="00BE6ADC"/>
    <w:rsid w:val="00C05BFE"/>
    <w:rsid w:val="00C23CD4"/>
    <w:rsid w:val="00C455B3"/>
    <w:rsid w:val="00C61C0C"/>
    <w:rsid w:val="00C61C9E"/>
    <w:rsid w:val="00C941CB"/>
    <w:rsid w:val="00CC2357"/>
    <w:rsid w:val="00CD1806"/>
    <w:rsid w:val="00CF071A"/>
    <w:rsid w:val="00CF6D3A"/>
    <w:rsid w:val="00D058B8"/>
    <w:rsid w:val="00D20409"/>
    <w:rsid w:val="00D4263E"/>
    <w:rsid w:val="00D56C11"/>
    <w:rsid w:val="00D834A0"/>
    <w:rsid w:val="00D872DF"/>
    <w:rsid w:val="00D91E21"/>
    <w:rsid w:val="00DA7FCD"/>
    <w:rsid w:val="00E176D4"/>
    <w:rsid w:val="00E365E1"/>
    <w:rsid w:val="00E42046"/>
    <w:rsid w:val="00E42B26"/>
    <w:rsid w:val="00E8184B"/>
    <w:rsid w:val="00E820A4"/>
    <w:rsid w:val="00EA4A26"/>
    <w:rsid w:val="00EB006A"/>
    <w:rsid w:val="00EB4772"/>
    <w:rsid w:val="00ED169E"/>
    <w:rsid w:val="00ED4235"/>
    <w:rsid w:val="00EE0D60"/>
    <w:rsid w:val="00F02014"/>
    <w:rsid w:val="00F04346"/>
    <w:rsid w:val="00F075DC"/>
    <w:rsid w:val="00F149E9"/>
    <w:rsid w:val="00F5134D"/>
    <w:rsid w:val="00F74202"/>
    <w:rsid w:val="00F87713"/>
    <w:rsid w:val="00FA1607"/>
    <w:rsid w:val="00FB4360"/>
    <w:rsid w:val="00FD0C70"/>
    <w:rsid w:val="00FD74C1"/>
  </w:rsids>
  <w:docVars>
    <w:docVar w:name="dvdocse" w:val="A10-0048/2026"/>
    <w:docVar w:name="dvlangue" w:val="PT"/>
    <w:docVar w:name="dvnumam" w:val="0"/>
    <w:docVar w:name="dvpe" w:val="779.352"/>
    <w:docVar w:name="dvrapporteur" w:val="Relator: "/>
    <w:docVar w:name="dvstar" w:val="***I"/>
    <w:docVar w:name="dvtitre" w:val="Resolução legislativa do Parlamento Europeu, de ... de ... de 2026,&#13;_x000a_ sobre a proposta de regulamento do Parlamento Europeu e do Conselho que estabelece um sistema comum de regresso dos nacionais de países terceiros em situação irregular na União, e que revoga a Diretiva 2008/115/CE do Parlamento Europeu e do Conselho, a Diretiva 2001/40/CE do Conselho e a Decisão 2004/191/CE do Conselho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9B618F"/>
  <w15:chartTrackingRefBased/>
  <w15:docId w15:val="{C1212094-CCA7-4274-8F94-5737EA5B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iPriority="99" w:unhideWhenUsed="1" w:qFormat="1"/>
    <w:lsdException w:name="table of figures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44727B"/>
    <w:pPr>
      <w:keepLines/>
      <w:widowControl/>
      <w:spacing w:line="260" w:lineRule="exact"/>
      <w:ind w:left="851" w:hanging="851"/>
    </w:pPr>
    <w:rPr>
      <w:lang w:val="fr-FR" w:eastAsia="fr-FR"/>
    </w:rPr>
  </w:style>
  <w:style w:type="character" w:customStyle="1" w:styleId="FootnoteTextChar">
    <w:name w:val="Footnote Text Char"/>
    <w:link w:val="FootnoteText"/>
    <w:rsid w:val="0044727B"/>
    <w:rPr>
      <w:sz w:val="24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A16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A16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A16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A16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A16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A1607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FA1607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FA1607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A1607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A16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A16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A1607"/>
    <w:pPr>
      <w:spacing w:before="480" w:after="240"/>
    </w:pPr>
  </w:style>
  <w:style w:type="paragraph" w:customStyle="1" w:styleId="TOCPage">
    <w:name w:val="TOC Page"/>
    <w:basedOn w:val="Normal"/>
    <w:next w:val="TOC1"/>
    <w:rsid w:val="00FA160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A16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A1607"/>
    <w:rPr>
      <w:b/>
    </w:rPr>
  </w:style>
  <w:style w:type="paragraph" w:customStyle="1" w:styleId="NormalBold12a">
    <w:name w:val="NormalBold12a"/>
    <w:basedOn w:val="Normal"/>
    <w:rsid w:val="00FA160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A16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A1607"/>
    <w:pPr>
      <w:spacing w:after="480"/>
      <w:ind w:left="1417"/>
    </w:pPr>
  </w:style>
  <w:style w:type="paragraph" w:customStyle="1" w:styleId="CoverNormal">
    <w:name w:val="CoverNormal"/>
    <w:basedOn w:val="Normal"/>
    <w:rsid w:val="00FA1607"/>
    <w:pPr>
      <w:ind w:left="1418"/>
    </w:pPr>
  </w:style>
  <w:style w:type="paragraph" w:customStyle="1" w:styleId="NormalCenter12a">
    <w:name w:val="NormalCenter12a"/>
    <w:basedOn w:val="Normal"/>
    <w:rsid w:val="00FA1607"/>
    <w:pPr>
      <w:spacing w:after="240"/>
      <w:jc w:val="center"/>
    </w:pPr>
  </w:style>
  <w:style w:type="paragraph" w:customStyle="1" w:styleId="CoverReference">
    <w:name w:val="CoverReference"/>
    <w:basedOn w:val="Normal"/>
    <w:rsid w:val="00FA16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A16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A16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A1607"/>
    <w:pPr>
      <w:spacing w:before="240" w:after="1200"/>
    </w:pPr>
  </w:style>
  <w:style w:type="paragraph" w:styleId="Header">
    <w:name w:val="header"/>
    <w:basedOn w:val="Normal"/>
    <w:link w:val="HeaderChar"/>
    <w:rsid w:val="00FA16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1607"/>
    <w:rPr>
      <w:sz w:val="24"/>
      <w:lang w:val="pt-PT"/>
    </w:rPr>
  </w:style>
  <w:style w:type="paragraph" w:customStyle="1" w:styleId="AmNumberTabs">
    <w:name w:val="AmNumberTabs"/>
    <w:basedOn w:val="Normal"/>
    <w:rsid w:val="00FA16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A1607"/>
    <w:pPr>
      <w:spacing w:before="720" w:after="240"/>
      <w:jc w:val="center"/>
    </w:pPr>
  </w:style>
  <w:style w:type="paragraph" w:customStyle="1" w:styleId="EPBody">
    <w:name w:val="EPBody"/>
    <w:basedOn w:val="Normal"/>
    <w:rsid w:val="00FA16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A16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A16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A16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A1607"/>
    <w:rPr>
      <w:sz w:val="18"/>
    </w:rPr>
  </w:style>
  <w:style w:type="paragraph" w:styleId="Revision">
    <w:name w:val="Revision"/>
    <w:hidden/>
    <w:uiPriority w:val="99"/>
    <w:semiHidden/>
    <w:rsid w:val="00FA1607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FA1607"/>
  </w:style>
  <w:style w:type="character" w:styleId="Hyperlink">
    <w:name w:val="Hyperlink"/>
    <w:unhideWhenUsed/>
    <w:qFormat/>
    <w:rsid w:val="00996749"/>
    <w:rPr>
      <w:b/>
      <w:bCs/>
      <w:i/>
      <w:iCs/>
      <w:color w:val="0000FF"/>
    </w:rPr>
  </w:style>
  <w:style w:type="character" w:styleId="FollowedHyperlink">
    <w:name w:val="FollowedHyperlink"/>
    <w:unhideWhenUsed/>
    <w:rsid w:val="00FA1607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FA160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FA160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">
    <w:name w:val="msonormal"/>
    <w:basedOn w:val="Normal"/>
    <w:uiPriority w:val="99"/>
    <w:semiHidden/>
    <w:rsid w:val="00FA1607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NormalWeb">
    <w:name w:val="Normal (Web)"/>
    <w:basedOn w:val="Normal"/>
    <w:unhideWhenUsed/>
    <w:rsid w:val="00FA1607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A160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FA1607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1607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FA160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A1607"/>
    <w:rPr>
      <w:rFonts w:eastAsia="Calibri"/>
      <w:sz w:val="24"/>
      <w:szCs w:val="22"/>
      <w:lang w:val="pt-PT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A160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FA1607"/>
    <w:pPr>
      <w:widowControl/>
      <w:spacing w:before="120" w:after="120"/>
      <w:jc w:val="both"/>
    </w:pPr>
    <w:rPr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A1607"/>
    <w:pPr>
      <w:widowControl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A1607"/>
    <w:rPr>
      <w:rFonts w:eastAsia="Calibri"/>
      <w:lang w:val="pt-PT" w:eastAsia="en-US"/>
    </w:rPr>
  </w:style>
  <w:style w:type="paragraph" w:styleId="ListBullet">
    <w:name w:val="List Bullet"/>
    <w:basedOn w:val="Normal"/>
    <w:uiPriority w:val="99"/>
    <w:unhideWhenUsed/>
    <w:rsid w:val="00FA1607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FA1607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FA1607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FA1607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FA1607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FA1607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FA1607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FA1607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A1607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A1607"/>
    <w:rPr>
      <w:rFonts w:ascii="Aptos Display" w:hAnsi="Aptos Display"/>
      <w:spacing w:val="-10"/>
      <w:kern w:val="28"/>
      <w:sz w:val="56"/>
      <w:szCs w:val="56"/>
      <w:lang w:val="pt-P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607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A1607"/>
    <w:rPr>
      <w:rFonts w:ascii="Calibri" w:hAnsi="Calibri"/>
      <w:color w:val="595959"/>
      <w:spacing w:val="15"/>
      <w:sz w:val="28"/>
      <w:szCs w:val="28"/>
      <w:lang w:val="pt-PT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A1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1607"/>
    <w:rPr>
      <w:b/>
      <w:bCs/>
      <w:lang w:val="pt-PT"/>
    </w:rPr>
  </w:style>
  <w:style w:type="paragraph" w:styleId="BalloonText">
    <w:name w:val="Balloon Text"/>
    <w:basedOn w:val="Normal"/>
    <w:link w:val="BalloonTextChar"/>
    <w:uiPriority w:val="99"/>
    <w:unhideWhenUsed/>
    <w:rsid w:val="00FA1607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1607"/>
    <w:rPr>
      <w:rFonts w:ascii="Tahoma" w:hAnsi="Tahoma" w:cs="Tahoma"/>
      <w:sz w:val="16"/>
      <w:szCs w:val="16"/>
      <w:lang w:val="pt-PT"/>
    </w:rPr>
  </w:style>
  <w:style w:type="paragraph" w:styleId="ListParagraph">
    <w:name w:val="List Paragraph"/>
    <w:basedOn w:val="Normal"/>
    <w:uiPriority w:val="34"/>
    <w:qFormat/>
    <w:rsid w:val="00FA1607"/>
    <w:pPr>
      <w:widowControl/>
      <w:spacing w:before="120" w:after="120"/>
      <w:ind w:left="720"/>
      <w:contextualSpacing/>
      <w:jc w:val="both"/>
    </w:pPr>
    <w:rPr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A1607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A1607"/>
    <w:rPr>
      <w:rFonts w:ascii="Calibri" w:eastAsia="Calibri" w:hAnsi="Calibri"/>
      <w:i/>
      <w:iCs/>
      <w:color w:val="404040"/>
      <w:sz w:val="22"/>
      <w:szCs w:val="22"/>
      <w:lang w:val="pt-PT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FA1607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07"/>
    <w:rPr>
      <w:rFonts w:ascii="Calibri" w:eastAsia="Calibri" w:hAnsi="Calibri"/>
      <w:i/>
      <w:iCs/>
      <w:color w:val="0F4761"/>
      <w:sz w:val="22"/>
      <w:szCs w:val="22"/>
      <w:lang w:val="pt-PT" w:eastAsia="en-US"/>
    </w:rPr>
  </w:style>
  <w:style w:type="paragraph" w:customStyle="1" w:styleId="ListBullet1">
    <w:name w:val="List Bullet 1"/>
    <w:basedOn w:val="Normal"/>
    <w:uiPriority w:val="99"/>
    <w:semiHidden/>
    <w:rsid w:val="00FA1607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FA1607"/>
    <w:pPr>
      <w:widowControl/>
      <w:numPr>
        <w:numId w:val="12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FA1607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FA1607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FA1607"/>
    <w:pPr>
      <w:widowControl/>
      <w:numPr>
        <w:ilvl w:val="1"/>
        <w:numId w:val="4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FA1607"/>
    <w:pPr>
      <w:widowControl/>
      <w:numPr>
        <w:ilvl w:val="2"/>
        <w:numId w:val="4"/>
      </w:numPr>
      <w:tabs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FA1607"/>
    <w:pPr>
      <w:widowControl/>
      <w:numPr>
        <w:ilvl w:val="3"/>
        <w:numId w:val="4"/>
      </w:numPr>
      <w:tabs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FA1607"/>
    <w:pPr>
      <w:widowControl/>
      <w:numPr>
        <w:numId w:val="15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FA1607"/>
    <w:pPr>
      <w:widowControl/>
      <w:numPr>
        <w:numId w:val="16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FA1607"/>
    <w:pPr>
      <w:numPr>
        <w:numId w:val="17"/>
      </w:numPr>
      <w:tabs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FA1607"/>
    <w:pPr>
      <w:numPr>
        <w:ilvl w:val="1"/>
        <w:numId w:val="17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FA1607"/>
    <w:pPr>
      <w:numPr>
        <w:ilvl w:val="1"/>
        <w:numId w:val="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FA1607"/>
    <w:pPr>
      <w:numPr>
        <w:ilvl w:val="2"/>
        <w:numId w:val="17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FA1607"/>
    <w:pPr>
      <w:numPr>
        <w:ilvl w:val="2"/>
        <w:numId w:val="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FA1607"/>
    <w:pPr>
      <w:numPr>
        <w:ilvl w:val="3"/>
        <w:numId w:val="17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FA1607"/>
    <w:pPr>
      <w:numPr>
        <w:ilvl w:val="3"/>
        <w:numId w:val="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FA160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FA160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FA160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FA1607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FA1607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FA160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FA160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FA160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FA160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FA1607"/>
  </w:style>
  <w:style w:type="character" w:customStyle="1" w:styleId="FooterCoverPageChar">
    <w:name w:val="Footer Cover Page Char"/>
    <w:link w:val="FooterCoverPage"/>
    <w:semiHidden/>
    <w:locked/>
    <w:rsid w:val="00FA1607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FA160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FA1607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FA160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FA1607"/>
    <w:pPr>
      <w:widowControl/>
      <w:numPr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2">
    <w:name w:val="LegalNumPar2"/>
    <w:basedOn w:val="Normal"/>
    <w:uiPriority w:val="99"/>
    <w:semiHidden/>
    <w:rsid w:val="00FA1607"/>
    <w:pPr>
      <w:widowControl/>
      <w:numPr>
        <w:ilvl w:val="1"/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LegalNumPar3">
    <w:name w:val="LegalNumPar3"/>
    <w:basedOn w:val="Normal"/>
    <w:uiPriority w:val="99"/>
    <w:semiHidden/>
    <w:rsid w:val="00FA1607"/>
    <w:pPr>
      <w:widowControl/>
      <w:numPr>
        <w:ilvl w:val="2"/>
        <w:numId w:val="18"/>
      </w:numPr>
      <w:spacing w:before="120" w:after="120" w:line="360" w:lineRule="auto"/>
      <w:ind w:left="0" w:firstLine="0"/>
      <w:jc w:val="both"/>
    </w:pPr>
    <w:rPr>
      <w:szCs w:val="22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FA1607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FA1607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FA1607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FA1607"/>
    <w:pPr>
      <w:widowControl/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FA1607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CommentQuotedText">
    <w:name w:val="CommentQuotedText"/>
    <w:uiPriority w:val="99"/>
    <w:semiHidden/>
    <w:rsid w:val="00FA1607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uiPriority w:val="99"/>
    <w:semiHidden/>
    <w:rsid w:val="00FA160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FA1607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FA1607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FA160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FA16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FA160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FA16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FA1607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FA1607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FA1607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FA1607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FA160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FA1607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FA160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semiHidden/>
    <w:rsid w:val="00FA160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semiHidden/>
    <w:rsid w:val="00FA160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FA160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FA160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FA160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FA160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semiHidden/>
    <w:rsid w:val="00FA1607"/>
    <w:pPr>
      <w:numPr>
        <w:numId w:val="19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FA1607"/>
    <w:pPr>
      <w:numPr>
        <w:numId w:val="20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FA1607"/>
    <w:pPr>
      <w:numPr>
        <w:numId w:val="21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FA1607"/>
    <w:pPr>
      <w:numPr>
        <w:numId w:val="22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FA1607"/>
    <w:pPr>
      <w:numPr>
        <w:numId w:val="23"/>
      </w:numPr>
      <w:tabs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FA1607"/>
    <w:pPr>
      <w:numPr>
        <w:numId w:val="24"/>
      </w:numPr>
      <w:tabs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FA160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FA160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FA160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FA160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FA160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FA160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FA160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FA160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FA160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FA160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FA1607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FA1607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FA1607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FA1607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FA1607"/>
    <w:pPr>
      <w:widowControl/>
      <w:numPr>
        <w:ilvl w:val="4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FA1607"/>
    <w:pPr>
      <w:widowControl/>
      <w:numPr>
        <w:ilvl w:val="5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FA1607"/>
    <w:pPr>
      <w:widowControl/>
      <w:numPr>
        <w:ilvl w:val="6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FA160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FA160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FA160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FA160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FA160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FA160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FA160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FA160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FA160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FA160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FA160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FA160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FA160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FA160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FA160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FA160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FA160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FA160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semiHidden/>
    <w:rsid w:val="00FA1607"/>
    <w:pPr>
      <w:widowControl/>
      <w:numPr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semiHidden/>
    <w:rsid w:val="00FA1607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semiHidden/>
    <w:rsid w:val="00FA1607"/>
    <w:pPr>
      <w:widowControl/>
      <w:numPr>
        <w:ilvl w:val="4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semiHidden/>
    <w:rsid w:val="00FA1607"/>
    <w:pPr>
      <w:widowControl/>
      <w:numPr>
        <w:ilvl w:val="6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semiHidden/>
    <w:rsid w:val="00FA1607"/>
    <w:pPr>
      <w:widowControl/>
      <w:numPr>
        <w:ilvl w:val="1"/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uiPriority w:val="99"/>
    <w:semiHidden/>
    <w:rsid w:val="00FA1607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semiHidden/>
    <w:rsid w:val="00FA1607"/>
    <w:pPr>
      <w:widowControl/>
      <w:numPr>
        <w:ilvl w:val="5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semiHidden/>
    <w:rsid w:val="00FA1607"/>
    <w:pPr>
      <w:widowControl/>
      <w:numPr>
        <w:ilvl w:val="7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semiHidden/>
    <w:rsid w:val="00FA1607"/>
    <w:pPr>
      <w:widowControl/>
      <w:numPr>
        <w:ilvl w:val="8"/>
        <w:numId w:val="26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FA1607"/>
    <w:pPr>
      <w:widowControl/>
      <w:numPr>
        <w:numId w:val="27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FA1607"/>
    <w:pPr>
      <w:widowControl/>
      <w:numPr>
        <w:numId w:val="28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FA1607"/>
    <w:pPr>
      <w:widowControl/>
      <w:numPr>
        <w:numId w:val="29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FA1607"/>
    <w:pPr>
      <w:widowControl/>
      <w:numPr>
        <w:numId w:val="30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FA1607"/>
    <w:pPr>
      <w:widowControl/>
      <w:numPr>
        <w:numId w:val="31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FA160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FA160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FA160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FA160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A160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FA160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FA160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FA160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FA160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FA160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FA160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FA160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A160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A160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FA160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FA160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FA1607"/>
  </w:style>
  <w:style w:type="paragraph" w:customStyle="1" w:styleId="Considrant">
    <w:name w:val="Considérant"/>
    <w:basedOn w:val="Normal"/>
    <w:rsid w:val="00FA1607"/>
    <w:pPr>
      <w:widowControl/>
      <w:numPr>
        <w:numId w:val="32"/>
      </w:numPr>
      <w:tabs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FA160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A160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FA160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A160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FA160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A160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A160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FA160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FA160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FA160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A160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A1607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FA160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FA160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FA160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semiHidden/>
    <w:rsid w:val="00FA160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FA160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FA1607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FA160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FA1607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FA1607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FA1607"/>
  </w:style>
  <w:style w:type="paragraph" w:customStyle="1" w:styleId="Volume">
    <w:name w:val="Volume"/>
    <w:basedOn w:val="Normal"/>
    <w:next w:val="Confidentialit"/>
    <w:uiPriority w:val="99"/>
    <w:semiHidden/>
    <w:rsid w:val="00FA160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FA160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FA160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FA160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FA1607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FA1607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FA1607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FA1607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nhideWhenUsed/>
    <w:rsid w:val="00FA1607"/>
    <w:rPr>
      <w:rFonts w:ascii="Times New Roman" w:hAnsi="Times New Roman" w:cs="Times New Roman" w:hint="default"/>
      <w:sz w:val="16"/>
      <w:szCs w:val="16"/>
    </w:rPr>
  </w:style>
  <w:style w:type="character" w:styleId="EndnoteReference">
    <w:name w:val="endnote reference"/>
    <w:basedOn w:val="DefaultParagraphFont"/>
    <w:uiPriority w:val="99"/>
    <w:unhideWhenUsed/>
    <w:rsid w:val="00FA1607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FA1607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FA1607"/>
    <w:rPr>
      <w:b/>
      <w:bCs/>
      <w:smallCaps/>
      <w:color w:val="4F81BD"/>
      <w:spacing w:val="5"/>
    </w:rPr>
  </w:style>
  <w:style w:type="character" w:customStyle="1" w:styleId="tw4winMark">
    <w:name w:val="tw4winMark"/>
    <w:rsid w:val="00FA1607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FA1607"/>
    <w:rPr>
      <w:rFonts w:ascii="Times New Roman" w:hAnsi="Times New Roman" w:cs="Times New Roman" w:hint="default"/>
      <w:b/>
      <w:bCs w:val="0"/>
      <w:sz w:val="28"/>
      <w:lang w:val="pt-PT"/>
    </w:rPr>
  </w:style>
  <w:style w:type="character" w:customStyle="1" w:styleId="FooterSensitivityChar">
    <w:name w:val="Footer Sensitivity Char"/>
    <w:rsid w:val="00FA1607"/>
    <w:rPr>
      <w:rFonts w:ascii="Times New Roman" w:hAnsi="Times New Roman" w:cs="Times New Roman" w:hint="default"/>
      <w:b/>
      <w:bCs w:val="0"/>
      <w:sz w:val="32"/>
      <w:lang w:val="pt-PT"/>
    </w:rPr>
  </w:style>
  <w:style w:type="character" w:customStyle="1" w:styleId="HeaderSensitivityChar">
    <w:name w:val="Header Sensitivity Char"/>
    <w:rsid w:val="00FA1607"/>
    <w:rPr>
      <w:rFonts w:ascii="Times New Roman" w:hAnsi="Times New Roman" w:cs="Times New Roman" w:hint="default"/>
      <w:b/>
      <w:bCs w:val="0"/>
      <w:sz w:val="32"/>
      <w:lang w:val="pt-PT"/>
    </w:rPr>
  </w:style>
  <w:style w:type="character" w:customStyle="1" w:styleId="HeaderSensitivityRightChar">
    <w:name w:val="Header Sensitivity Right Char"/>
    <w:rsid w:val="00FA1607"/>
    <w:rPr>
      <w:rFonts w:ascii="Times New Roman" w:hAnsi="Times New Roman" w:cs="Times New Roman" w:hint="default"/>
      <w:sz w:val="28"/>
      <w:lang w:val="pt-PT"/>
    </w:rPr>
  </w:style>
  <w:style w:type="character" w:customStyle="1" w:styleId="UnresolvedMention1">
    <w:name w:val="Unresolved Mention1"/>
    <w:basedOn w:val="DefaultParagraphFont"/>
    <w:uiPriority w:val="99"/>
    <w:semiHidden/>
    <w:rsid w:val="00FA1607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FA1607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FA1607"/>
  </w:style>
  <w:style w:type="character" w:customStyle="1" w:styleId="eop">
    <w:name w:val="eop"/>
    <w:basedOn w:val="DefaultParagraphFont"/>
    <w:rsid w:val="00FA1607"/>
  </w:style>
  <w:style w:type="character" w:customStyle="1" w:styleId="diff-single-moved-from">
    <w:name w:val="diff-single-moved-from"/>
    <w:basedOn w:val="DefaultParagraphFont"/>
    <w:rsid w:val="00FA1607"/>
  </w:style>
  <w:style w:type="character" w:customStyle="1" w:styleId="diff-single-moved-from-number">
    <w:name w:val="diff-single-moved-from-number"/>
    <w:basedOn w:val="DefaultParagraphFont"/>
    <w:rsid w:val="00FA1607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FA1607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FA1607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FA1607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FA1607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FA1607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FA1607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FA1607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FA1607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FA1607"/>
  </w:style>
  <w:style w:type="character" w:customStyle="1" w:styleId="HeaderChar1">
    <w:name w:val="Header Char1"/>
    <w:basedOn w:val="DefaultParagraphFont"/>
    <w:uiPriority w:val="99"/>
    <w:semiHidden/>
    <w:rsid w:val="00FA1607"/>
    <w:rPr>
      <w:rFonts w:ascii="Times New Roman" w:hAnsi="Times New Roman" w:cs="Times New Roman" w:hint="default"/>
      <w:kern w:val="0"/>
      <w:sz w:val="24"/>
      <w:lang w:val="pt-PT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FA1607"/>
    <w:rPr>
      <w:rFonts w:ascii="Times New Roman" w:hAnsi="Times New Roman" w:cs="Times New Roman" w:hint="default"/>
      <w:kern w:val="0"/>
      <w:sz w:val="24"/>
      <w:lang w:val="pt-PT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FA1607"/>
    <w:rPr>
      <w:rFonts w:ascii="Cambria" w:eastAsia="Times New Roman" w:hAnsi="Cambria" w:cs="Times New Roman" w:hint="default"/>
      <w:color w:val="272727"/>
      <w:sz w:val="21"/>
      <w:szCs w:val="21"/>
      <w:lang w:val="pt-PT"/>
    </w:rPr>
  </w:style>
  <w:style w:type="character" w:customStyle="1" w:styleId="Heading9Char1">
    <w:name w:val="Heading 9 Char1"/>
    <w:basedOn w:val="DefaultParagraphFont"/>
    <w:uiPriority w:val="9"/>
    <w:semiHidden/>
    <w:rsid w:val="00FA1607"/>
    <w:rPr>
      <w:rFonts w:ascii="Cambria" w:eastAsia="Times New Roman" w:hAnsi="Cambria" w:cs="Times New Roman" w:hint="default"/>
      <w:i/>
      <w:iCs/>
      <w:color w:val="272727"/>
      <w:sz w:val="21"/>
      <w:szCs w:val="21"/>
      <w:lang w:val="pt-PT"/>
    </w:rPr>
  </w:style>
  <w:style w:type="character" w:customStyle="1" w:styleId="TitleChar1">
    <w:name w:val="Title Char1"/>
    <w:basedOn w:val="DefaultParagraphFont"/>
    <w:uiPriority w:val="10"/>
    <w:rsid w:val="00FA1607"/>
    <w:rPr>
      <w:rFonts w:ascii="Cambria" w:eastAsia="Times New Roman" w:hAnsi="Cambria" w:cs="Times New Roman" w:hint="default"/>
      <w:spacing w:val="-10"/>
      <w:kern w:val="28"/>
      <w:sz w:val="56"/>
      <w:szCs w:val="56"/>
      <w:lang w:val="pt-PT"/>
    </w:rPr>
  </w:style>
  <w:style w:type="character" w:customStyle="1" w:styleId="SubtitleChar1">
    <w:name w:val="Subtitle Char1"/>
    <w:basedOn w:val="DefaultParagraphFont"/>
    <w:uiPriority w:val="11"/>
    <w:rsid w:val="00FA1607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pt-PT"/>
    </w:rPr>
  </w:style>
  <w:style w:type="character" w:customStyle="1" w:styleId="QuoteChar1">
    <w:name w:val="Quote Char1"/>
    <w:basedOn w:val="DefaultParagraphFont"/>
    <w:uiPriority w:val="29"/>
    <w:rsid w:val="00FA1607"/>
    <w:rPr>
      <w:rFonts w:ascii="Times New Roman" w:hAnsi="Times New Roman" w:cs="Times New Roman" w:hint="default"/>
      <w:i/>
      <w:iCs/>
      <w:color w:val="404040"/>
      <w:sz w:val="24"/>
      <w:lang w:val="pt-PT"/>
    </w:rPr>
  </w:style>
  <w:style w:type="character" w:customStyle="1" w:styleId="IntenseQuoteChar1">
    <w:name w:val="Intense Quote Char1"/>
    <w:basedOn w:val="DefaultParagraphFont"/>
    <w:uiPriority w:val="30"/>
    <w:rsid w:val="00FA1607"/>
    <w:rPr>
      <w:rFonts w:ascii="Times New Roman" w:hAnsi="Times New Roman" w:cs="Times New Roman" w:hint="default"/>
      <w:i/>
      <w:iCs/>
      <w:color w:val="365F91"/>
      <w:sz w:val="24"/>
      <w:lang w:val="pt-PT"/>
    </w:rPr>
  </w:style>
  <w:style w:type="character" w:customStyle="1" w:styleId="superscript">
    <w:name w:val="superscript"/>
    <w:basedOn w:val="DefaultParagraphFont"/>
    <w:rsid w:val="00FA1607"/>
  </w:style>
  <w:style w:type="character" w:customStyle="1" w:styleId="Marker">
    <w:name w:val="Marker"/>
    <w:basedOn w:val="DefaultParagraphFont"/>
    <w:rsid w:val="00FA1607"/>
    <w:rPr>
      <w:color w:val="0000FF"/>
    </w:rPr>
  </w:style>
  <w:style w:type="character" w:customStyle="1" w:styleId="Marker1">
    <w:name w:val="Marker1"/>
    <w:basedOn w:val="DefaultParagraphFont"/>
    <w:rsid w:val="00FA1607"/>
    <w:rPr>
      <w:color w:val="008000"/>
    </w:rPr>
  </w:style>
  <w:style w:type="character" w:customStyle="1" w:styleId="Marker2">
    <w:name w:val="Marker2"/>
    <w:basedOn w:val="DefaultParagraphFont"/>
    <w:rsid w:val="00FA1607"/>
    <w:rPr>
      <w:color w:val="FF0000"/>
    </w:rPr>
  </w:style>
  <w:style w:type="character" w:customStyle="1" w:styleId="Added">
    <w:name w:val="Added"/>
    <w:basedOn w:val="DefaultParagraphFont"/>
    <w:rsid w:val="00FA1607"/>
    <w:rPr>
      <w:b/>
      <w:bCs w:val="0"/>
      <w:u w:val="single"/>
    </w:rPr>
  </w:style>
  <w:style w:type="character" w:customStyle="1" w:styleId="Deleted">
    <w:name w:val="Deleted"/>
    <w:basedOn w:val="DefaultParagraphFont"/>
    <w:rsid w:val="00FA1607"/>
    <w:rPr>
      <w:strike/>
    </w:rPr>
  </w:style>
  <w:style w:type="table" w:customStyle="1" w:styleId="TableGrid1">
    <w:name w:val="Table Grid1"/>
    <w:basedOn w:val="TableNormal"/>
    <w:next w:val="TableGrid"/>
    <w:rsid w:val="00FA1607"/>
    <w:pPr>
      <w:spacing w:before="120" w:after="120"/>
      <w:jc w:val="both"/>
    </w:pPr>
    <w:rPr>
      <w:lang w:val="pt-PT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FA1607"/>
    <w:rPr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FA1607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A1607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A1607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A1607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A1607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A1607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0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eastAsia="en-US"/>
    </w:rPr>
  </w:style>
  <w:style w:type="character" w:customStyle="1" w:styleId="IntenseQuoteChar2">
    <w:name w:val="Intense Quote Char2"/>
    <w:basedOn w:val="DefaultParagraphFont"/>
    <w:uiPriority w:val="30"/>
    <w:rsid w:val="00FA1607"/>
    <w:rPr>
      <w:i/>
      <w:iCs/>
      <w:color w:val="5B9BD5" w:themeColor="accent1"/>
      <w:sz w:val="24"/>
      <w:lang w:val="pt-PT"/>
    </w:rPr>
  </w:style>
  <w:style w:type="character" w:styleId="IntenseEmphasis">
    <w:name w:val="Intense Emphasis"/>
    <w:basedOn w:val="DefaultParagraphFont"/>
    <w:uiPriority w:val="21"/>
    <w:qFormat/>
    <w:rsid w:val="00FA1607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FA1607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FA1607"/>
    <w:pPr>
      <w:spacing w:after="480"/>
    </w:pPr>
  </w:style>
  <w:style w:type="paragraph" w:customStyle="1" w:styleId="NormalBoldCenter">
    <w:name w:val="NormalBoldCenter"/>
    <w:basedOn w:val="Normal"/>
    <w:rsid w:val="00FA1607"/>
    <w:pPr>
      <w:jc w:val="center"/>
    </w:pPr>
    <w:rPr>
      <w:b/>
    </w:rPr>
  </w:style>
  <w:style w:type="paragraph" w:customStyle="1" w:styleId="Footprint12b">
    <w:name w:val="Footprint12b"/>
    <w:basedOn w:val="Normal"/>
    <w:rsid w:val="00FA160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A1607"/>
    <w:rPr>
      <w:szCs w:val="24"/>
    </w:rPr>
  </w:style>
  <w:style w:type="paragraph" w:customStyle="1" w:styleId="title-bold">
    <w:name w:val="title-bold"/>
    <w:basedOn w:val="Normal"/>
    <w:rsid w:val="00FA1607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A1607"/>
    <w:pPr>
      <w:spacing w:after="240"/>
    </w:pPr>
  </w:style>
  <w:style w:type="paragraph" w:customStyle="1" w:styleId="RollCallVotes">
    <w:name w:val="RollCallVotes"/>
    <w:basedOn w:val="Normal"/>
    <w:rsid w:val="00FA16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A16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A16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A1607"/>
    <w:pPr>
      <w:spacing w:before="120" w:after="120"/>
    </w:pPr>
    <w:rPr>
      <w:snapToGrid w:val="0"/>
      <w:sz w:val="16"/>
      <w:lang w:eastAsia="en-US"/>
    </w:rPr>
  </w:style>
  <w:style w:type="paragraph" w:customStyle="1" w:styleId="LineSingle">
    <w:name w:val="LineSingle"/>
    <w:basedOn w:val="Normal"/>
    <w:next w:val="Normal"/>
    <w:rsid w:val="00AD34FA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AD34FA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AD34FA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AD34FA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AD34FA"/>
    <w:pPr>
      <w:jc w:val="center"/>
    </w:pPr>
  </w:style>
  <w:style w:type="paragraph" w:customStyle="1" w:styleId="HeadingReferenceERCO">
    <w:name w:val="HeadingReferenceERCO"/>
    <w:basedOn w:val="Normal"/>
    <w:rsid w:val="00AD34FA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AD34FA"/>
    <w:pPr>
      <w:spacing w:before="240" w:after="240"/>
    </w:pPr>
  </w:style>
  <w:style w:type="character" w:styleId="UnresolvedMention">
    <w:name w:val="Unresolved Mention"/>
    <w:basedOn w:val="DefaultParagraphFont"/>
    <w:uiPriority w:val="99"/>
    <w:semiHidden/>
    <w:unhideWhenUsed/>
    <w:rsid w:val="00AD34F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423505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423505"/>
    <w:pPr>
      <w:spacing w:before="240" w:after="240"/>
      <w:jc w:val="right"/>
    </w:pPr>
  </w:style>
  <w:style w:type="paragraph" w:customStyle="1" w:styleId="AmDateTab">
    <w:name w:val="AmDateTab"/>
    <w:basedOn w:val="Normal"/>
    <w:rsid w:val="00423505"/>
    <w:pPr>
      <w:tabs>
        <w:tab w:val="right" w:pos="9072"/>
      </w:tabs>
    </w:pPr>
  </w:style>
  <w:style w:type="paragraph" w:customStyle="1" w:styleId="Normal3a">
    <w:name w:val="Normal3a"/>
    <w:basedOn w:val="Normal"/>
    <w:rsid w:val="00423505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423505"/>
    <w:pPr>
      <w:keepLines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Footer2">
    <w:name w:val="Footer2"/>
    <w:rsid w:val="00423505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423505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23505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42350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423505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423505"/>
    <w:pPr>
      <w:spacing w:before="120" w:after="120" w:line="360" w:lineRule="auto"/>
    </w:pPr>
    <w:rPr>
      <w:sz w:val="24"/>
      <w:lang w:val="pt-PT" w:eastAsia="en-US"/>
    </w:rPr>
  </w:style>
  <w:style w:type="character" w:customStyle="1" w:styleId="CMissingStyle">
    <w:name w:val="C_MissingStyle"/>
    <w:rsid w:val="00423505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423505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423505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423505"/>
    <w:rPr>
      <w:color w:val="800080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010EBD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2641</Characters>
  <Application>Microsoft Office Word</Application>
  <DocSecurity>0</DocSecurity>
  <Lines>48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2026-10-19T11:09:00Z</dcterms:created>
  <dcterms:modified xsi:type="dcterms:W3CDTF">2026-10-19T11:09:00Z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