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22F262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D72C2" w:rsidP="0010095E" w14:paraId="26A7AF3B" w14:textId="77777777">
            <w:pPr>
              <w:pStyle w:val="EPName"/>
            </w:pPr>
            <w:r w:rsidRPr="00FD72C2">
              <w:t>Evropský parlament</w:t>
            </w:r>
          </w:p>
          <w:p w:rsidR="00751A4A" w:rsidRPr="00FD72C2" w:rsidP="005F1B17" w14:paraId="09FA42B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72C2">
              <w:t>2024</w:t>
            </w:r>
            <w:r w:rsidRPr="00FD72C2" w:rsidR="00817416">
              <w:t>-202</w:t>
            </w:r>
            <w:r w:rsidRPr="00FD72C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D72C2" w:rsidP="0010095E" w14:paraId="60DDA5D1" w14:textId="77777777">
            <w:pPr>
              <w:pStyle w:val="EPLogo"/>
            </w:pPr>
            <w:r w:rsidRPr="00FD72C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D72C2" w:rsidP="004C5D52" w14:paraId="55D6ACB5" w14:textId="77777777">
      <w:pPr>
        <w:pStyle w:val="LineTop"/>
      </w:pPr>
    </w:p>
    <w:p w:rsidR="00680577" w:rsidRPr="00FD72C2" w:rsidP="00680577" w14:paraId="27AC8B19" w14:textId="77777777">
      <w:pPr>
        <w:pStyle w:val="EPBodyTA1"/>
      </w:pPr>
      <w:r w:rsidRPr="00FD72C2">
        <w:t>PŘIJATÉ TEXTY</w:t>
      </w:r>
    </w:p>
    <w:p w:rsidR="00D058B8" w:rsidRPr="00FD72C2" w:rsidP="00D058B8" w14:paraId="216114C7" w14:textId="77777777">
      <w:pPr>
        <w:pStyle w:val="LineBottom"/>
      </w:pPr>
    </w:p>
    <w:p w:rsidR="007F0B79" w:rsidRPr="00FD72C2" w:rsidP="007F0B79" w14:paraId="2466CFD7" w14:textId="4AA73A5F">
      <w:pPr>
        <w:pStyle w:val="ATHeading1"/>
      </w:pPr>
      <w:bookmarkStart w:id="0" w:name="TANumber"/>
      <w:r w:rsidRPr="00FD72C2">
        <w:t>P10_</w:t>
      </w:r>
      <w:r w:rsidRPr="00FD72C2">
        <w:t>TA(</w:t>
      </w:r>
      <w:r w:rsidRPr="00FD72C2">
        <w:t>2026)0</w:t>
      </w:r>
      <w:r w:rsidR="001A41EA">
        <w:t>209</w:t>
      </w:r>
      <w:bookmarkEnd w:id="0"/>
    </w:p>
    <w:p w:rsidR="007F0B79" w:rsidRPr="00FD72C2" w:rsidP="00B364BA" w14:paraId="174031C4" w14:textId="23BDDEDC">
      <w:pPr>
        <w:pStyle w:val="ATHeading2"/>
      </w:pPr>
      <w:r>
        <w:t>Dobrovolná dohoda o partnerství mezi EU a Libérií o prosazování práva a správě v oblasti lesnictví a o obchodu s dřevařskými výrobky: ukončení</w:t>
      </w:r>
    </w:p>
    <w:p w:rsidR="007F0B79" w:rsidRPr="00FD72C2" w:rsidP="007F0B79" w14:paraId="14C1EAB2" w14:textId="77777777">
      <w:pPr>
        <w:rPr>
          <w:i/>
          <w:vanish/>
        </w:rPr>
      </w:pPr>
      <w:r>
        <w:rPr>
          <w:i/>
        </w:rPr>
        <w:fldChar w:fldCharType="begin"/>
      </w:r>
      <w:r w:rsidRPr="00FD72C2">
        <w:rPr>
          <w:i/>
        </w:rPr>
        <w:instrText xml:space="preserve"> TC"(</w:instrText>
      </w:r>
      <w:bookmarkStart w:id="1" w:name="DocNumber"/>
      <w:r w:rsidRPr="00FD72C2">
        <w:rPr>
          <w:i/>
        </w:rPr>
        <w:instrText>A10-0133/2026</w:instrText>
      </w:r>
      <w:bookmarkEnd w:id="1"/>
      <w:r w:rsidRPr="00FD72C2">
        <w:rPr>
          <w:i/>
        </w:rPr>
        <w:instrText xml:space="preserve"> - Zpravodajka: Karin Karlsbro)"\l3 \n&gt; \* MERGEFORMAT </w:instrText>
      </w:r>
      <w:r>
        <w:rPr>
          <w:i/>
        </w:rPr>
        <w:fldChar w:fldCharType="end"/>
      </w:r>
    </w:p>
    <w:p w:rsidR="007F0B79" w:rsidRPr="00FD72C2" w:rsidP="007F0B79" w14:paraId="6E5574DF" w14:textId="77777777">
      <w:pPr>
        <w:rPr>
          <w:vanish/>
        </w:rPr>
      </w:pPr>
      <w:bookmarkStart w:id="2" w:name="Commission"/>
      <w:r w:rsidRPr="00FD72C2">
        <w:rPr>
          <w:vanish/>
        </w:rPr>
        <w:t>Výbor pro mezinárodní obchod</w:t>
      </w:r>
      <w:bookmarkEnd w:id="2"/>
    </w:p>
    <w:p w:rsidR="007F0B79" w:rsidRPr="00FD72C2" w:rsidP="007F0B79" w14:paraId="5F71706B" w14:textId="77777777">
      <w:pPr>
        <w:rPr>
          <w:vanish/>
        </w:rPr>
      </w:pPr>
      <w:bookmarkStart w:id="3" w:name="PE"/>
      <w:r w:rsidRPr="00FD72C2">
        <w:rPr>
          <w:vanish/>
        </w:rPr>
        <w:t>PE784.295</w:t>
      </w:r>
      <w:bookmarkEnd w:id="3"/>
    </w:p>
    <w:p w:rsidR="007F0B79" w:rsidRPr="00FD72C2" w:rsidP="007F0B79" w14:paraId="1DF297CF" w14:textId="3429346C">
      <w:pPr>
        <w:pStyle w:val="ATHeading3"/>
      </w:pPr>
      <w:bookmarkStart w:id="4" w:name="Sujet"/>
      <w:r w:rsidRPr="00FD72C2">
        <w:t>Legislativní usnesení Evropského parlamentu ze dne</w:t>
      </w:r>
      <w:r w:rsidR="00B364BA">
        <w:t xml:space="preserve"> </w:t>
      </w:r>
      <w:r w:rsidR="00BC5578">
        <w:t>17</w:t>
      </w:r>
      <w:r w:rsidR="00B364BA">
        <w:t>. června</w:t>
      </w:r>
      <w:r w:rsidRPr="00FD72C2">
        <w:t xml:space="preserve"> 2026 k návrhu rozhodnutí Rady o ukončení Dobrovolné dohody o partnerství mezi Evropskou unií a Liberijskou republikou o prosazování práva a správě v oblasti lesnictví a o obchodu s dřevařskými výrobky vstupujícími na území Evropské unie</w:t>
      </w:r>
      <w:bookmarkEnd w:id="4"/>
      <w:r w:rsidRPr="00FD72C2">
        <w:t xml:space="preserve"> </w:t>
      </w:r>
      <w:bookmarkStart w:id="5" w:name="References"/>
      <w:r w:rsidRPr="00FD72C2">
        <w:t>(14569/2025 – C10-0299/</w:t>
      </w:r>
      <w:r w:rsidRPr="00FD72C2">
        <w:t>2025 – 2025</w:t>
      </w:r>
      <w:r w:rsidRPr="00FD72C2">
        <w:t>/0259(NLE))</w:t>
      </w:r>
      <w:bookmarkEnd w:id="5"/>
    </w:p>
    <w:p w:rsidR="007F7AAD" w:rsidRPr="00FD72C2" w:rsidP="007F7AAD" w14:paraId="37D6F51A" w14:textId="77777777">
      <w:pPr>
        <w:pStyle w:val="NormalBold"/>
      </w:pPr>
      <w:r w:rsidRPr="00FD72C2">
        <w:t>(Souhlas)</w:t>
      </w:r>
    </w:p>
    <w:p w:rsidR="007F7AAD" w:rsidRPr="00FD72C2" w:rsidP="007F7AAD" w14:paraId="4C85C00F" w14:textId="77777777">
      <w:pPr>
        <w:pStyle w:val="EPComma"/>
      </w:pPr>
      <w:r w:rsidRPr="00FD72C2">
        <w:rPr>
          <w:i/>
        </w:rPr>
        <w:t>Evropský parlament</w:t>
      </w:r>
      <w:r w:rsidRPr="00FD72C2">
        <w:t>,</w:t>
      </w:r>
    </w:p>
    <w:p w:rsidR="007F7AAD" w:rsidRPr="00FD72C2" w:rsidP="007F7AAD" w14:paraId="4225E294" w14:textId="77777777">
      <w:pPr>
        <w:pStyle w:val="NormalHanging12a"/>
      </w:pPr>
      <w:r w:rsidRPr="00FD72C2">
        <w:t>–</w:t>
      </w:r>
      <w:r w:rsidRPr="00FD72C2">
        <w:tab/>
        <w:t>s ohledem na návrh rozhodnutí Rady (14569/2025),</w:t>
      </w:r>
    </w:p>
    <w:p w:rsidR="007F7AAD" w:rsidRPr="00FD72C2" w:rsidP="007F7AAD" w14:paraId="42722D85" w14:textId="343C18A6">
      <w:pPr>
        <w:pStyle w:val="NormalHanging12a"/>
      </w:pPr>
      <w:r w:rsidRPr="00FD72C2">
        <w:t>–</w:t>
      </w:r>
      <w:r w:rsidRPr="00FD72C2">
        <w:tab/>
        <w:t xml:space="preserve">s ohledem na Dobrovolnou dohodu o partnerství mezi Evropskou unií a Liberijskou republikou </w:t>
      </w:r>
      <w:r w:rsidR="00BC5578">
        <w:t>o</w:t>
      </w:r>
      <w:r w:rsidRPr="00FD72C2" w:rsidR="00BC5578">
        <w:t xml:space="preserve"> </w:t>
      </w:r>
      <w:r w:rsidRPr="00FD72C2">
        <w:t>prosazování práva a správě v oblasti lesnictví a o obchodu s dřevařskými výrobky vstupujícími na území Evropské unie</w:t>
      </w:r>
      <w:r>
        <w:rPr>
          <w:vertAlign w:val="superscript"/>
        </w:rPr>
        <w:footnoteReference w:id="2"/>
      </w:r>
      <w:r w:rsidRPr="00FD72C2">
        <w:t xml:space="preserve">, </w:t>
      </w:r>
    </w:p>
    <w:p w:rsidR="007F7AAD" w:rsidRPr="00FD72C2" w:rsidP="007F7AAD" w14:paraId="3149146B" w14:textId="5EF890BC">
      <w:pPr>
        <w:pStyle w:val="NormalHanging12a"/>
      </w:pPr>
      <w:r w:rsidRPr="00FD72C2">
        <w:t>–</w:t>
      </w:r>
      <w:r w:rsidRPr="00FD72C2">
        <w:tab/>
        <w:t>s ohledem na žádost o udělení souhlasu, kterou předložila Rada v souladu s čl. 207 odst. 4 prvním pododstavcem a čl. 218 odst. 6 druhým pododstavcem písm. a) bod</w:t>
      </w:r>
      <w:r w:rsidR="000D07AB">
        <w:t>em</w:t>
      </w:r>
      <w:r w:rsidRPr="00FD72C2">
        <w:t xml:space="preserve"> v) Smlouvy o fungování Evropské unie (C10</w:t>
      </w:r>
      <w:r w:rsidRPr="00FD72C2">
        <w:noBreakHyphen/>
        <w:t>0299/2025),</w:t>
      </w:r>
    </w:p>
    <w:p w:rsidR="007F7AAD" w:rsidRPr="00FD72C2" w:rsidP="007F7AAD" w14:paraId="5BA12330" w14:textId="015B261B">
      <w:pPr>
        <w:pStyle w:val="NormalHanging12a"/>
      </w:pPr>
      <w:r w:rsidRPr="00FD72C2">
        <w:t>–</w:t>
      </w:r>
      <w:r w:rsidRPr="00FD72C2">
        <w:tab/>
        <w:t xml:space="preserve">s ohledem na své nelegislativní usnesení ze dne </w:t>
      </w:r>
      <w:r w:rsidR="00BC5578">
        <w:t>17. června 2026</w:t>
      </w:r>
      <w:r>
        <w:rPr>
          <w:rStyle w:val="FootnoteReference"/>
        </w:rPr>
        <w:footnoteReference w:id="3"/>
      </w:r>
      <w:r w:rsidRPr="00BC5578">
        <w:t xml:space="preserve"> o</w:t>
      </w:r>
      <w:r w:rsidRPr="00FD72C2">
        <w:t> návrhu rozhodnutí,</w:t>
      </w:r>
    </w:p>
    <w:p w:rsidR="007F7AAD" w:rsidRPr="00FD72C2" w:rsidP="007F7AAD" w14:paraId="4FCFCBDE" w14:textId="77777777">
      <w:pPr>
        <w:pStyle w:val="NormalHanging12a"/>
      </w:pPr>
      <w:r w:rsidRPr="00FD72C2">
        <w:t>–</w:t>
      </w:r>
      <w:r w:rsidRPr="00FD72C2">
        <w:tab/>
        <w:t>s ohledem na čl. 107 odst. 1 a 4 a čl. 117 odst. 7 jednacího řádu,</w:t>
      </w:r>
    </w:p>
    <w:p w:rsidR="007F7AAD" w:rsidRPr="00FD72C2" w:rsidP="007F7AAD" w14:paraId="71CCDEE9" w14:textId="77777777">
      <w:pPr>
        <w:pStyle w:val="NormalHanging12a"/>
      </w:pPr>
      <w:r w:rsidRPr="00FD72C2">
        <w:t>–</w:t>
      </w:r>
      <w:r w:rsidRPr="00FD72C2">
        <w:tab/>
        <w:t>s ohledem na stanovisko Výboru pro rozvoj,</w:t>
      </w:r>
    </w:p>
    <w:p w:rsidR="007F7AAD" w:rsidRPr="00FD72C2" w:rsidP="007F7AAD" w14:paraId="5B9073A0" w14:textId="77777777">
      <w:pPr>
        <w:pStyle w:val="NormalHanging12a"/>
      </w:pPr>
      <w:r w:rsidRPr="00FD72C2">
        <w:t>–</w:t>
      </w:r>
      <w:r w:rsidRPr="00FD72C2">
        <w:tab/>
        <w:t>s ohledem na doporučení Výboru pro mezinárodní obchod (A10</w:t>
      </w:r>
      <w:r w:rsidRPr="00FD72C2">
        <w:noBreakHyphen/>
        <w:t>0133/2026),</w:t>
      </w:r>
    </w:p>
    <w:p w:rsidR="007F7AAD" w:rsidRPr="00FD72C2" w:rsidP="007F7AAD" w14:paraId="4FB09904" w14:textId="77777777">
      <w:pPr>
        <w:pStyle w:val="NormalHanging12a"/>
      </w:pPr>
      <w:r w:rsidRPr="00FD72C2">
        <w:t>1.</w:t>
      </w:r>
      <w:r w:rsidRPr="00FD72C2">
        <w:tab/>
        <w:t>uděluje souhlas s ukončením dohody;</w:t>
      </w:r>
    </w:p>
    <w:p w:rsidR="00E365E1" w:rsidRPr="00FD72C2" w:rsidP="0059245B" w14:paraId="42CF9705" w14:textId="551B3F44">
      <w:pPr>
        <w:pStyle w:val="NormalHanging12a"/>
      </w:pPr>
      <w:r w:rsidRPr="00FD72C2">
        <w:t>2.</w:t>
      </w:r>
      <w:r w:rsidRPr="00FD72C2">
        <w:tab/>
        <w:t>pověřuje svou předsedkyni, aby předala postoj Parlamentu Radě</w:t>
      </w:r>
      <w:r w:rsidR="00B364BA">
        <w:t xml:space="preserve"> a </w:t>
      </w:r>
      <w:r w:rsidRPr="00FD72C2">
        <w:t>Komisi, jakož i vládám a parlamentům členských států a Liberijské republiky.</w:t>
      </w:r>
    </w:p>
    <w:sectPr w:rsidSect="00FD72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72C2" w14:paraId="63CB6E1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72C2" w14:paraId="7019075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72C2" w14:paraId="715ED3B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F0B79" w:rsidRPr="00FD72C2" w14:paraId="780D0F6C" w14:textId="77777777">
      <w:r w:rsidRPr="00FD72C2">
        <w:separator/>
      </w:r>
    </w:p>
  </w:footnote>
  <w:footnote w:type="continuationSeparator" w:id="1">
    <w:p w:rsidR="007F0B79" w:rsidRPr="00FD72C2" w14:paraId="61924E05" w14:textId="77777777">
      <w:r w:rsidRPr="00FD72C2">
        <w:continuationSeparator/>
      </w:r>
    </w:p>
  </w:footnote>
  <w:footnote w:id="2">
    <w:p w:rsidR="007F7AAD" w:rsidRPr="00FD72C2" w:rsidP="00FD72C2" w14:paraId="13E653C2" w14:textId="7A8F92FA">
      <w:pPr>
        <w:pStyle w:val="FootnoteText"/>
        <w:ind w:left="567" w:hanging="567"/>
        <w:rPr>
          <w:sz w:val="24"/>
          <w:lang w:val="cs-CZ"/>
        </w:rPr>
      </w:pPr>
      <w:r w:rsidRPr="00FD72C2">
        <w:rPr>
          <w:rStyle w:val="FootnoteReference"/>
          <w:sz w:val="24"/>
          <w:lang w:val="cs-CZ"/>
        </w:rPr>
        <w:footnoteRef/>
      </w:r>
      <w:r w:rsidRPr="00FD72C2" w:rsidR="00FD72C2">
        <w:rPr>
          <w:sz w:val="24"/>
          <w:lang w:val="cs-CZ"/>
        </w:rPr>
        <w:t xml:space="preserve"> </w:t>
      </w:r>
      <w:r w:rsidRPr="00FD72C2" w:rsidR="00FD72C2">
        <w:rPr>
          <w:sz w:val="24"/>
          <w:lang w:val="cs-CZ"/>
        </w:rPr>
        <w:tab/>
      </w:r>
      <w:r w:rsidRPr="00FD72C2">
        <w:rPr>
          <w:sz w:val="24"/>
          <w:lang w:val="cs-CZ"/>
        </w:rPr>
        <w:t>Úř</w:t>
      </w:r>
      <w:r w:rsidRPr="00FD72C2">
        <w:rPr>
          <w:sz w:val="24"/>
          <w:lang w:val="cs-CZ"/>
        </w:rPr>
        <w:t xml:space="preserve">. </w:t>
      </w:r>
      <w:r w:rsidRPr="00FD72C2">
        <w:rPr>
          <w:sz w:val="24"/>
          <w:lang w:val="cs-CZ"/>
        </w:rPr>
        <w:t>věst</w:t>
      </w:r>
      <w:r w:rsidRPr="00FD72C2">
        <w:rPr>
          <w:sz w:val="24"/>
          <w:lang w:val="cs-CZ"/>
        </w:rPr>
        <w:t xml:space="preserve">. L 191, 19.7.2012, s. 3, ELI: </w:t>
      </w:r>
      <w:hyperlink r:id="rId1" w:history="1">
        <w:r w:rsidRPr="00D12317">
          <w:rPr>
            <w:rStyle w:val="Hyperlink"/>
            <w:sz w:val="24"/>
            <w:lang w:val="cs-CZ"/>
          </w:rPr>
          <w:t>https://eur-lex.europa.eu/legal-content/EN/TXT/?uri=CELEX:22012A0719(01)</w:t>
        </w:r>
      </w:hyperlink>
      <w:r w:rsidRPr="00D12317">
        <w:rPr>
          <w:sz w:val="24"/>
          <w:lang w:val="cs-CZ"/>
        </w:rPr>
        <w:t>.</w:t>
      </w:r>
      <w:r w:rsidRPr="00FD72C2">
        <w:rPr>
          <w:sz w:val="24"/>
          <w:lang w:val="cs-CZ"/>
        </w:rPr>
        <w:t xml:space="preserve"> </w:t>
      </w:r>
    </w:p>
  </w:footnote>
  <w:footnote w:id="3">
    <w:p w:rsidR="007F7AAD" w:rsidRPr="00FD72C2" w:rsidP="00FD72C2" w14:paraId="0628041C" w14:textId="1E876A61">
      <w:pPr>
        <w:pStyle w:val="FootnoteText"/>
        <w:ind w:left="567" w:hanging="567"/>
        <w:rPr>
          <w:sz w:val="24"/>
          <w:lang w:val="cs-CZ"/>
        </w:rPr>
      </w:pPr>
      <w:r w:rsidRPr="00FD72C2">
        <w:rPr>
          <w:rStyle w:val="FootnoteReference"/>
          <w:sz w:val="24"/>
          <w:lang w:val="cs-CZ"/>
        </w:rPr>
        <w:footnoteRef/>
      </w:r>
      <w:r w:rsidRPr="00FD72C2" w:rsidR="00FD72C2">
        <w:rPr>
          <w:sz w:val="24"/>
          <w:lang w:val="cs-CZ"/>
        </w:rPr>
        <w:t xml:space="preserve"> </w:t>
      </w:r>
      <w:r w:rsidRPr="00FD72C2" w:rsidR="00FD72C2">
        <w:rPr>
          <w:sz w:val="24"/>
          <w:lang w:val="cs-CZ"/>
        </w:rPr>
        <w:tab/>
      </w:r>
      <w:r w:rsidRPr="001A41EA">
        <w:rPr>
          <w:sz w:val="24"/>
          <w:lang w:val="cs-CZ"/>
        </w:rPr>
        <w:t>Přijaté texty, P10_</w:t>
      </w:r>
      <w:r w:rsidRPr="001A41EA">
        <w:rPr>
          <w:sz w:val="24"/>
          <w:lang w:val="cs-CZ"/>
        </w:rPr>
        <w:t>TA(</w:t>
      </w:r>
      <w:r w:rsidRPr="001A41EA" w:rsidR="00BC5578">
        <w:rPr>
          <w:sz w:val="24"/>
          <w:lang w:val="cs-CZ"/>
        </w:rPr>
        <w:t>2026</w:t>
      </w:r>
      <w:r w:rsidRPr="001A41EA">
        <w:rPr>
          <w:sz w:val="24"/>
          <w:lang w:val="cs-CZ"/>
        </w:rPr>
        <w:t>)0</w:t>
      </w:r>
      <w:r w:rsidRPr="00D12317" w:rsidR="001A41EA">
        <w:rPr>
          <w:sz w:val="24"/>
          <w:lang w:val="cs-CZ"/>
        </w:rPr>
        <w:t>210</w:t>
      </w:r>
      <w:r w:rsidRPr="001A41EA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72C2" w14:paraId="56D729D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72C2" w14:paraId="350348A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D72C2" w14:paraId="000C142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9018360">
    <w:abstractNumId w:val="9"/>
  </w:num>
  <w:num w:numId="2" w16cid:durableId="442648272">
    <w:abstractNumId w:val="9"/>
  </w:num>
  <w:num w:numId="3" w16cid:durableId="320696686">
    <w:abstractNumId w:val="7"/>
  </w:num>
  <w:num w:numId="4" w16cid:durableId="1302268003">
    <w:abstractNumId w:val="7"/>
  </w:num>
  <w:num w:numId="5" w16cid:durableId="1795516772">
    <w:abstractNumId w:val="6"/>
  </w:num>
  <w:num w:numId="6" w16cid:durableId="1386218591">
    <w:abstractNumId w:val="6"/>
  </w:num>
  <w:num w:numId="7" w16cid:durableId="2063364194">
    <w:abstractNumId w:val="5"/>
  </w:num>
  <w:num w:numId="8" w16cid:durableId="96601937">
    <w:abstractNumId w:val="5"/>
  </w:num>
  <w:num w:numId="9" w16cid:durableId="420151578">
    <w:abstractNumId w:val="4"/>
  </w:num>
  <w:num w:numId="10" w16cid:durableId="403375488">
    <w:abstractNumId w:val="4"/>
  </w:num>
  <w:num w:numId="11" w16cid:durableId="695624063">
    <w:abstractNumId w:val="8"/>
  </w:num>
  <w:num w:numId="12" w16cid:durableId="1791976159">
    <w:abstractNumId w:val="8"/>
  </w:num>
  <w:num w:numId="13" w16cid:durableId="866796808">
    <w:abstractNumId w:val="3"/>
  </w:num>
  <w:num w:numId="14" w16cid:durableId="1004087622">
    <w:abstractNumId w:val="3"/>
  </w:num>
  <w:num w:numId="15" w16cid:durableId="1926643622">
    <w:abstractNumId w:val="2"/>
  </w:num>
  <w:num w:numId="16" w16cid:durableId="306859545">
    <w:abstractNumId w:val="2"/>
  </w:num>
  <w:num w:numId="17" w16cid:durableId="1227956505">
    <w:abstractNumId w:val="1"/>
  </w:num>
  <w:num w:numId="18" w16cid:durableId="1685597175">
    <w:abstractNumId w:val="1"/>
  </w:num>
  <w:num w:numId="19" w16cid:durableId="1972977600">
    <w:abstractNumId w:val="0"/>
  </w:num>
  <w:num w:numId="20" w16cid:durableId="2025934060">
    <w:abstractNumId w:val="0"/>
  </w:num>
  <w:num w:numId="21" w16cid:durableId="612901320">
    <w:abstractNumId w:val="9"/>
  </w:num>
  <w:num w:numId="22" w16cid:durableId="1074471555">
    <w:abstractNumId w:val="7"/>
  </w:num>
  <w:num w:numId="23" w16cid:durableId="452871551">
    <w:abstractNumId w:val="6"/>
  </w:num>
  <w:num w:numId="24" w16cid:durableId="1421485493">
    <w:abstractNumId w:val="5"/>
  </w:num>
  <w:num w:numId="25" w16cid:durableId="1590118964">
    <w:abstractNumId w:val="4"/>
  </w:num>
  <w:num w:numId="26" w16cid:durableId="323511142">
    <w:abstractNumId w:val="8"/>
  </w:num>
  <w:num w:numId="27" w16cid:durableId="997421161">
    <w:abstractNumId w:val="3"/>
  </w:num>
  <w:num w:numId="28" w16cid:durableId="1364479283">
    <w:abstractNumId w:val="2"/>
  </w:num>
  <w:num w:numId="29" w16cid:durableId="1598950026">
    <w:abstractNumId w:val="1"/>
  </w:num>
  <w:num w:numId="30" w16cid:durableId="1884750458">
    <w:abstractNumId w:val="0"/>
  </w:num>
  <w:num w:numId="31" w16cid:durableId="843983007">
    <w:abstractNumId w:val="9"/>
  </w:num>
  <w:num w:numId="32" w16cid:durableId="1036613229">
    <w:abstractNumId w:val="7"/>
  </w:num>
  <w:num w:numId="33" w16cid:durableId="165438005">
    <w:abstractNumId w:val="6"/>
  </w:num>
  <w:num w:numId="34" w16cid:durableId="315187989">
    <w:abstractNumId w:val="5"/>
  </w:num>
  <w:num w:numId="35" w16cid:durableId="1819615460">
    <w:abstractNumId w:val="4"/>
  </w:num>
  <w:num w:numId="36" w16cid:durableId="1375928704">
    <w:abstractNumId w:val="8"/>
  </w:num>
  <w:num w:numId="37" w16cid:durableId="285502317">
    <w:abstractNumId w:val="3"/>
  </w:num>
  <w:num w:numId="38" w16cid:durableId="412316272">
    <w:abstractNumId w:val="2"/>
  </w:num>
  <w:num w:numId="39" w16cid:durableId="2093039807">
    <w:abstractNumId w:val="1"/>
  </w:num>
  <w:num w:numId="40" w16cid:durableId="1177422445">
    <w:abstractNumId w:val="0"/>
  </w:num>
  <w:num w:numId="41" w16cid:durableId="1709259399">
    <w:abstractNumId w:val="10"/>
  </w:num>
  <w:num w:numId="42" w16cid:durableId="881360409">
    <w:abstractNumId w:val="10"/>
  </w:num>
  <w:num w:numId="43" w16cid:durableId="1409569330">
    <w:abstractNumId w:val="10"/>
  </w:num>
  <w:num w:numId="44" w16cid:durableId="4327522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79"/>
    <w:rsid w:val="00002272"/>
    <w:rsid w:val="00064002"/>
    <w:rsid w:val="000677B9"/>
    <w:rsid w:val="000831BA"/>
    <w:rsid w:val="000A42CC"/>
    <w:rsid w:val="000D07AB"/>
    <w:rsid w:val="000E7DD9"/>
    <w:rsid w:val="0010095E"/>
    <w:rsid w:val="00125B37"/>
    <w:rsid w:val="00187494"/>
    <w:rsid w:val="001A41EA"/>
    <w:rsid w:val="001F32AE"/>
    <w:rsid w:val="002767FF"/>
    <w:rsid w:val="002B18FE"/>
    <w:rsid w:val="002B5493"/>
    <w:rsid w:val="00312D0B"/>
    <w:rsid w:val="00343214"/>
    <w:rsid w:val="00361C00"/>
    <w:rsid w:val="00395FA1"/>
    <w:rsid w:val="003E15D4"/>
    <w:rsid w:val="004024E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45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B79"/>
    <w:rsid w:val="007F7A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48C"/>
    <w:rsid w:val="00A1687D"/>
    <w:rsid w:val="00A43E52"/>
    <w:rsid w:val="00A4678D"/>
    <w:rsid w:val="00A707B8"/>
    <w:rsid w:val="00A778C7"/>
    <w:rsid w:val="00AB441E"/>
    <w:rsid w:val="00AB6293"/>
    <w:rsid w:val="00AE0928"/>
    <w:rsid w:val="00AF3B82"/>
    <w:rsid w:val="00B12E95"/>
    <w:rsid w:val="00B22876"/>
    <w:rsid w:val="00B364BA"/>
    <w:rsid w:val="00B558F0"/>
    <w:rsid w:val="00BC557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31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2C2"/>
  </w:rsids>
  <w:docVars>
    <w:docVar w:name="dvdocse" w:val="A10-0133/2026"/>
    <w:docVar w:name="dvlangue" w:val="CS"/>
    <w:docVar w:name="dvnumam" w:val="0"/>
    <w:docVar w:name="dvpe" w:val="784.295"/>
    <w:docVar w:name="dvrapporteur" w:val="Zpravodajka: "/>
    <w:docVar w:name="dvstar" w:val="***"/>
    <w:docVar w:name="dvtitre" w:val="Legislativní usnesení Evropského parlamentu ze dne.... 2026 k návrhu rozhodnutí Rady o ukončení Dobrovolné dohody o partnerství mezi Evropskou unií a Liberijskou republikou o prosazování práva a správě v oblasti lesnictví a o obchodu s dřevařskými výrobky vstupujícími na území Evropské unie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2195F0E"/>
  <w15:chartTrackingRefBased/>
  <w15:docId w15:val="{C12FE162-FFF3-4AC5-8BAE-B57F8AE4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F7AAD"/>
    <w:pPr>
      <w:spacing w:before="480" w:after="240"/>
    </w:pPr>
  </w:style>
  <w:style w:type="paragraph" w:customStyle="1" w:styleId="NormalBold">
    <w:name w:val="NormalBold"/>
    <w:basedOn w:val="Normal"/>
    <w:rsid w:val="007F7AAD"/>
    <w:rPr>
      <w:b/>
    </w:rPr>
  </w:style>
  <w:style w:type="paragraph" w:customStyle="1" w:styleId="NormalHanging12a">
    <w:name w:val="NormalHanging12a"/>
    <w:basedOn w:val="Normal"/>
    <w:rsid w:val="007F7AA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7F7AAD"/>
    <w:rPr>
      <w:color w:val="0000FF"/>
      <w:u w:val="single"/>
    </w:rPr>
  </w:style>
  <w:style w:type="paragraph" w:styleId="Revision">
    <w:name w:val="Revision"/>
    <w:hidden/>
    <w:uiPriority w:val="99"/>
    <w:semiHidden/>
    <w:rsid w:val="00BC5578"/>
    <w:rPr>
      <w:sz w:val="24"/>
      <w:lang w:val="cs-CZ"/>
    </w:rPr>
  </w:style>
  <w:style w:type="character" w:styleId="FollowedHyperlink">
    <w:name w:val="FollowedHyperlink"/>
    <w:basedOn w:val="DefaultParagraphFont"/>
    <w:rsid w:val="00BC55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2026-06-17T11:35:00Z</dcterms:created>
  <dcterms:modified xsi:type="dcterms:W3CDTF">2026-06-17T11:35:00Z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A10-0133/2026</vt:lpwstr>
  </property>
  <property fmtid="{D5CDD505-2E9C-101B-9397-08002B2CF9AE}" pid="4" name="&lt;Type&gt;">
    <vt:lpwstr>RR</vt:lpwstr>
  </property>
</Properties>
</file>