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076A65" w14:textId="77777777" w:rsidTr="0010095E">
        <w:tblPrEx>
          <w:tblW w:w="9072" w:type="dxa"/>
          <w:tblLook w:val="01E0"/>
        </w:tblPrEx>
        <w:trPr>
          <w:trHeight w:hRule="exact" w:val="1418"/>
        </w:trPr>
        <w:tc>
          <w:tcPr>
            <w:tcW w:w="6804" w:type="dxa"/>
            <w:shd w:val="clear" w:color="auto" w:fill="auto"/>
            <w:vAlign w:val="center"/>
          </w:tcPr>
          <w:p w:rsidR="00751A4A" w:rsidRPr="000A2BF4" w:rsidP="0010095E" w14:paraId="6A95EEEA" w14:textId="77777777">
            <w:pPr>
              <w:pStyle w:val="EPName"/>
            </w:pPr>
            <w:r w:rsidRPr="000A2BF4">
              <w:t>Eiropas Parlaments</w:t>
            </w:r>
          </w:p>
          <w:p w:rsidR="00751A4A" w:rsidRPr="000A2BF4" w:rsidP="005F1B17" w14:paraId="14FB8304" w14:textId="77777777">
            <w:pPr>
              <w:pStyle w:val="EPTerm"/>
              <w:rPr>
                <w:rStyle w:val="HideTWBExt"/>
                <w:noProof w:val="0"/>
                <w:vanish w:val="0"/>
                <w:color w:val="auto"/>
              </w:rPr>
            </w:pPr>
            <w:r w:rsidRPr="000A2BF4">
              <w:t>2024</w:t>
            </w:r>
            <w:r w:rsidRPr="000A2BF4" w:rsidR="00817416">
              <w:t>-202</w:t>
            </w:r>
            <w:r w:rsidRPr="000A2BF4">
              <w:t>9</w:t>
            </w:r>
          </w:p>
        </w:tc>
        <w:tc>
          <w:tcPr>
            <w:tcW w:w="2268" w:type="dxa"/>
            <w:shd w:val="clear" w:color="auto" w:fill="auto"/>
          </w:tcPr>
          <w:p w:rsidR="00751A4A" w:rsidRPr="000A2BF4" w:rsidP="0010095E" w14:paraId="0FDDFB89" w14:textId="77777777">
            <w:pPr>
              <w:pStyle w:val="EPLogo"/>
            </w:pPr>
            <w:r w:rsidRPr="000A2BF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A2BF4" w:rsidP="004C5D52" w14:paraId="0189844E" w14:textId="77777777">
      <w:pPr>
        <w:pStyle w:val="LineTop"/>
      </w:pPr>
    </w:p>
    <w:p w:rsidR="00680577" w:rsidRPr="000A2BF4" w:rsidP="00680577" w14:paraId="13A54F1F" w14:textId="77777777">
      <w:pPr>
        <w:pStyle w:val="EPBodyTA1"/>
      </w:pPr>
      <w:r w:rsidRPr="000A2BF4">
        <w:t>PIEŅEMTIE TEKSTI</w:t>
      </w:r>
    </w:p>
    <w:p w:rsidR="00D058B8" w:rsidRPr="000A2BF4" w:rsidP="00D058B8" w14:paraId="47D9273D" w14:textId="77777777">
      <w:pPr>
        <w:pStyle w:val="LineBottom"/>
      </w:pPr>
    </w:p>
    <w:p w:rsidR="004E6E30" w:rsidRPr="000A2BF4" w:rsidP="004E6E30" w14:paraId="70C31F5E" w14:textId="40E1FBB2">
      <w:pPr>
        <w:pStyle w:val="ATHeading1"/>
      </w:pPr>
      <w:bookmarkStart w:id="0" w:name="TANumber"/>
      <w:r w:rsidRPr="000A2BF4">
        <w:t>P10_TA(2026)0</w:t>
      </w:r>
      <w:bookmarkEnd w:id="0"/>
      <w:r w:rsidRPr="000A2BF4" w:rsidR="000A2BF4">
        <w:t>209</w:t>
      </w:r>
    </w:p>
    <w:p w:rsidR="004E6E30" w:rsidRPr="000A2BF4" w:rsidP="006F7ADD" w14:paraId="08975755" w14:textId="66C934C8">
      <w:pPr>
        <w:pStyle w:val="ATHeading2"/>
      </w:pPr>
      <w:r w:rsidRPr="000A2BF4">
        <w:t>ES un Lib</w:t>
      </w:r>
      <w:r w:rsidRPr="000A2BF4">
        <w:rPr>
          <w:rFonts w:hint="eastAsia"/>
        </w:rPr>
        <w:t>ē</w:t>
      </w:r>
      <w:r w:rsidRPr="000A2BF4">
        <w:t>rijas Br</w:t>
      </w:r>
      <w:r w:rsidRPr="000A2BF4">
        <w:rPr>
          <w:rFonts w:hint="eastAsia"/>
        </w:rPr>
        <w:t>ī</w:t>
      </w:r>
      <w:r w:rsidRPr="000A2BF4">
        <w:t>vpr</w:t>
      </w:r>
      <w:r w:rsidRPr="000A2BF4">
        <w:rPr>
          <w:rFonts w:hint="eastAsia"/>
        </w:rPr>
        <w:t>ā</w:t>
      </w:r>
      <w:r w:rsidRPr="000A2BF4">
        <w:t>t</w:t>
      </w:r>
      <w:r w:rsidRPr="000A2BF4">
        <w:rPr>
          <w:rFonts w:hint="eastAsia"/>
        </w:rPr>
        <w:t>ī</w:t>
      </w:r>
      <w:r w:rsidRPr="000A2BF4">
        <w:t>go partnerattiec</w:t>
      </w:r>
      <w:r w:rsidRPr="000A2BF4">
        <w:rPr>
          <w:rFonts w:hint="eastAsia"/>
        </w:rPr>
        <w:t>ī</w:t>
      </w:r>
      <w:r w:rsidRPr="000A2BF4">
        <w:t>bu nol</w:t>
      </w:r>
      <w:r w:rsidRPr="000A2BF4">
        <w:rPr>
          <w:rFonts w:hint="eastAsia"/>
        </w:rPr>
        <w:t>ī</w:t>
      </w:r>
      <w:r w:rsidRPr="000A2BF4">
        <w:t>gums par me</w:t>
      </w:r>
      <w:r w:rsidRPr="000A2BF4">
        <w:rPr>
          <w:rFonts w:hint="eastAsia"/>
        </w:rPr>
        <w:t>ž</w:t>
      </w:r>
      <w:r w:rsidRPr="000A2BF4">
        <w:t>a ties</w:t>
      </w:r>
      <w:r w:rsidRPr="000A2BF4">
        <w:rPr>
          <w:rFonts w:hint="eastAsia"/>
        </w:rPr>
        <w:t>ī</w:t>
      </w:r>
      <w:r w:rsidRPr="000A2BF4">
        <w:t>bu aktu ievie</w:t>
      </w:r>
      <w:r w:rsidRPr="000A2BF4">
        <w:rPr>
          <w:rFonts w:hint="eastAsia"/>
        </w:rPr>
        <w:t>š</w:t>
      </w:r>
      <w:r w:rsidRPr="000A2BF4">
        <w:t>anu, p</w:t>
      </w:r>
      <w:r w:rsidRPr="000A2BF4">
        <w:rPr>
          <w:rFonts w:hint="eastAsia"/>
        </w:rPr>
        <w:t>ā</w:t>
      </w:r>
      <w:r w:rsidRPr="000A2BF4">
        <w:t>rvald</w:t>
      </w:r>
      <w:r w:rsidRPr="000A2BF4">
        <w:rPr>
          <w:rFonts w:hint="eastAsia"/>
        </w:rPr>
        <w:t>ī</w:t>
      </w:r>
      <w:r w:rsidRPr="000A2BF4">
        <w:t>bu un koksnes izstr</w:t>
      </w:r>
      <w:r w:rsidRPr="000A2BF4">
        <w:rPr>
          <w:rFonts w:hint="eastAsia"/>
        </w:rPr>
        <w:t>ā</w:t>
      </w:r>
      <w:r w:rsidRPr="000A2BF4">
        <w:t>d</w:t>
      </w:r>
      <w:r w:rsidRPr="000A2BF4">
        <w:rPr>
          <w:rFonts w:hint="eastAsia"/>
        </w:rPr>
        <w:t>ā</w:t>
      </w:r>
      <w:r w:rsidRPr="000A2BF4">
        <w:t>jumu tirdzniec</w:t>
      </w:r>
      <w:r w:rsidRPr="000A2BF4">
        <w:rPr>
          <w:rFonts w:hint="eastAsia"/>
        </w:rPr>
        <w:t>ī</w:t>
      </w:r>
      <w:r w:rsidRPr="000A2BF4">
        <w:t>bu uz Eiropas Savien</w:t>
      </w:r>
      <w:r w:rsidRPr="000A2BF4">
        <w:rPr>
          <w:rFonts w:hint="eastAsia"/>
        </w:rPr>
        <w:t>ī</w:t>
      </w:r>
      <w:r w:rsidRPr="000A2BF4">
        <w:t>bu: izbeig</w:t>
      </w:r>
      <w:r w:rsidRPr="000A2BF4">
        <w:rPr>
          <w:rFonts w:hint="eastAsia"/>
        </w:rPr>
        <w:t>š</w:t>
      </w:r>
      <w:r w:rsidRPr="000A2BF4">
        <w:t>ana</w:t>
      </w:r>
    </w:p>
    <w:p w:rsidR="004E6E30" w:rsidRPr="000A2BF4" w:rsidP="004E6E30" w14:paraId="30FE06DC" w14:textId="77777777">
      <w:pPr>
        <w:rPr>
          <w:i/>
          <w:vanish/>
        </w:rPr>
      </w:pPr>
      <w:r>
        <w:rPr>
          <w:i/>
        </w:rPr>
        <w:fldChar w:fldCharType="begin"/>
      </w:r>
      <w:r w:rsidRPr="000A2BF4">
        <w:rPr>
          <w:i/>
        </w:rPr>
        <w:instrText xml:space="preserve"> TC"(</w:instrText>
      </w:r>
      <w:bookmarkStart w:id="1" w:name="DocNumber"/>
      <w:r w:rsidRPr="000A2BF4">
        <w:rPr>
          <w:i/>
        </w:rPr>
        <w:instrText>A10-0133/2026</w:instrText>
      </w:r>
      <w:bookmarkEnd w:id="1"/>
      <w:r w:rsidRPr="000A2BF4">
        <w:rPr>
          <w:i/>
        </w:rPr>
        <w:instrText xml:space="preserve"> - Referente: </w:instrText>
      </w:r>
      <w:r w:rsidRPr="000A2BF4">
        <w:rPr>
          <w:i/>
        </w:rPr>
        <w:instrText>Karin</w:instrText>
      </w:r>
      <w:r w:rsidRPr="000A2BF4">
        <w:rPr>
          <w:i/>
        </w:rPr>
        <w:instrText xml:space="preserve"> </w:instrText>
      </w:r>
      <w:r w:rsidRPr="000A2BF4">
        <w:rPr>
          <w:i/>
        </w:rPr>
        <w:instrText>Karlsbro</w:instrText>
      </w:r>
      <w:r w:rsidRPr="000A2BF4">
        <w:rPr>
          <w:i/>
        </w:rPr>
        <w:instrText xml:space="preserve">)"\l3 \n&gt; \* MERGEFORMAT </w:instrText>
      </w:r>
      <w:r>
        <w:rPr>
          <w:i/>
        </w:rPr>
        <w:fldChar w:fldCharType="end"/>
      </w:r>
    </w:p>
    <w:p w:rsidR="004E6E30" w:rsidRPr="000A2BF4" w:rsidP="004E6E30" w14:paraId="1C59FB7E" w14:textId="77777777">
      <w:pPr>
        <w:rPr>
          <w:vanish/>
        </w:rPr>
      </w:pPr>
      <w:bookmarkStart w:id="2" w:name="Commission"/>
      <w:r w:rsidRPr="000A2BF4">
        <w:rPr>
          <w:vanish/>
        </w:rPr>
        <w:t>Starptautiskās tirdzniecības komiteja</w:t>
      </w:r>
      <w:bookmarkEnd w:id="2"/>
    </w:p>
    <w:p w:rsidR="004E6E30" w:rsidRPr="000A2BF4" w:rsidP="004E6E30" w14:paraId="4311D4E2" w14:textId="77777777">
      <w:pPr>
        <w:rPr>
          <w:vanish/>
        </w:rPr>
      </w:pPr>
      <w:bookmarkStart w:id="3" w:name="PE"/>
      <w:r w:rsidRPr="000A2BF4">
        <w:rPr>
          <w:vanish/>
        </w:rPr>
        <w:t>PE784.295</w:t>
      </w:r>
      <w:bookmarkEnd w:id="3"/>
    </w:p>
    <w:p w:rsidR="004E6E30" w:rsidRPr="000A2BF4" w:rsidP="004E6E30" w14:paraId="1E20C037" w14:textId="400A9B61">
      <w:pPr>
        <w:pStyle w:val="ATHeading3"/>
      </w:pPr>
      <w:bookmarkStart w:id="4" w:name="Sujet"/>
      <w:r w:rsidRPr="000A2BF4">
        <w:t xml:space="preserve">Eiropas Parlamenta 2026. gada </w:t>
      </w:r>
      <w:r w:rsidRPr="000A2BF4" w:rsidR="006F7ADD">
        <w:t>17</w:t>
      </w:r>
      <w:r w:rsidRPr="000A2BF4">
        <w:t xml:space="preserve">. </w:t>
      </w:r>
      <w:r w:rsidRPr="000A2BF4" w:rsidR="006F7ADD">
        <w:t>jūnija</w:t>
      </w:r>
      <w:r w:rsidRPr="000A2BF4">
        <w:t xml:space="preserve"> normatīvā rezolūcija par projektu Padomes lēmumam par to, lai izbeigtu Brīvprātīgo partnerattiecību nolīgumu starp Eiropas Savienību un Libērijas Republiku par meža tiesību aktu ieviešanu, pārvaldību un koksnes izstrādājumu tirdzniecību uz Eiropas Savienību</w:t>
      </w:r>
      <w:bookmarkEnd w:id="4"/>
      <w:r w:rsidRPr="000A2BF4">
        <w:t xml:space="preserve"> </w:t>
      </w:r>
      <w:bookmarkStart w:id="5" w:name="References"/>
      <w:r w:rsidRPr="000A2BF4">
        <w:t>(14569/2025 – C10-0299/2025 – 2025/0259(NLE))</w:t>
      </w:r>
      <w:bookmarkEnd w:id="5"/>
    </w:p>
    <w:p w:rsidR="00C906D2" w:rsidRPr="000A2BF4" w:rsidP="00C906D2" w14:paraId="49E9FE33" w14:textId="77777777">
      <w:pPr>
        <w:pStyle w:val="NormalBold"/>
      </w:pPr>
      <w:r w:rsidRPr="000A2BF4">
        <w:t>(Piekrišana)</w:t>
      </w:r>
    </w:p>
    <w:p w:rsidR="00C906D2" w:rsidRPr="000A2BF4" w:rsidP="00C906D2" w14:paraId="30C9CF4F" w14:textId="77777777">
      <w:pPr>
        <w:pStyle w:val="EPComma"/>
      </w:pPr>
      <w:r w:rsidRPr="000A2BF4">
        <w:rPr>
          <w:i/>
        </w:rPr>
        <w:t>Eiropas Parlaments</w:t>
      </w:r>
      <w:r w:rsidRPr="000A2BF4">
        <w:t>,</w:t>
      </w:r>
    </w:p>
    <w:p w:rsidR="00C906D2" w:rsidRPr="000A2BF4" w:rsidP="00C906D2" w14:paraId="4922C8F0" w14:textId="77777777">
      <w:pPr>
        <w:pStyle w:val="NormalHanging12a"/>
      </w:pPr>
      <w:r w:rsidRPr="000A2BF4">
        <w:t>–</w:t>
      </w:r>
      <w:r w:rsidRPr="000A2BF4">
        <w:tab/>
        <w:t>ņemot vērā Padomes lēmuma projektu (14569/2025),</w:t>
      </w:r>
    </w:p>
    <w:p w:rsidR="00C906D2" w:rsidRPr="000A2BF4" w:rsidP="00C906D2" w14:paraId="568384B7" w14:textId="77777777">
      <w:pPr>
        <w:pStyle w:val="NormalHanging12a"/>
      </w:pPr>
      <w:r w:rsidRPr="000A2BF4">
        <w:t>–</w:t>
      </w:r>
      <w:r w:rsidRPr="000A2BF4">
        <w:tab/>
        <w:t>ņemot vērā Brīvprātīgo partnerattiecību nolīgumu starp Eiropas Savienību un Libērijas Republiku par meža tiesību aktu ieviešanu, pārvaldību un koksnes izstrādājumu tirdzniecību uz Eiropas Savienību</w:t>
      </w:r>
      <w:r>
        <w:rPr>
          <w:vertAlign w:val="superscript"/>
        </w:rPr>
        <w:footnoteReference w:id="2"/>
      </w:r>
      <w:r w:rsidRPr="000A2BF4">
        <w:t>,</w:t>
      </w:r>
    </w:p>
    <w:p w:rsidR="00C906D2" w:rsidRPr="000A2BF4" w:rsidP="00C906D2" w14:paraId="0E873F0B" w14:textId="77777777">
      <w:pPr>
        <w:pStyle w:val="NormalHanging12a"/>
      </w:pPr>
      <w:r w:rsidRPr="000A2BF4">
        <w:t>–</w:t>
      </w:r>
      <w:r w:rsidRPr="000A2BF4">
        <w:tab/>
        <w:t>ņemot vērā piekrišanas pieprasījumu, ko Padome iesniegusi saskaņā ar Līguma par Eiropas Savienības darbību 207. panta 4. punkta pirmo daļu un 218. panta 6. punkta otrās daļas a) punkta v) apakšpunktu (C10</w:t>
      </w:r>
      <w:r w:rsidRPr="000A2BF4">
        <w:noBreakHyphen/>
        <w:t>0299/2025),</w:t>
      </w:r>
    </w:p>
    <w:p w:rsidR="00C906D2" w:rsidRPr="000A2BF4" w:rsidP="00C906D2" w14:paraId="758A454F" w14:textId="5E7DC833">
      <w:pPr>
        <w:pStyle w:val="NormalHanging12a"/>
      </w:pPr>
      <w:r w:rsidRPr="000A2BF4">
        <w:t>–</w:t>
      </w:r>
      <w:r w:rsidRPr="000A2BF4">
        <w:tab/>
        <w:t xml:space="preserve">ņemot vērā </w:t>
      </w:r>
      <w:r w:rsidRPr="000A2BF4" w:rsidR="006F7ADD">
        <w:t>2026. gada 17. jūnija</w:t>
      </w:r>
      <w:r w:rsidRPr="000A2BF4">
        <w:t xml:space="preserve"> nenormatīvo rezolūciju</w:t>
      </w:r>
      <w:r>
        <w:rPr>
          <w:vertAlign w:val="superscript"/>
        </w:rPr>
        <w:footnoteReference w:id="3"/>
      </w:r>
      <w:r w:rsidRPr="000A2BF4">
        <w:t xml:space="preserve"> par minēto lēmuma projektu,</w:t>
      </w:r>
    </w:p>
    <w:p w:rsidR="00C906D2" w:rsidRPr="000A2BF4" w:rsidP="00C906D2" w14:paraId="5491F05E" w14:textId="77777777">
      <w:pPr>
        <w:pStyle w:val="NormalHanging12a"/>
      </w:pPr>
      <w:r w:rsidRPr="000A2BF4">
        <w:t>–</w:t>
      </w:r>
      <w:r w:rsidRPr="000A2BF4">
        <w:tab/>
        <w:t>ņemot vērā Reglamenta 107. panta 1. un 4. punktu un 117. panta 7. punktu,</w:t>
      </w:r>
    </w:p>
    <w:p w:rsidR="00C906D2" w:rsidRPr="000A2BF4" w:rsidP="00C906D2" w14:paraId="7DBF2BF9" w14:textId="77777777">
      <w:pPr>
        <w:pStyle w:val="NormalHanging12a"/>
      </w:pPr>
      <w:r w:rsidRPr="000A2BF4">
        <w:t>–</w:t>
      </w:r>
      <w:r w:rsidRPr="000A2BF4">
        <w:tab/>
        <w:t>ņemot vērā Attīstības komitejas atzinumu,</w:t>
      </w:r>
    </w:p>
    <w:p w:rsidR="00C906D2" w:rsidRPr="000A2BF4" w:rsidP="00C906D2" w14:paraId="2A06E9E4" w14:textId="77777777">
      <w:pPr>
        <w:pStyle w:val="NormalHanging12a"/>
      </w:pPr>
      <w:r w:rsidRPr="000A2BF4">
        <w:t>–</w:t>
      </w:r>
      <w:r w:rsidRPr="000A2BF4">
        <w:tab/>
        <w:t>ņemot vērā Starptautiskās tirdzniecības komitejas ieteikumu (A10</w:t>
      </w:r>
      <w:r w:rsidRPr="000A2BF4">
        <w:noBreakHyphen/>
        <w:t>0133/2026),</w:t>
      </w:r>
    </w:p>
    <w:p w:rsidR="00C906D2" w:rsidRPr="000A2BF4" w:rsidP="00C906D2" w14:paraId="6647A22C" w14:textId="77777777">
      <w:pPr>
        <w:pStyle w:val="NormalHanging12a"/>
      </w:pPr>
      <w:r w:rsidRPr="000A2BF4">
        <w:t>1.</w:t>
      </w:r>
      <w:r w:rsidRPr="000A2BF4">
        <w:tab/>
        <w:t>sniedz piekrišanu nolīguma izbeigšanai;</w:t>
      </w:r>
    </w:p>
    <w:p w:rsidR="00971418" w:rsidRPr="000A2BF4" w:rsidP="00971418" w14:paraId="652563B9" w14:textId="4B7EBE6C">
      <w:pPr>
        <w:pStyle w:val="NormalHanging12a"/>
      </w:pPr>
      <w:r w:rsidRPr="000A2BF4">
        <w:t>2.</w:t>
      </w:r>
      <w:r w:rsidRPr="000A2BF4">
        <w:tab/>
        <w:t>uzdod priekšsēdētājai Parlamenta nostāju nosūtīt Padomei, Komisijai, dalībvalstu valdībām un parlamentiem, kā arī Libērijas Republikas valdībai un parlamentam.</w:t>
      </w:r>
    </w:p>
    <w:p w:rsidR="00E365E1" w:rsidRPr="000A2BF4" w:rsidP="004E6E30" w14:paraId="6F460ADD" w14:textId="538F3730"/>
    <w:sectPr w:rsidSect="0097141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1418" w14:paraId="1A87CF0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1418" w14:paraId="2F5559E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1418" w14:paraId="4E036F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6E30" w:rsidRPr="00971418" w14:paraId="7CE4C6E2" w14:textId="77777777">
      <w:r w:rsidRPr="00971418">
        <w:separator/>
      </w:r>
    </w:p>
  </w:footnote>
  <w:footnote w:type="continuationSeparator" w:id="1">
    <w:p w:rsidR="004E6E30" w:rsidRPr="00971418" w14:paraId="1E487073" w14:textId="77777777">
      <w:r w:rsidRPr="00971418">
        <w:continuationSeparator/>
      </w:r>
    </w:p>
  </w:footnote>
  <w:footnote w:id="2">
    <w:p w:rsidR="00C906D2" w:rsidRPr="00971418" w:rsidP="00971418" w14:paraId="72257F67" w14:textId="085BBBA2">
      <w:pPr>
        <w:pStyle w:val="FootnoteText"/>
        <w:ind w:left="567" w:hanging="567"/>
        <w:rPr>
          <w:sz w:val="24"/>
          <w:lang w:val="lv-LV"/>
        </w:rPr>
      </w:pPr>
      <w:r w:rsidRPr="00971418">
        <w:rPr>
          <w:rStyle w:val="FootnoteReference"/>
          <w:sz w:val="24"/>
          <w:lang w:val="lv-LV"/>
        </w:rPr>
        <w:footnoteRef/>
      </w:r>
      <w:r w:rsidRPr="00971418" w:rsidR="00971418">
        <w:rPr>
          <w:sz w:val="24"/>
          <w:lang w:val="lv-LV"/>
        </w:rPr>
        <w:t xml:space="preserve"> </w:t>
      </w:r>
      <w:r w:rsidRPr="00971418" w:rsidR="00971418">
        <w:rPr>
          <w:sz w:val="24"/>
          <w:lang w:val="lv-LV"/>
        </w:rPr>
        <w:tab/>
      </w:r>
      <w:r w:rsidRPr="00971418">
        <w:rPr>
          <w:sz w:val="24"/>
          <w:lang w:val="lv-LV"/>
        </w:rPr>
        <w:t xml:space="preserve">OV L 191, 19.7.2012., 3. lpp., ELI: </w:t>
      </w:r>
      <w:hyperlink r:id="rId1" w:history="1">
        <w:r w:rsidRPr="00971418">
          <w:rPr>
            <w:rStyle w:val="Hyperlink"/>
            <w:sz w:val="24"/>
            <w:lang w:val="lv-LV"/>
          </w:rPr>
          <w:t>https://eur-lex.europa.eu/legal-content/EN/TXT/?uri=CELEX:22012A0719(01)</w:t>
        </w:r>
      </w:hyperlink>
      <w:r w:rsidRPr="00971418">
        <w:rPr>
          <w:sz w:val="24"/>
          <w:lang w:val="lv-LV"/>
        </w:rPr>
        <w:t xml:space="preserve">. </w:t>
      </w:r>
    </w:p>
  </w:footnote>
  <w:footnote w:id="3">
    <w:p w:rsidR="00C906D2" w:rsidRPr="00971418" w:rsidP="00971418" w14:paraId="239579AC" w14:textId="21DE553C">
      <w:pPr>
        <w:pStyle w:val="FootnoteText"/>
        <w:ind w:left="567" w:hanging="567"/>
        <w:rPr>
          <w:sz w:val="24"/>
          <w:lang w:val="lv-LV"/>
        </w:rPr>
      </w:pPr>
      <w:r w:rsidRPr="00971418">
        <w:rPr>
          <w:rStyle w:val="FootnoteReference"/>
          <w:sz w:val="24"/>
          <w:lang w:val="lv-LV"/>
        </w:rPr>
        <w:footnoteRef/>
      </w:r>
      <w:r w:rsidRPr="00971418" w:rsidR="00971418">
        <w:rPr>
          <w:sz w:val="24"/>
          <w:lang w:val="lv-LV"/>
        </w:rPr>
        <w:t xml:space="preserve"> </w:t>
      </w:r>
      <w:r w:rsidRPr="00971418" w:rsidR="00971418">
        <w:rPr>
          <w:sz w:val="24"/>
          <w:lang w:val="lv-LV"/>
        </w:rPr>
        <w:tab/>
      </w:r>
      <w:r w:rsidRPr="00971418">
        <w:rPr>
          <w:sz w:val="24"/>
          <w:lang w:val="lv-LV"/>
        </w:rPr>
        <w:t>Pieņemtie teksti, P10_TA(2026)0</w:t>
      </w:r>
      <w:r w:rsidR="00B8455A">
        <w:rPr>
          <w:sz w:val="24"/>
          <w:lang w:val="lv-LV"/>
        </w:rPr>
        <w:t>21</w:t>
      </w:r>
      <w:r w:rsidRPr="00971418">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1418" w14:paraId="3A1C19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1418" w14:paraId="5F218DF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71418" w14:paraId="25A2C33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4499090">
    <w:abstractNumId w:val="9"/>
  </w:num>
  <w:num w:numId="2" w16cid:durableId="652835107">
    <w:abstractNumId w:val="9"/>
  </w:num>
  <w:num w:numId="3" w16cid:durableId="1763719689">
    <w:abstractNumId w:val="7"/>
  </w:num>
  <w:num w:numId="4" w16cid:durableId="1772506119">
    <w:abstractNumId w:val="7"/>
  </w:num>
  <w:num w:numId="5" w16cid:durableId="2050763352">
    <w:abstractNumId w:val="6"/>
  </w:num>
  <w:num w:numId="6" w16cid:durableId="337775345">
    <w:abstractNumId w:val="6"/>
  </w:num>
  <w:num w:numId="7" w16cid:durableId="299264092">
    <w:abstractNumId w:val="5"/>
  </w:num>
  <w:num w:numId="8" w16cid:durableId="1812404243">
    <w:abstractNumId w:val="5"/>
  </w:num>
  <w:num w:numId="9" w16cid:durableId="904998338">
    <w:abstractNumId w:val="4"/>
  </w:num>
  <w:num w:numId="10" w16cid:durableId="1419525610">
    <w:abstractNumId w:val="4"/>
  </w:num>
  <w:num w:numId="11" w16cid:durableId="107117443">
    <w:abstractNumId w:val="8"/>
  </w:num>
  <w:num w:numId="12" w16cid:durableId="1544751227">
    <w:abstractNumId w:val="8"/>
  </w:num>
  <w:num w:numId="13" w16cid:durableId="1944260410">
    <w:abstractNumId w:val="3"/>
  </w:num>
  <w:num w:numId="14" w16cid:durableId="1987007052">
    <w:abstractNumId w:val="3"/>
  </w:num>
  <w:num w:numId="15" w16cid:durableId="2115397482">
    <w:abstractNumId w:val="2"/>
  </w:num>
  <w:num w:numId="16" w16cid:durableId="1763837715">
    <w:abstractNumId w:val="2"/>
  </w:num>
  <w:num w:numId="17" w16cid:durableId="2027903358">
    <w:abstractNumId w:val="1"/>
  </w:num>
  <w:num w:numId="18" w16cid:durableId="1949893442">
    <w:abstractNumId w:val="1"/>
  </w:num>
  <w:num w:numId="19" w16cid:durableId="678701277">
    <w:abstractNumId w:val="0"/>
  </w:num>
  <w:num w:numId="20" w16cid:durableId="769399794">
    <w:abstractNumId w:val="0"/>
  </w:num>
  <w:num w:numId="21" w16cid:durableId="1326669179">
    <w:abstractNumId w:val="9"/>
  </w:num>
  <w:num w:numId="22" w16cid:durableId="1589733447">
    <w:abstractNumId w:val="7"/>
  </w:num>
  <w:num w:numId="23" w16cid:durableId="1770391155">
    <w:abstractNumId w:val="6"/>
  </w:num>
  <w:num w:numId="24" w16cid:durableId="280919980">
    <w:abstractNumId w:val="5"/>
  </w:num>
  <w:num w:numId="25" w16cid:durableId="255285350">
    <w:abstractNumId w:val="4"/>
  </w:num>
  <w:num w:numId="26" w16cid:durableId="1431270525">
    <w:abstractNumId w:val="8"/>
  </w:num>
  <w:num w:numId="27" w16cid:durableId="1529488714">
    <w:abstractNumId w:val="3"/>
  </w:num>
  <w:num w:numId="28" w16cid:durableId="1429503146">
    <w:abstractNumId w:val="2"/>
  </w:num>
  <w:num w:numId="29" w16cid:durableId="421412957">
    <w:abstractNumId w:val="1"/>
  </w:num>
  <w:num w:numId="30" w16cid:durableId="814033667">
    <w:abstractNumId w:val="0"/>
  </w:num>
  <w:num w:numId="31" w16cid:durableId="893199734">
    <w:abstractNumId w:val="9"/>
  </w:num>
  <w:num w:numId="32" w16cid:durableId="1173685544">
    <w:abstractNumId w:val="7"/>
  </w:num>
  <w:num w:numId="33" w16cid:durableId="1378822410">
    <w:abstractNumId w:val="6"/>
  </w:num>
  <w:num w:numId="34" w16cid:durableId="985356735">
    <w:abstractNumId w:val="5"/>
  </w:num>
  <w:num w:numId="35" w16cid:durableId="1835027482">
    <w:abstractNumId w:val="4"/>
  </w:num>
  <w:num w:numId="36" w16cid:durableId="790325695">
    <w:abstractNumId w:val="8"/>
  </w:num>
  <w:num w:numId="37" w16cid:durableId="1735464822">
    <w:abstractNumId w:val="3"/>
  </w:num>
  <w:num w:numId="38" w16cid:durableId="1661075802">
    <w:abstractNumId w:val="2"/>
  </w:num>
  <w:num w:numId="39" w16cid:durableId="1325860611">
    <w:abstractNumId w:val="1"/>
  </w:num>
  <w:num w:numId="40" w16cid:durableId="1032724681">
    <w:abstractNumId w:val="0"/>
  </w:num>
  <w:num w:numId="41" w16cid:durableId="457795657">
    <w:abstractNumId w:val="10"/>
  </w:num>
  <w:num w:numId="42" w16cid:durableId="697700032">
    <w:abstractNumId w:val="10"/>
  </w:num>
  <w:num w:numId="43" w16cid:durableId="1753089615">
    <w:abstractNumId w:val="10"/>
  </w:num>
  <w:num w:numId="44" w16cid:durableId="245383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30"/>
    <w:rsid w:val="00002272"/>
    <w:rsid w:val="00064002"/>
    <w:rsid w:val="000677B9"/>
    <w:rsid w:val="000831BA"/>
    <w:rsid w:val="000A2BF4"/>
    <w:rsid w:val="000A42CC"/>
    <w:rsid w:val="000E7DD9"/>
    <w:rsid w:val="0010095E"/>
    <w:rsid w:val="00125B37"/>
    <w:rsid w:val="00187494"/>
    <w:rsid w:val="001F32AE"/>
    <w:rsid w:val="0021371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E30"/>
    <w:rsid w:val="0050519A"/>
    <w:rsid w:val="005072A1"/>
    <w:rsid w:val="00514517"/>
    <w:rsid w:val="00545827"/>
    <w:rsid w:val="00560270"/>
    <w:rsid w:val="005C2568"/>
    <w:rsid w:val="005F1B17"/>
    <w:rsid w:val="006037C0"/>
    <w:rsid w:val="006631B6"/>
    <w:rsid w:val="00680577"/>
    <w:rsid w:val="006F74FA"/>
    <w:rsid w:val="006F7AD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F72"/>
    <w:rsid w:val="00930C23"/>
    <w:rsid w:val="0093193B"/>
    <w:rsid w:val="009509D8"/>
    <w:rsid w:val="00950B64"/>
    <w:rsid w:val="00971418"/>
    <w:rsid w:val="00981893"/>
    <w:rsid w:val="00A1687D"/>
    <w:rsid w:val="00A43E52"/>
    <w:rsid w:val="00A4678D"/>
    <w:rsid w:val="00A778C7"/>
    <w:rsid w:val="00AB441E"/>
    <w:rsid w:val="00AB6293"/>
    <w:rsid w:val="00AE0928"/>
    <w:rsid w:val="00AF3B82"/>
    <w:rsid w:val="00B12E95"/>
    <w:rsid w:val="00B22876"/>
    <w:rsid w:val="00B558F0"/>
    <w:rsid w:val="00B8455A"/>
    <w:rsid w:val="00BD48FE"/>
    <w:rsid w:val="00BD7BD8"/>
    <w:rsid w:val="00BE6ADC"/>
    <w:rsid w:val="00C05BFE"/>
    <w:rsid w:val="00C23CD4"/>
    <w:rsid w:val="00C61C0C"/>
    <w:rsid w:val="00C906D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33/2026"/>
    <w:docVar w:name="dvlangue" w:val="LV"/>
    <w:docVar w:name="dvnumam" w:val="0"/>
    <w:docVar w:name="dvpe" w:val="784.295"/>
    <w:docVar w:name="dvrapporteur" w:val="Referente: "/>
    <w:docVar w:name="dvstar" w:val="***"/>
    <w:docVar w:name="dvtitre" w:val="Eiropas Parlamenta 2026. gada XX. XXX normatīvā rezolūcija par projektu Padomes lēmumam par to, lai izbeigtu Brīvprātīgo partnerattiecību nolīgumu starp Eiropas Savienību un Libērijas Republiku par meža tiesību aktu ieviešanu, pārvaldību un koksnes izstrādājumu tirdzniecību uz Eiropas Savienību(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43BD86"/>
  <w15:chartTrackingRefBased/>
  <w15:docId w15:val="{97E2941A-2765-4D25-9539-A5864937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06D2"/>
    <w:pPr>
      <w:spacing w:before="480" w:after="240"/>
    </w:pPr>
  </w:style>
  <w:style w:type="paragraph" w:customStyle="1" w:styleId="NormalBold">
    <w:name w:val="NormalBold"/>
    <w:basedOn w:val="Normal"/>
    <w:rsid w:val="00C906D2"/>
    <w:rPr>
      <w:b/>
    </w:rPr>
  </w:style>
  <w:style w:type="paragraph" w:customStyle="1" w:styleId="NormalBold12a">
    <w:name w:val="NormalBold12a"/>
    <w:basedOn w:val="Normal"/>
    <w:rsid w:val="00C906D2"/>
    <w:pPr>
      <w:spacing w:after="240"/>
    </w:pPr>
    <w:rPr>
      <w:b/>
    </w:rPr>
  </w:style>
  <w:style w:type="paragraph" w:customStyle="1" w:styleId="NormalHanging12a">
    <w:name w:val="NormalHanging12a"/>
    <w:basedOn w:val="Normal"/>
    <w:rsid w:val="00C906D2"/>
    <w:pPr>
      <w:spacing w:after="240"/>
      <w:ind w:left="567" w:hanging="567"/>
    </w:pPr>
  </w:style>
  <w:style w:type="character" w:styleId="Hyperlink">
    <w:name w:val="Hyperlink"/>
    <w:basedOn w:val="DefaultParagraphFont"/>
    <w:unhideWhenUsed/>
    <w:rsid w:val="00C906D2"/>
    <w:rPr>
      <w:color w:val="0000FF"/>
      <w:u w:val="single"/>
    </w:rPr>
  </w:style>
  <w:style w:type="paragraph" w:styleId="Revision">
    <w:name w:val="Revision"/>
    <w:hidden/>
    <w:uiPriority w:val="99"/>
    <w:semiHidden/>
    <w:rsid w:val="006F7AD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N/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1506</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2026-06-17T14:29:00Z</dcterms:created>
  <dcterms:modified xsi:type="dcterms:W3CDTF">2026-06-17T14:29:00Z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A10-0133/2026</vt:lpwstr>
  </property>
  <property fmtid="{D5CDD505-2E9C-101B-9397-08002B2CF9AE}" pid="4" name="&lt;Type&gt;">
    <vt:lpwstr>RR</vt:lpwstr>
  </property>
</Properties>
</file>