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472F6F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4D72" w:rsidP="0010095E" w14:paraId="60E08F85" w14:textId="77777777">
            <w:pPr>
              <w:pStyle w:val="EPName"/>
            </w:pPr>
            <w:r w:rsidRPr="00744D72">
              <w:t>Evropský parlament</w:t>
            </w:r>
          </w:p>
          <w:p w:rsidR="00751A4A" w:rsidRPr="00744D72" w:rsidP="005F1B17" w14:paraId="21EEC91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4D72">
              <w:t>2024</w:t>
            </w:r>
            <w:r w:rsidRPr="00744D72" w:rsidR="00817416">
              <w:t>-202</w:t>
            </w:r>
            <w:r w:rsidRPr="00744D7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44D72" w:rsidP="0010095E" w14:paraId="60A56726" w14:textId="77777777">
            <w:pPr>
              <w:pStyle w:val="EPLogo"/>
            </w:pPr>
            <w:r w:rsidRPr="00744D7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4D72" w:rsidP="004C5D52" w14:paraId="09786919" w14:textId="77777777">
      <w:pPr>
        <w:pStyle w:val="LineTop"/>
      </w:pPr>
    </w:p>
    <w:p w:rsidR="00680577" w:rsidRPr="00744D72" w:rsidP="00680577" w14:paraId="6B64ACFC" w14:textId="77777777">
      <w:pPr>
        <w:pStyle w:val="EPBodyTA1"/>
      </w:pPr>
      <w:r w:rsidRPr="00744D72">
        <w:t>PŘIJATÉ TEXTY</w:t>
      </w:r>
    </w:p>
    <w:p w:rsidR="00D058B8" w:rsidRPr="00744D72" w:rsidP="00D058B8" w14:paraId="104D35A3" w14:textId="77777777">
      <w:pPr>
        <w:pStyle w:val="LineBottom"/>
      </w:pPr>
    </w:p>
    <w:p w:rsidR="00597B8E" w:rsidRPr="000428E2" w:rsidP="00597B8E" w14:paraId="7D0F6BE1" w14:textId="5FF2584A">
      <w:pPr>
        <w:pStyle w:val="ATHeading1"/>
      </w:pPr>
      <w:bookmarkStart w:id="0" w:name="TANumber"/>
      <w:r w:rsidRPr="000428E2">
        <w:t>P10_</w:t>
      </w:r>
      <w:r w:rsidRPr="000428E2">
        <w:t>TA(</w:t>
      </w:r>
      <w:r w:rsidRPr="000428E2">
        <w:t>2026)0</w:t>
      </w:r>
      <w:r w:rsidR="004165C6">
        <w:t>211</w:t>
      </w:r>
      <w:bookmarkEnd w:id="0"/>
    </w:p>
    <w:p w:rsidR="00597B8E" w:rsidRPr="000428E2" w:rsidP="00597B8E" w14:paraId="53AA8362" w14:textId="77777777">
      <w:pPr>
        <w:pStyle w:val="ATHeading2"/>
      </w:pPr>
      <w:bookmarkStart w:id="1" w:name="title"/>
      <w:r w:rsidRPr="000428E2">
        <w:t>Struktura a sazby spotřební daně z tabáku, tabákových výrobků a výrobků souvisejících s tabákovými výrobky (přepracované znění)</w:t>
      </w:r>
      <w:bookmarkEnd w:id="1"/>
    </w:p>
    <w:p w:rsidR="00597B8E" w:rsidRPr="00744D72" w:rsidP="00597B8E" w14:paraId="4F7F2F20" w14:textId="77777777">
      <w:pPr>
        <w:rPr>
          <w:i/>
          <w:vanish/>
        </w:rPr>
      </w:pPr>
      <w:r>
        <w:rPr>
          <w:i/>
        </w:rPr>
        <w:fldChar w:fldCharType="begin"/>
      </w:r>
      <w:r w:rsidRPr="00744D72">
        <w:rPr>
          <w:i/>
        </w:rPr>
        <w:instrText xml:space="preserve"> TC"(</w:instrText>
      </w:r>
      <w:bookmarkStart w:id="2" w:name="DocNumber"/>
      <w:r w:rsidRPr="00744D72">
        <w:rPr>
          <w:i/>
        </w:rPr>
        <w:instrText>A10-0161/2026</w:instrText>
      </w:r>
      <w:bookmarkEnd w:id="2"/>
      <w:r w:rsidRPr="00744D72">
        <w:rPr>
          <w:i/>
        </w:rPr>
        <w:instrText xml:space="preserve"> - Zpravodaj: Tomáš Kubín)"\l3 \n&gt; \* MERGEFORMAT </w:instrText>
      </w:r>
      <w:r>
        <w:rPr>
          <w:i/>
        </w:rPr>
        <w:fldChar w:fldCharType="end"/>
      </w:r>
    </w:p>
    <w:p w:rsidR="00597B8E" w:rsidRPr="00744D72" w:rsidP="00597B8E" w14:paraId="5D3FC760" w14:textId="77777777">
      <w:pPr>
        <w:rPr>
          <w:vanish/>
        </w:rPr>
      </w:pPr>
      <w:bookmarkStart w:id="3" w:name="Commission"/>
      <w:r w:rsidRPr="00744D72">
        <w:rPr>
          <w:vanish/>
        </w:rPr>
        <w:t>Hospodářský a měnový výbor</w:t>
      </w:r>
      <w:bookmarkEnd w:id="3"/>
    </w:p>
    <w:p w:rsidR="00597B8E" w:rsidRPr="00744D72" w:rsidP="00597B8E" w14:paraId="72D0852A" w14:textId="77777777">
      <w:pPr>
        <w:rPr>
          <w:vanish/>
        </w:rPr>
      </w:pPr>
      <w:bookmarkStart w:id="4" w:name="PE"/>
      <w:r w:rsidRPr="00744D72">
        <w:rPr>
          <w:vanish/>
        </w:rPr>
        <w:t>PE784.398</w:t>
      </w:r>
      <w:bookmarkEnd w:id="4"/>
    </w:p>
    <w:p w:rsidR="00597B8E" w:rsidRPr="000428E2" w:rsidP="00597B8E" w14:paraId="44918D8D" w14:textId="77777777">
      <w:pPr>
        <w:pStyle w:val="ATHeading3"/>
      </w:pPr>
      <w:bookmarkStart w:id="5" w:name="Sujet"/>
      <w:r w:rsidRPr="000428E2">
        <w:t>Legislativní usnesení Evropského parlamentu ze dne 17. června 2026 o návrhu směrnice Rady o struktuře a sazbách spotřební daně z tabáku, tabákových výrobků a výrobků souvisejících s tabákovými výrobky (přepracované znění)</w:t>
      </w:r>
      <w:bookmarkEnd w:id="5"/>
      <w:r w:rsidRPr="000428E2">
        <w:t xml:space="preserve"> </w:t>
      </w:r>
      <w:bookmarkStart w:id="6" w:name="References"/>
      <w:r w:rsidRPr="000428E2">
        <w:t>(</w:t>
      </w:r>
      <w:r w:rsidRPr="000428E2">
        <w:t>COM(</w:t>
      </w:r>
      <w:r w:rsidRPr="000428E2">
        <w:t>2025)0580 – C10-0207/2025 – 2025/0580(CNS))</w:t>
      </w:r>
      <w:bookmarkEnd w:id="6"/>
    </w:p>
    <w:p w:rsidR="00EB7DA5" w:rsidRPr="00744D72" w:rsidP="00EB7DA5" w14:paraId="2585D72B" w14:textId="77777777">
      <w:pPr>
        <w:pStyle w:val="NormalBold"/>
      </w:pPr>
      <w:r w:rsidRPr="00744D72">
        <w:t>(Zvláštní legislativní postup – konzultace – přepracování)</w:t>
      </w:r>
    </w:p>
    <w:p w:rsidR="00EB7DA5" w:rsidRPr="00744D72" w:rsidP="00EB7DA5" w14:paraId="1A9C43B2" w14:textId="77777777">
      <w:pPr>
        <w:pStyle w:val="EPComma"/>
      </w:pPr>
      <w:r w:rsidRPr="00744D72">
        <w:rPr>
          <w:i/>
          <w:iCs/>
        </w:rPr>
        <w:t>Evropský parlament</w:t>
      </w:r>
      <w:r w:rsidRPr="00744D72">
        <w:t>,</w:t>
      </w:r>
    </w:p>
    <w:p w:rsidR="00EB7DA5" w:rsidRPr="00744D72" w:rsidP="00EB7DA5" w14:paraId="77DDCA8B" w14:textId="77777777">
      <w:pPr>
        <w:pStyle w:val="NormalHanging12a"/>
      </w:pPr>
      <w:r w:rsidRPr="00744D72">
        <w:t>–</w:t>
      </w:r>
      <w:r w:rsidRPr="00744D72">
        <w:tab/>
        <w:t>s ohledem na návrh Komise předložený Radě (</w:t>
      </w:r>
      <w:r w:rsidRPr="00744D72">
        <w:t>COM(</w:t>
      </w:r>
      <w:r w:rsidRPr="00744D72">
        <w:t>2025)0580),</w:t>
      </w:r>
    </w:p>
    <w:p w:rsidR="00EB7DA5" w:rsidRPr="00744D72" w:rsidP="00EB7DA5" w14:paraId="12B03042" w14:textId="77777777">
      <w:pPr>
        <w:pStyle w:val="NormalHanging12a"/>
      </w:pPr>
      <w:r w:rsidRPr="00744D72">
        <w:t>–</w:t>
      </w:r>
      <w:r w:rsidRPr="00744D72">
        <w:tab/>
        <w:t>s ohledem na článek 113 Smlouvy o fungování Evropské unie, podle kterého Rada konzultovala s Parlamentem (C10</w:t>
      </w:r>
      <w:r w:rsidRPr="00744D72">
        <w:noBreakHyphen/>
        <w:t>0207/2025),</w:t>
      </w:r>
    </w:p>
    <w:p w:rsidR="00EB7DA5" w:rsidRPr="00744D72" w:rsidP="00EB7DA5" w14:paraId="0C380DE6" w14:textId="77777777">
      <w:pPr>
        <w:pStyle w:val="NormalHanging12a"/>
      </w:pPr>
      <w:r w:rsidRPr="00744D72">
        <w:t>–</w:t>
      </w:r>
      <w:r w:rsidRPr="00744D72">
        <w:tab/>
        <w:t>s ohledem na odůvodněné stanovisko předložené italskou Poslaneckou sněmovnou v rámci protokolu č. 2 o používání zásad subsidiarity a proporcionality uvádějící, že návrh legislativního aktu není v souladu se zásadou subsidiarity,</w:t>
      </w:r>
    </w:p>
    <w:p w:rsidR="00EB7DA5" w:rsidRPr="00744D72" w:rsidP="00EB7DA5" w14:paraId="5D79F3B0" w14:textId="77777777">
      <w:pPr>
        <w:pStyle w:val="NormalHanging12a"/>
      </w:pPr>
      <w:r w:rsidRPr="00744D72">
        <w:t>–</w:t>
      </w:r>
      <w:r w:rsidRPr="00744D72">
        <w:tab/>
        <w:t>s ohledem na interinstitucionální dohodu ze dne 28. listopadu 2001 o systematičtějším využívání metody přepracování právních aktů</w:t>
      </w:r>
      <w:r>
        <w:rPr>
          <w:rStyle w:val="FootnoteReference"/>
        </w:rPr>
        <w:footnoteReference w:id="2"/>
      </w:r>
      <w:r w:rsidRPr="00744D72">
        <w:t>,</w:t>
      </w:r>
    </w:p>
    <w:p w:rsidR="00EB7DA5" w:rsidRPr="00744D72" w:rsidP="00EB7DA5" w14:paraId="2A869D8D" w14:textId="77777777">
      <w:pPr>
        <w:pStyle w:val="NormalHanging12a"/>
      </w:pPr>
      <w:r w:rsidRPr="00744D72">
        <w:t>–</w:t>
      </w:r>
      <w:r w:rsidRPr="00744D72">
        <w:tab/>
        <w:t>s ohledem na dopis Výboru pro právní záležitosti ze dne 11. prosince 2025 pro Hospodářský a měnový výbor podle čl. 113 odst. 3 jednacího řádu,</w:t>
      </w:r>
    </w:p>
    <w:p w:rsidR="00EB7DA5" w:rsidRPr="00744D72" w:rsidP="00EB7DA5" w14:paraId="0956F24F" w14:textId="77777777">
      <w:pPr>
        <w:pStyle w:val="NormalHanging12a"/>
      </w:pPr>
      <w:r w:rsidRPr="00744D72">
        <w:t>–</w:t>
      </w:r>
      <w:r w:rsidRPr="00744D72">
        <w:tab/>
        <w:t>s ohledem na články 113 a 84 jednacího řádu,</w:t>
      </w:r>
    </w:p>
    <w:p w:rsidR="00EB7DA5" w:rsidRPr="00744D72" w:rsidP="00EB7DA5" w14:paraId="679A6A22" w14:textId="77777777">
      <w:pPr>
        <w:pStyle w:val="NormalHanging12a"/>
      </w:pPr>
      <w:r w:rsidRPr="00744D72">
        <w:t>–</w:t>
      </w:r>
      <w:r w:rsidRPr="00744D72">
        <w:tab/>
        <w:t>s ohledem na zprávu Hospodářského a měnového výboru (A10</w:t>
      </w:r>
      <w:r w:rsidRPr="00744D72">
        <w:noBreakHyphen/>
        <w:t>0161/2026),</w:t>
      </w:r>
    </w:p>
    <w:p w:rsidR="00EB7DA5" w:rsidRPr="00744D72" w:rsidP="00EB7DA5" w14:paraId="0B968FDC" w14:textId="149C25D3">
      <w:pPr>
        <w:pStyle w:val="NormalHanging12a"/>
      </w:pPr>
      <w:r w:rsidRPr="00744D72">
        <w:t>1.</w:t>
      </w:r>
      <w:r w:rsidRPr="00744D72">
        <w:tab/>
      </w:r>
      <w:r w:rsidR="00B01111">
        <w:t>zamítá</w:t>
      </w:r>
      <w:r w:rsidRPr="00744D72">
        <w:t xml:space="preserve"> návrh Komise;</w:t>
      </w:r>
    </w:p>
    <w:p w:rsidR="00EB7DA5" w:rsidRPr="00744D72" w:rsidP="00B01111" w14:paraId="32B98934" w14:textId="5CFA4695">
      <w:pPr>
        <w:pStyle w:val="NormalHanging12a"/>
      </w:pPr>
      <w:r w:rsidRPr="00744D72">
        <w:t>2.</w:t>
      </w:r>
      <w:r w:rsidRPr="00744D72">
        <w:tab/>
        <w:t xml:space="preserve">vyzývá Komisi, aby </w:t>
      </w:r>
      <w:r w:rsidR="00B01111">
        <w:t xml:space="preserve">vzala svůj </w:t>
      </w:r>
      <w:r w:rsidRPr="00744D72">
        <w:t xml:space="preserve">návrh </w:t>
      </w:r>
      <w:r w:rsidR="00B01111">
        <w:t>zpět</w:t>
      </w:r>
      <w:r w:rsidRPr="00744D72">
        <w:t>;</w:t>
      </w:r>
    </w:p>
    <w:p w:rsidR="00EB7DA5" w:rsidRPr="00744D72" w:rsidP="004815A6" w14:paraId="04C11468" w14:textId="638CBCEB">
      <w:pPr>
        <w:pStyle w:val="NormalHanging12a"/>
      </w:pPr>
      <w:r>
        <w:t>3</w:t>
      </w:r>
      <w:r w:rsidRPr="00744D72">
        <w:t>.</w:t>
      </w:r>
      <w:r w:rsidRPr="00744D72">
        <w:tab/>
        <w:t>pověřuje svou předsedkyni, aby předala postoj Parlamentu Radě, Komisi a vnitrostátním parlamentům.</w:t>
      </w:r>
    </w:p>
    <w:p w:rsidR="00E365E1" w:rsidRPr="00744D72" w:rsidP="005F79FD" w14:paraId="5C31218E" w14:textId="17928EAE"/>
    <w:sectPr w:rsidSect="000505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0553" w14:paraId="3367E92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0553" w14:paraId="7E88B06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0553" w14:paraId="02AA531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97B8E" w:rsidRPr="00050553" w14:paraId="61CB3843" w14:textId="77777777">
      <w:r w:rsidRPr="00050553">
        <w:separator/>
      </w:r>
    </w:p>
  </w:footnote>
  <w:footnote w:type="continuationSeparator" w:id="1">
    <w:p w:rsidR="00597B8E" w:rsidRPr="00050553" w14:paraId="7351294A" w14:textId="77777777">
      <w:r w:rsidRPr="00050553">
        <w:continuationSeparator/>
      </w:r>
    </w:p>
  </w:footnote>
  <w:footnote w:id="2">
    <w:p w:rsidR="00EB7DA5" w:rsidRPr="00050553" w:rsidP="00050553" w14:paraId="3DF23EBB" w14:textId="5966FA46">
      <w:pPr>
        <w:pStyle w:val="FootnoteText"/>
        <w:ind w:left="567" w:hanging="567"/>
        <w:rPr>
          <w:sz w:val="24"/>
          <w:lang w:val="cs-CZ"/>
        </w:rPr>
      </w:pPr>
      <w:r w:rsidRPr="00050553">
        <w:rPr>
          <w:rStyle w:val="FootnoteReference"/>
          <w:sz w:val="24"/>
          <w:lang w:val="cs-CZ"/>
        </w:rPr>
        <w:footnoteRef/>
      </w:r>
      <w:r w:rsidRPr="00050553" w:rsidR="00050553">
        <w:rPr>
          <w:sz w:val="24"/>
          <w:lang w:val="cs-CZ"/>
        </w:rPr>
        <w:t xml:space="preserve"> </w:t>
      </w:r>
      <w:r w:rsidRPr="00050553" w:rsidR="00050553">
        <w:rPr>
          <w:sz w:val="24"/>
          <w:lang w:val="cs-CZ"/>
        </w:rPr>
        <w:tab/>
      </w:r>
      <w:r w:rsidRPr="00050553">
        <w:rPr>
          <w:sz w:val="24"/>
          <w:lang w:val="cs-CZ"/>
        </w:rPr>
        <w:t>Úř</w:t>
      </w:r>
      <w:r w:rsidRPr="00050553">
        <w:rPr>
          <w:sz w:val="24"/>
          <w:lang w:val="cs-CZ"/>
        </w:rPr>
        <w:t xml:space="preserve">. </w:t>
      </w:r>
      <w:r w:rsidRPr="00050553">
        <w:rPr>
          <w:sz w:val="24"/>
          <w:lang w:val="cs-CZ"/>
        </w:rPr>
        <w:t>věst</w:t>
      </w:r>
      <w:r w:rsidRPr="00050553">
        <w:rPr>
          <w:sz w:val="24"/>
          <w:lang w:val="cs-CZ"/>
        </w:rPr>
        <w:t>. C 77,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0553" w14:paraId="70CB31A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0553" w14:paraId="1868BBA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50553" w14:paraId="23B890A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7690588">
    <w:abstractNumId w:val="9"/>
  </w:num>
  <w:num w:numId="2" w16cid:durableId="1520656880">
    <w:abstractNumId w:val="9"/>
  </w:num>
  <w:num w:numId="3" w16cid:durableId="1505705214">
    <w:abstractNumId w:val="7"/>
  </w:num>
  <w:num w:numId="4" w16cid:durableId="134639144">
    <w:abstractNumId w:val="7"/>
  </w:num>
  <w:num w:numId="5" w16cid:durableId="1231502857">
    <w:abstractNumId w:val="6"/>
  </w:num>
  <w:num w:numId="6" w16cid:durableId="1057775212">
    <w:abstractNumId w:val="6"/>
  </w:num>
  <w:num w:numId="7" w16cid:durableId="786199025">
    <w:abstractNumId w:val="5"/>
  </w:num>
  <w:num w:numId="8" w16cid:durableId="1541090725">
    <w:abstractNumId w:val="5"/>
  </w:num>
  <w:num w:numId="9" w16cid:durableId="1203328876">
    <w:abstractNumId w:val="4"/>
  </w:num>
  <w:num w:numId="10" w16cid:durableId="1300501604">
    <w:abstractNumId w:val="4"/>
  </w:num>
  <w:num w:numId="11" w16cid:durableId="1151412065">
    <w:abstractNumId w:val="8"/>
  </w:num>
  <w:num w:numId="12" w16cid:durableId="531919217">
    <w:abstractNumId w:val="8"/>
  </w:num>
  <w:num w:numId="13" w16cid:durableId="305161892">
    <w:abstractNumId w:val="3"/>
  </w:num>
  <w:num w:numId="14" w16cid:durableId="1480884141">
    <w:abstractNumId w:val="3"/>
  </w:num>
  <w:num w:numId="15" w16cid:durableId="475336748">
    <w:abstractNumId w:val="2"/>
  </w:num>
  <w:num w:numId="16" w16cid:durableId="1789928699">
    <w:abstractNumId w:val="2"/>
  </w:num>
  <w:num w:numId="17" w16cid:durableId="905652748">
    <w:abstractNumId w:val="1"/>
  </w:num>
  <w:num w:numId="18" w16cid:durableId="1345281418">
    <w:abstractNumId w:val="1"/>
  </w:num>
  <w:num w:numId="19" w16cid:durableId="479465781">
    <w:abstractNumId w:val="0"/>
  </w:num>
  <w:num w:numId="20" w16cid:durableId="27417763">
    <w:abstractNumId w:val="0"/>
  </w:num>
  <w:num w:numId="21" w16cid:durableId="1380593219">
    <w:abstractNumId w:val="9"/>
  </w:num>
  <w:num w:numId="22" w16cid:durableId="1225261835">
    <w:abstractNumId w:val="7"/>
  </w:num>
  <w:num w:numId="23" w16cid:durableId="784077616">
    <w:abstractNumId w:val="6"/>
  </w:num>
  <w:num w:numId="24" w16cid:durableId="545416042">
    <w:abstractNumId w:val="5"/>
  </w:num>
  <w:num w:numId="25" w16cid:durableId="876238862">
    <w:abstractNumId w:val="4"/>
  </w:num>
  <w:num w:numId="26" w16cid:durableId="406463249">
    <w:abstractNumId w:val="8"/>
  </w:num>
  <w:num w:numId="27" w16cid:durableId="1976644066">
    <w:abstractNumId w:val="3"/>
  </w:num>
  <w:num w:numId="28" w16cid:durableId="1113741712">
    <w:abstractNumId w:val="2"/>
  </w:num>
  <w:num w:numId="29" w16cid:durableId="1768840365">
    <w:abstractNumId w:val="1"/>
  </w:num>
  <w:num w:numId="30" w16cid:durableId="749809099">
    <w:abstractNumId w:val="0"/>
  </w:num>
  <w:num w:numId="31" w16cid:durableId="943462938">
    <w:abstractNumId w:val="9"/>
  </w:num>
  <w:num w:numId="32" w16cid:durableId="1463498936">
    <w:abstractNumId w:val="7"/>
  </w:num>
  <w:num w:numId="33" w16cid:durableId="1000082290">
    <w:abstractNumId w:val="6"/>
  </w:num>
  <w:num w:numId="34" w16cid:durableId="181936896">
    <w:abstractNumId w:val="5"/>
  </w:num>
  <w:num w:numId="35" w16cid:durableId="1457672880">
    <w:abstractNumId w:val="4"/>
  </w:num>
  <w:num w:numId="36" w16cid:durableId="1138181188">
    <w:abstractNumId w:val="8"/>
  </w:num>
  <w:num w:numId="37" w16cid:durableId="1669364954">
    <w:abstractNumId w:val="3"/>
  </w:num>
  <w:num w:numId="38" w16cid:durableId="1985692262">
    <w:abstractNumId w:val="2"/>
  </w:num>
  <w:num w:numId="39" w16cid:durableId="862598720">
    <w:abstractNumId w:val="1"/>
  </w:num>
  <w:num w:numId="40" w16cid:durableId="665667874">
    <w:abstractNumId w:val="0"/>
  </w:num>
  <w:num w:numId="41" w16cid:durableId="1533879680">
    <w:abstractNumId w:val="10"/>
  </w:num>
  <w:num w:numId="42" w16cid:durableId="484400909">
    <w:abstractNumId w:val="10"/>
  </w:num>
  <w:num w:numId="43" w16cid:durableId="2030334180">
    <w:abstractNumId w:val="10"/>
  </w:num>
  <w:num w:numId="44" w16cid:durableId="16107441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8E"/>
    <w:rsid w:val="00002272"/>
    <w:rsid w:val="000428E2"/>
    <w:rsid w:val="0005055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3593"/>
    <w:rsid w:val="002B18FE"/>
    <w:rsid w:val="002B5493"/>
    <w:rsid w:val="00311D90"/>
    <w:rsid w:val="00343214"/>
    <w:rsid w:val="00361C00"/>
    <w:rsid w:val="003779DC"/>
    <w:rsid w:val="0038438B"/>
    <w:rsid w:val="00395FA1"/>
    <w:rsid w:val="003D343D"/>
    <w:rsid w:val="003E1172"/>
    <w:rsid w:val="003E15D4"/>
    <w:rsid w:val="00411CCE"/>
    <w:rsid w:val="004165C6"/>
    <w:rsid w:val="0041666E"/>
    <w:rsid w:val="00421060"/>
    <w:rsid w:val="00471C19"/>
    <w:rsid w:val="004815A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B8E"/>
    <w:rsid w:val="005C2568"/>
    <w:rsid w:val="005F1B17"/>
    <w:rsid w:val="005F79FD"/>
    <w:rsid w:val="006037C0"/>
    <w:rsid w:val="006631B6"/>
    <w:rsid w:val="00680577"/>
    <w:rsid w:val="006C0269"/>
    <w:rsid w:val="006F74FA"/>
    <w:rsid w:val="00731ADD"/>
    <w:rsid w:val="00734777"/>
    <w:rsid w:val="00744D72"/>
    <w:rsid w:val="00747932"/>
    <w:rsid w:val="00751A4A"/>
    <w:rsid w:val="00756632"/>
    <w:rsid w:val="007606A1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1111"/>
    <w:rsid w:val="00B12E95"/>
    <w:rsid w:val="00B22876"/>
    <w:rsid w:val="00B558F0"/>
    <w:rsid w:val="00BD48FE"/>
    <w:rsid w:val="00BD7BD8"/>
    <w:rsid w:val="00BE6ADC"/>
    <w:rsid w:val="00C05BFE"/>
    <w:rsid w:val="00C234B2"/>
    <w:rsid w:val="00C23CD4"/>
    <w:rsid w:val="00C61C0C"/>
    <w:rsid w:val="00C70A50"/>
    <w:rsid w:val="00C941CB"/>
    <w:rsid w:val="00CC2357"/>
    <w:rsid w:val="00CF071A"/>
    <w:rsid w:val="00CF700B"/>
    <w:rsid w:val="00D058B8"/>
    <w:rsid w:val="00D56C11"/>
    <w:rsid w:val="00D834A0"/>
    <w:rsid w:val="00D872DF"/>
    <w:rsid w:val="00D91E21"/>
    <w:rsid w:val="00DA7FCD"/>
    <w:rsid w:val="00E10B2D"/>
    <w:rsid w:val="00E365E1"/>
    <w:rsid w:val="00E76C1B"/>
    <w:rsid w:val="00E820A4"/>
    <w:rsid w:val="00EB006A"/>
    <w:rsid w:val="00EB4772"/>
    <w:rsid w:val="00EB7DA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CS"/>
    <w:docVar w:name="dvnumam" w:val="87"/>
    <w:docVar w:name="dvpe" w:val="784.398"/>
    <w:docVar w:name="dvrapporteur" w:val="Zpravodaj: "/>
    <w:docVar w:name="dvstar" w:val="*"/>
    <w:docVar w:name="dvtitre" w:val="Legislativní usnesení Evropského parlamentu ze dne 17. června 2026 o návrhu směrnice Rady o struktuře a sazbách spotřební daně z tabáku, tabákových výrobků a výrobků souvisejících s tabákovými výrobky (přepracované znění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435A7CB"/>
  <w15:chartTrackingRefBased/>
  <w15:docId w15:val="{F26ADBAE-61A3-448D-98C0-574F430C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B7DA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B7DA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B7DA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B7DA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B7DA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B7DA5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EB7DA5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EB7DA5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EB7DA5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EB7DA5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EB7D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EB7D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EB7DA5"/>
    <w:pPr>
      <w:spacing w:after="240"/>
    </w:pPr>
  </w:style>
  <w:style w:type="paragraph" w:customStyle="1" w:styleId="TOCPage">
    <w:name w:val="TOC Page"/>
    <w:basedOn w:val="Normal"/>
    <w:next w:val="TOC1"/>
    <w:rsid w:val="00EB7DA5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EB7DA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B7DA5"/>
    <w:pPr>
      <w:spacing w:after="240"/>
      <w:ind w:left="567" w:hanging="567"/>
    </w:pPr>
  </w:style>
  <w:style w:type="paragraph" w:customStyle="1" w:styleId="Normal6a">
    <w:name w:val="Normal6a"/>
    <w:basedOn w:val="Normal"/>
    <w:rsid w:val="00EB7DA5"/>
    <w:pPr>
      <w:spacing w:after="120"/>
    </w:pPr>
  </w:style>
  <w:style w:type="paragraph" w:customStyle="1" w:styleId="CoverNormal24a">
    <w:name w:val="CoverNormal24a"/>
    <w:basedOn w:val="Normal"/>
    <w:rsid w:val="00EB7DA5"/>
    <w:pPr>
      <w:spacing w:after="480"/>
      <w:ind w:left="1417"/>
    </w:pPr>
  </w:style>
  <w:style w:type="paragraph" w:customStyle="1" w:styleId="CoverNormal">
    <w:name w:val="CoverNormal"/>
    <w:basedOn w:val="Normal"/>
    <w:rsid w:val="00EB7DA5"/>
    <w:pPr>
      <w:ind w:left="1418"/>
    </w:pPr>
  </w:style>
  <w:style w:type="paragraph" w:customStyle="1" w:styleId="CoverReference">
    <w:name w:val="CoverReference"/>
    <w:basedOn w:val="Normal"/>
    <w:rsid w:val="00EB7DA5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B7DA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B7DA5"/>
    <w:rPr>
      <w:b/>
      <w:sz w:val="24"/>
      <w:lang w:val="cs-CZ"/>
    </w:rPr>
  </w:style>
  <w:style w:type="paragraph" w:customStyle="1" w:styleId="CoverDocType">
    <w:name w:val="CoverDocType"/>
    <w:basedOn w:val="Normal"/>
    <w:rsid w:val="00EB7DA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B7DA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B7DA5"/>
    <w:pPr>
      <w:spacing w:before="240" w:after="1200"/>
    </w:pPr>
  </w:style>
  <w:style w:type="paragraph" w:styleId="Header">
    <w:name w:val="header"/>
    <w:basedOn w:val="Normal"/>
    <w:link w:val="HeaderChar"/>
    <w:rsid w:val="00EB7D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B7DA5"/>
    <w:rPr>
      <w:sz w:val="24"/>
      <w:lang w:val="cs-CZ"/>
    </w:rPr>
  </w:style>
  <w:style w:type="paragraph" w:customStyle="1" w:styleId="AnnexWPLogo">
    <w:name w:val="AnnexWPLogo"/>
    <w:basedOn w:val="Normal"/>
    <w:rsid w:val="00EB7DA5"/>
    <w:pPr>
      <w:spacing w:before="120" w:after="120"/>
    </w:pPr>
  </w:style>
  <w:style w:type="paragraph" w:customStyle="1" w:styleId="AnnexWPTabs">
    <w:name w:val="AnnexWPTabs"/>
    <w:basedOn w:val="Normal"/>
    <w:rsid w:val="00EB7DA5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EB7DA5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EB7DA5"/>
    <w:rPr>
      <w:smallCaps/>
      <w:sz w:val="20"/>
    </w:rPr>
  </w:style>
  <w:style w:type="paragraph" w:customStyle="1" w:styleId="AnnexWPDocType">
    <w:name w:val="AnnexWPDocType"/>
    <w:basedOn w:val="Normal"/>
    <w:rsid w:val="00EB7DA5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EB7DA5"/>
    <w:pPr>
      <w:spacing w:before="480"/>
    </w:pPr>
    <w:rPr>
      <w:b/>
    </w:rPr>
  </w:style>
  <w:style w:type="paragraph" w:customStyle="1" w:styleId="AmJustText">
    <w:name w:val="AmJustText"/>
    <w:basedOn w:val="Normal"/>
    <w:rsid w:val="00EB7DA5"/>
    <w:pPr>
      <w:spacing w:after="240"/>
    </w:pPr>
    <w:rPr>
      <w:i/>
    </w:rPr>
  </w:style>
  <w:style w:type="paragraph" w:customStyle="1" w:styleId="AmCrossRef">
    <w:name w:val="AmCrossRef"/>
    <w:basedOn w:val="Normal"/>
    <w:rsid w:val="00EB7DA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B7DA5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EB7DA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B7D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B7D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B7DA5"/>
    <w:pPr>
      <w:spacing w:before="240"/>
    </w:pPr>
    <w:rPr>
      <w:b/>
    </w:rPr>
  </w:style>
  <w:style w:type="paragraph" w:customStyle="1" w:styleId="EPBody">
    <w:name w:val="EPBody"/>
    <w:basedOn w:val="Normal"/>
    <w:rsid w:val="00EB7DA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B7D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B7DA5"/>
    <w:pPr>
      <w:spacing w:before="480" w:after="240"/>
    </w:pPr>
  </w:style>
  <w:style w:type="paragraph" w:customStyle="1" w:styleId="Lgendesigne">
    <w:name w:val="Légende signe"/>
    <w:basedOn w:val="Normal"/>
    <w:rsid w:val="00EB7DA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B7DA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B7DA5"/>
    <w:rPr>
      <w:sz w:val="18"/>
    </w:rPr>
  </w:style>
  <w:style w:type="paragraph" w:customStyle="1" w:styleId="LetterDate">
    <w:name w:val="LetterDate"/>
    <w:basedOn w:val="Normal"/>
    <w:rsid w:val="00EB7DA5"/>
    <w:pPr>
      <w:spacing w:before="720" w:after="240"/>
    </w:pPr>
  </w:style>
  <w:style w:type="paragraph" w:customStyle="1" w:styleId="LetterSalutation">
    <w:name w:val="LetterSalutation"/>
    <w:basedOn w:val="Normal"/>
    <w:rsid w:val="00EB7DA5"/>
    <w:pPr>
      <w:spacing w:before="600" w:after="360"/>
    </w:pPr>
  </w:style>
  <w:style w:type="paragraph" w:customStyle="1" w:styleId="LetterSubject">
    <w:name w:val="LetterSubject"/>
    <w:basedOn w:val="Normal"/>
    <w:rsid w:val="00EB7DA5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EB7DA5"/>
    <w:pPr>
      <w:spacing w:before="1320"/>
    </w:pPr>
  </w:style>
  <w:style w:type="paragraph" w:customStyle="1" w:styleId="msonormal">
    <w:name w:val="msonormal"/>
    <w:basedOn w:val="Normal"/>
    <w:rsid w:val="00EB7DA5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EB7DA5"/>
    <w:rPr>
      <w:sz w:val="22"/>
    </w:rPr>
  </w:style>
  <w:style w:type="paragraph" w:styleId="Footer">
    <w:name w:val="footer"/>
    <w:link w:val="FooterChar"/>
    <w:unhideWhenUsed/>
    <w:rsid w:val="00EB7DA5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EB7DA5"/>
    <w:rPr>
      <w:sz w:val="24"/>
      <w:lang w:val="cs-CZ"/>
    </w:rPr>
  </w:style>
  <w:style w:type="paragraph" w:styleId="BalloonText">
    <w:name w:val="Balloon Text"/>
    <w:basedOn w:val="Normal"/>
    <w:link w:val="BalloonTextChar"/>
    <w:unhideWhenUsed/>
    <w:rsid w:val="00EB7D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7DA5"/>
    <w:rPr>
      <w:rFonts w:ascii="Segoe UI" w:hAnsi="Segoe UI" w:cs="Segoe UI"/>
      <w:sz w:val="18"/>
      <w:szCs w:val="18"/>
      <w:lang w:val="cs-CZ"/>
    </w:rPr>
  </w:style>
  <w:style w:type="paragraph" w:customStyle="1" w:styleId="AMNumberTabs0">
    <w:name w:val="AMNumberTabs"/>
    <w:basedOn w:val="Normal"/>
    <w:rsid w:val="00EB7D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EB7DA5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EB7DA5"/>
    <w:rPr>
      <w:noProof/>
      <w:sz w:val="24"/>
    </w:rPr>
  </w:style>
  <w:style w:type="paragraph" w:customStyle="1" w:styleId="Normal12">
    <w:name w:val="Normal12"/>
    <w:basedOn w:val="Normal"/>
    <w:link w:val="Normal12Char"/>
    <w:rsid w:val="00EB7DA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B7DA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B7DA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B7DA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B7DA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B7DA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B7DA5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EB7DA5"/>
    <w:pPr>
      <w:spacing w:after="120"/>
    </w:pPr>
  </w:style>
  <w:style w:type="paragraph" w:customStyle="1" w:styleId="Normal12Italic">
    <w:name w:val="Normal12Italic"/>
    <w:basedOn w:val="Normal12"/>
    <w:rsid w:val="00EB7DA5"/>
    <w:rPr>
      <w:i/>
    </w:rPr>
  </w:style>
  <w:style w:type="paragraph" w:customStyle="1" w:styleId="JustificationTitle">
    <w:name w:val="JustificationTitle"/>
    <w:basedOn w:val="Normal"/>
    <w:next w:val="Normal12"/>
    <w:rsid w:val="00EB7DA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B7DA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B7DA5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EB7DA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EB7DA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EB7DA5"/>
    <w:pPr>
      <w:spacing w:after="480"/>
    </w:pPr>
  </w:style>
  <w:style w:type="paragraph" w:customStyle="1" w:styleId="NormalBoldCenter">
    <w:name w:val="NormalBoldCenter"/>
    <w:basedOn w:val="Normal"/>
    <w:rsid w:val="00EB7DA5"/>
    <w:pPr>
      <w:jc w:val="center"/>
    </w:pPr>
    <w:rPr>
      <w:b/>
    </w:rPr>
  </w:style>
  <w:style w:type="paragraph" w:customStyle="1" w:styleId="Footprint12b">
    <w:name w:val="Footprint12b"/>
    <w:basedOn w:val="Normal"/>
    <w:rsid w:val="00EB7DA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EB7DA5"/>
    <w:rPr>
      <w:szCs w:val="24"/>
    </w:rPr>
  </w:style>
  <w:style w:type="paragraph" w:customStyle="1" w:styleId="EntPE">
    <w:name w:val="EntPE"/>
    <w:basedOn w:val="Normal12"/>
    <w:rsid w:val="00EB7DA5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EB7DA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B7DA5"/>
    <w:rPr>
      <w:sz w:val="24"/>
      <w:lang w:val="cs-CZ"/>
    </w:rPr>
  </w:style>
  <w:style w:type="character" w:styleId="CommentReference">
    <w:name w:val="annotation reference"/>
    <w:basedOn w:val="DefaultParagraphFont"/>
    <w:rsid w:val="00EB7D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7D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7DA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B7D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7DA5"/>
    <w:rPr>
      <w:b/>
      <w:bCs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EB7DA5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EB7DA5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EB7DA5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EB7DA5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EB7DA5"/>
    <w:pPr>
      <w:spacing w:before="120" w:after="120"/>
    </w:pPr>
    <w:rPr>
      <w:snapToGrid w:val="0"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2026-06-17T14:27:00Z</dcterms:created>
  <dcterms:modified xsi:type="dcterms:W3CDTF">2026-06-17T14:27:00Z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