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8B95F2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06CF6" w:rsidP="0010095E" w14:paraId="61907568" w14:textId="77777777">
            <w:pPr>
              <w:pStyle w:val="EPName"/>
            </w:pPr>
            <w:r w:rsidRPr="00506CF6">
              <w:t>Europa-Parlamentet</w:t>
            </w:r>
          </w:p>
          <w:p w:rsidR="00751A4A" w:rsidRPr="00506CF6" w:rsidP="005F1B17" w14:paraId="7DF4F48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6CF6">
              <w:t>2024</w:t>
            </w:r>
            <w:r w:rsidRPr="00506CF6" w:rsidR="00817416">
              <w:t>-202</w:t>
            </w:r>
            <w:r w:rsidRPr="00506CF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06CF6" w:rsidP="0010095E" w14:paraId="39554EB6" w14:textId="77777777">
            <w:pPr>
              <w:pStyle w:val="EPLogo"/>
            </w:pPr>
            <w:r w:rsidRPr="00506CF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06CF6" w:rsidP="004C5D52" w14:paraId="1A8530FE" w14:textId="77777777">
      <w:pPr>
        <w:pStyle w:val="LineTop"/>
      </w:pPr>
    </w:p>
    <w:p w:rsidR="00680577" w:rsidRPr="00506CF6" w:rsidP="00680577" w14:paraId="02B54C7B" w14:textId="77777777">
      <w:pPr>
        <w:pStyle w:val="EPBodyTA1"/>
      </w:pPr>
      <w:r w:rsidRPr="00506CF6">
        <w:t>VEDTAGNE TEKSTER</w:t>
      </w:r>
    </w:p>
    <w:p w:rsidR="00D058B8" w:rsidRPr="00506CF6" w:rsidP="00D058B8" w14:paraId="0043B3C0" w14:textId="77777777">
      <w:pPr>
        <w:pStyle w:val="LineBottom"/>
      </w:pPr>
    </w:p>
    <w:p w:rsidR="006349FF" w:rsidRPr="00506CF6" w:rsidP="006349FF" w14:paraId="40536E8C" w14:textId="33B34113">
      <w:pPr>
        <w:pStyle w:val="ATHeading1"/>
      </w:pPr>
      <w:bookmarkStart w:id="0" w:name="TANumber"/>
      <w:r w:rsidRPr="00506CF6">
        <w:t>P10_</w:t>
      </w:r>
      <w:r w:rsidRPr="00506CF6">
        <w:t>TA(</w:t>
      </w:r>
      <w:r w:rsidRPr="00506CF6">
        <w:t>2026)0</w:t>
      </w:r>
      <w:bookmarkEnd w:id="0"/>
      <w:r w:rsidR="004143AC">
        <w:t>211</w:t>
      </w:r>
    </w:p>
    <w:p w:rsidR="006349FF" w:rsidRPr="00506CF6" w:rsidP="000814DC" w14:paraId="5BC4B842" w14:textId="60E87A8A">
      <w:pPr>
        <w:pStyle w:val="ATHeading2"/>
      </w:pPr>
      <w:r w:rsidRPr="008A3A7F">
        <w:rPr>
          <w:bCs/>
        </w:rPr>
        <w:t>Punktafgiftsstrukturen og -satserne for forarbejdet tobak og tobaksrelaterede produkter</w:t>
      </w:r>
      <w:r>
        <w:rPr>
          <w:bCs/>
        </w:rPr>
        <w:t xml:space="preserve"> </w:t>
      </w:r>
      <w:r w:rsidRPr="008A3A7F">
        <w:rPr>
          <w:bCs/>
        </w:rPr>
        <w:t>(omarbejdning)</w:t>
      </w:r>
    </w:p>
    <w:p w:rsidR="006349FF" w:rsidRPr="00506CF6" w:rsidP="006349FF" w14:paraId="24DDAFE5" w14:textId="77777777">
      <w:pPr>
        <w:rPr>
          <w:i/>
          <w:vanish/>
        </w:rPr>
      </w:pPr>
      <w:r>
        <w:rPr>
          <w:i/>
        </w:rPr>
        <w:fldChar w:fldCharType="begin"/>
      </w:r>
      <w:r w:rsidRPr="00506CF6">
        <w:rPr>
          <w:i/>
        </w:rPr>
        <w:instrText xml:space="preserve"> TC"(</w:instrText>
      </w:r>
      <w:bookmarkStart w:id="1" w:name="DocNumber"/>
      <w:r w:rsidRPr="00506CF6">
        <w:rPr>
          <w:i/>
        </w:rPr>
        <w:instrText>A10-0161/2026</w:instrText>
      </w:r>
      <w:bookmarkEnd w:id="1"/>
      <w:r w:rsidRPr="00506CF6">
        <w:rPr>
          <w:i/>
        </w:rPr>
        <w:instrText xml:space="preserve"> - Ordfører: </w:instrText>
      </w:r>
      <w:r w:rsidRPr="00506CF6">
        <w:rPr>
          <w:i/>
        </w:rPr>
        <w:instrText>Tomáš</w:instrText>
      </w:r>
      <w:r w:rsidRPr="00506CF6">
        <w:rPr>
          <w:i/>
        </w:rPr>
        <w:instrText xml:space="preserve"> </w:instrText>
      </w:r>
      <w:r w:rsidRPr="00506CF6">
        <w:rPr>
          <w:i/>
        </w:rPr>
        <w:instrText>Kubín</w:instrText>
      </w:r>
      <w:r w:rsidRPr="00506CF6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6349FF" w:rsidRPr="00506CF6" w:rsidP="006349FF" w14:paraId="67B19797" w14:textId="77777777">
      <w:pPr>
        <w:rPr>
          <w:vanish/>
        </w:rPr>
      </w:pPr>
      <w:bookmarkStart w:id="2" w:name="Commission"/>
      <w:r w:rsidRPr="00506CF6">
        <w:rPr>
          <w:vanish/>
        </w:rPr>
        <w:t>Økonomi- og Valutaudvalget</w:t>
      </w:r>
      <w:bookmarkEnd w:id="2"/>
    </w:p>
    <w:p w:rsidR="006349FF" w:rsidRPr="00506CF6" w:rsidP="006349FF" w14:paraId="23116CED" w14:textId="77777777">
      <w:pPr>
        <w:rPr>
          <w:vanish/>
        </w:rPr>
      </w:pPr>
      <w:bookmarkStart w:id="3" w:name="PE"/>
      <w:r w:rsidRPr="00506CF6">
        <w:rPr>
          <w:vanish/>
        </w:rPr>
        <w:t>PE784.398</w:t>
      </w:r>
      <w:bookmarkEnd w:id="3"/>
    </w:p>
    <w:p w:rsidR="006349FF" w:rsidRPr="00506CF6" w:rsidP="006349FF" w14:paraId="6E8C773E" w14:textId="6C04DAC3">
      <w:pPr>
        <w:pStyle w:val="ATHeading3"/>
      </w:pPr>
      <w:bookmarkStart w:id="4" w:name="Sujet"/>
      <w:r w:rsidRPr="00506CF6">
        <w:t xml:space="preserve">Europa-Parlamentets lovgivningsmæssige beslutning af </w:t>
      </w:r>
      <w:r w:rsidR="000814DC">
        <w:t>17. juni</w:t>
      </w:r>
      <w:r w:rsidRPr="00506CF6">
        <w:t xml:space="preserve"> 2026 om forslag til Rådets direktiv om punktafgiftsstrukturen og -satserne for tobak og tobaksrelaterede produkter (omarbejdning)</w:t>
      </w:r>
      <w:bookmarkEnd w:id="4"/>
      <w:r w:rsidRPr="00506CF6">
        <w:t xml:space="preserve"> </w:t>
      </w:r>
      <w:bookmarkStart w:id="5" w:name="References"/>
      <w:r w:rsidRPr="00506CF6">
        <w:t>(</w:t>
      </w:r>
      <w:r w:rsidRPr="00506CF6">
        <w:t>COM(</w:t>
      </w:r>
      <w:r w:rsidRPr="00506CF6">
        <w:t>2025)0580 – C10-0207/2025 – 2025/0580(CNS))</w:t>
      </w:r>
      <w:bookmarkEnd w:id="5"/>
    </w:p>
    <w:p w:rsidR="009D0CB1" w:rsidRPr="00506CF6" w:rsidP="009D0CB1" w14:paraId="17545F5B" w14:textId="77777777">
      <w:pPr>
        <w:pStyle w:val="NormalBold"/>
      </w:pPr>
      <w:r w:rsidRPr="00506CF6">
        <w:t>(Særlig lovgivningsprocedure – høring – omarbejdning)</w:t>
      </w:r>
    </w:p>
    <w:p w:rsidR="009D0CB1" w:rsidRPr="00506CF6" w:rsidP="009D0CB1" w14:paraId="1ADAD8DD" w14:textId="77777777">
      <w:pPr>
        <w:pStyle w:val="EPComma"/>
      </w:pPr>
      <w:r w:rsidRPr="00506CF6">
        <w:rPr>
          <w:i/>
        </w:rPr>
        <w:t>Europa-Parlamentet</w:t>
      </w:r>
      <w:r w:rsidRPr="00506CF6">
        <w:t>,</w:t>
      </w:r>
    </w:p>
    <w:p w:rsidR="009D0CB1" w:rsidRPr="00506CF6" w:rsidP="009D0CB1" w14:paraId="58BE4F9B" w14:textId="77777777">
      <w:pPr>
        <w:pStyle w:val="NormalHanging12a"/>
      </w:pPr>
      <w:r w:rsidRPr="00506CF6">
        <w:t>–</w:t>
      </w:r>
      <w:r w:rsidRPr="00506CF6">
        <w:tab/>
        <w:t>der henviser til Kommissionens forslag til Rådet (</w:t>
      </w:r>
      <w:r w:rsidRPr="00506CF6">
        <w:t>COM(</w:t>
      </w:r>
      <w:r w:rsidRPr="00506CF6">
        <w:t>2025)0580),</w:t>
      </w:r>
    </w:p>
    <w:p w:rsidR="009D0CB1" w:rsidRPr="00506CF6" w:rsidP="009D0CB1" w14:paraId="1800C56D" w14:textId="77777777">
      <w:pPr>
        <w:pStyle w:val="NormalHanging12a"/>
      </w:pPr>
      <w:r w:rsidRPr="00506CF6">
        <w:t>–</w:t>
      </w:r>
      <w:r w:rsidRPr="00506CF6">
        <w:tab/>
        <w:t>der henviser til artikel 113 i traktaten om Den Europæiske Unions funktionsmåde, der danner grundlag for Rådets høring af Parlamentet (C10</w:t>
      </w:r>
      <w:r w:rsidRPr="00506CF6">
        <w:noBreakHyphen/>
        <w:t>0207/2025),</w:t>
      </w:r>
    </w:p>
    <w:p w:rsidR="009D0CB1" w:rsidRPr="00506CF6" w:rsidP="009D0CB1" w14:paraId="70A2B173" w14:textId="77777777">
      <w:pPr>
        <w:pStyle w:val="NormalHanging12a"/>
      </w:pPr>
      <w:r w:rsidRPr="00506CF6">
        <w:t>–</w:t>
      </w:r>
      <w:r w:rsidRPr="00506CF6">
        <w:tab/>
        <w:t>der henviser til den begrundede udtalelse, som inden for rammerne af protokol nr. 2 om anvendelse af nærhedsprincippet og proportionalitetsprincippet er blevet forelagt af det italienske deputeretkammer, om, at udkastet til lovgivningsmæssig retsakt ikke overholder nærhedsprincippet,</w:t>
      </w:r>
    </w:p>
    <w:p w:rsidR="009D0CB1" w:rsidRPr="00506CF6" w:rsidP="009D0CB1" w14:paraId="2C7E743A" w14:textId="77777777">
      <w:pPr>
        <w:pStyle w:val="NormalHanging12a"/>
      </w:pPr>
      <w:r w:rsidRPr="00506CF6">
        <w:t>–</w:t>
      </w:r>
      <w:r w:rsidRPr="00506CF6">
        <w:tab/>
        <w:t xml:space="preserve">der henviser til den </w:t>
      </w:r>
      <w:r w:rsidRPr="00506CF6">
        <w:t>interinstitutionelle</w:t>
      </w:r>
      <w:r w:rsidRPr="00506CF6">
        <w:t xml:space="preserve"> aftale af 28. november 2001 om en mere systematisk omarbejdning af retsakter</w:t>
      </w:r>
      <w:r>
        <w:rPr>
          <w:rStyle w:val="FootnoteReference"/>
        </w:rPr>
        <w:footnoteReference w:id="2"/>
      </w:r>
      <w:r w:rsidRPr="00506CF6">
        <w:t>,</w:t>
      </w:r>
    </w:p>
    <w:p w:rsidR="009D0CB1" w:rsidRPr="00506CF6" w:rsidP="009D0CB1" w14:paraId="0A3D9AD5" w14:textId="77777777">
      <w:pPr>
        <w:pStyle w:val="NormalHanging12a"/>
      </w:pPr>
      <w:r w:rsidRPr="00506CF6">
        <w:t>–</w:t>
      </w:r>
      <w:r w:rsidRPr="00506CF6">
        <w:tab/>
        <w:t>der henviser til skrivelse af 11. december 2025 fra Retsudvalget til Økonomi- og Valutaudvalget, jf. forretningsordenens artikel 113, stk. 3;</w:t>
      </w:r>
    </w:p>
    <w:p w:rsidR="009D0CB1" w:rsidRPr="00506CF6" w:rsidP="009D0CB1" w14:paraId="786994F9" w14:textId="77777777">
      <w:pPr>
        <w:pStyle w:val="NormalHanging12a"/>
      </w:pPr>
      <w:r w:rsidRPr="00506CF6">
        <w:t>–</w:t>
      </w:r>
      <w:r w:rsidRPr="00506CF6">
        <w:tab/>
        <w:t>der henviser til forretningsordenens artikel 113 og 84,</w:t>
      </w:r>
    </w:p>
    <w:p w:rsidR="009D0CB1" w:rsidRPr="00506CF6" w:rsidP="009D0CB1" w14:paraId="05850C1F" w14:textId="77777777">
      <w:pPr>
        <w:pStyle w:val="NormalHanging12a"/>
      </w:pPr>
      <w:r w:rsidRPr="00506CF6">
        <w:t>–</w:t>
      </w:r>
      <w:r w:rsidRPr="00506CF6">
        <w:tab/>
        <w:t>der henviser til betænkning fra Økonomi- og Valutaudvalget (A10-0161/2026),</w:t>
      </w:r>
    </w:p>
    <w:p w:rsidR="009D0CB1" w:rsidRPr="00506CF6" w:rsidP="009D0CB1" w14:paraId="075142E7" w14:textId="26FF1156">
      <w:pPr>
        <w:pStyle w:val="NormalHanging12a"/>
      </w:pPr>
      <w:r w:rsidRPr="00506CF6">
        <w:t>1.</w:t>
      </w:r>
      <w:r w:rsidRPr="00506CF6">
        <w:tab/>
      </w:r>
      <w:r w:rsidR="00F62CA2">
        <w:t xml:space="preserve">forkaster </w:t>
      </w:r>
      <w:r w:rsidRPr="00506CF6">
        <w:t>Kommissionens forslag;</w:t>
      </w:r>
    </w:p>
    <w:p w:rsidR="009D0CB1" w:rsidRPr="00506CF6" w:rsidP="009D0CB1" w14:paraId="53805DAD" w14:textId="2248C585">
      <w:pPr>
        <w:pStyle w:val="NormalHanging12a"/>
      </w:pPr>
      <w:r w:rsidRPr="00506CF6">
        <w:t>2.</w:t>
      </w:r>
      <w:r w:rsidRPr="00506CF6">
        <w:tab/>
        <w:t xml:space="preserve">opfordrer Kommissionen til at </w:t>
      </w:r>
      <w:r w:rsidR="00F62CA2">
        <w:t>tage sit forslag tilbage</w:t>
      </w:r>
      <w:r w:rsidRPr="00506CF6">
        <w:t>;</w:t>
      </w:r>
    </w:p>
    <w:p w:rsidR="00E365E1" w:rsidRPr="00506CF6" w:rsidP="005661B7" w14:paraId="00FD8F48" w14:textId="0F59ED5C">
      <w:pPr>
        <w:pStyle w:val="NormalHanging12a"/>
      </w:pPr>
      <w:r>
        <w:t>3</w:t>
      </w:r>
      <w:r w:rsidRPr="00506CF6" w:rsidR="009D0CB1">
        <w:t>.</w:t>
      </w:r>
      <w:r w:rsidRPr="00506CF6" w:rsidR="009D0CB1">
        <w:tab/>
        <w:t>pålægger sin formand at sende Parlamentets holdning til Rådet og Kommissionen samt til de nationale parlamenter.</w:t>
      </w:r>
    </w:p>
    <w:sectPr w:rsidSect="00506C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06CF6" w14:paraId="3DE7D17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06CF6" w14:paraId="2FFB4D2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06CF6" w14:paraId="51C12CE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349FF" w:rsidRPr="00506CF6" w14:paraId="61CFA4ED" w14:textId="77777777">
      <w:r w:rsidRPr="00506CF6">
        <w:separator/>
      </w:r>
    </w:p>
  </w:footnote>
  <w:footnote w:type="continuationSeparator" w:id="1">
    <w:p w:rsidR="006349FF" w:rsidRPr="00506CF6" w14:paraId="228BDDBC" w14:textId="77777777">
      <w:r w:rsidRPr="00506CF6">
        <w:continuationSeparator/>
      </w:r>
    </w:p>
  </w:footnote>
  <w:footnote w:id="2">
    <w:p w:rsidR="009D0CB1" w:rsidRPr="00506CF6" w:rsidP="00506CF6" w14:paraId="53793435" w14:textId="0B32E8D8">
      <w:pPr>
        <w:pStyle w:val="FootnoteText"/>
        <w:ind w:left="567" w:hanging="567"/>
        <w:rPr>
          <w:sz w:val="24"/>
          <w:lang w:val="da-DK"/>
        </w:rPr>
      </w:pPr>
      <w:r w:rsidRPr="00506CF6">
        <w:rPr>
          <w:rStyle w:val="FootnoteReference"/>
          <w:sz w:val="24"/>
          <w:lang w:val="da-DK"/>
        </w:rPr>
        <w:footnoteRef/>
      </w:r>
      <w:r w:rsidRPr="00506CF6" w:rsidR="00506CF6">
        <w:rPr>
          <w:sz w:val="24"/>
          <w:lang w:val="da-DK"/>
        </w:rPr>
        <w:t xml:space="preserve"> </w:t>
      </w:r>
      <w:r w:rsidRPr="00506CF6" w:rsidR="00506CF6">
        <w:rPr>
          <w:sz w:val="24"/>
          <w:lang w:val="da-DK"/>
        </w:rPr>
        <w:tab/>
      </w:r>
      <w:r w:rsidRPr="00506CF6">
        <w:rPr>
          <w:sz w:val="24"/>
          <w:lang w:val="da-DK"/>
        </w:rPr>
        <w:t>EFT C 77 af 28.3.2002,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06CF6" w14:paraId="6B06DF2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06CF6" w14:paraId="0C16231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06CF6" w14:paraId="06F5360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32490235">
    <w:abstractNumId w:val="9"/>
  </w:num>
  <w:num w:numId="2" w16cid:durableId="684752623">
    <w:abstractNumId w:val="9"/>
  </w:num>
  <w:num w:numId="3" w16cid:durableId="68500039">
    <w:abstractNumId w:val="7"/>
  </w:num>
  <w:num w:numId="4" w16cid:durableId="1605377360">
    <w:abstractNumId w:val="7"/>
  </w:num>
  <w:num w:numId="5" w16cid:durableId="1583223975">
    <w:abstractNumId w:val="6"/>
  </w:num>
  <w:num w:numId="6" w16cid:durableId="1905293794">
    <w:abstractNumId w:val="6"/>
  </w:num>
  <w:num w:numId="7" w16cid:durableId="947005628">
    <w:abstractNumId w:val="5"/>
  </w:num>
  <w:num w:numId="8" w16cid:durableId="1618367619">
    <w:abstractNumId w:val="5"/>
  </w:num>
  <w:num w:numId="9" w16cid:durableId="1042290636">
    <w:abstractNumId w:val="4"/>
  </w:num>
  <w:num w:numId="10" w16cid:durableId="1541436716">
    <w:abstractNumId w:val="4"/>
  </w:num>
  <w:num w:numId="11" w16cid:durableId="192546381">
    <w:abstractNumId w:val="8"/>
  </w:num>
  <w:num w:numId="12" w16cid:durableId="760569132">
    <w:abstractNumId w:val="8"/>
  </w:num>
  <w:num w:numId="13" w16cid:durableId="756679823">
    <w:abstractNumId w:val="3"/>
  </w:num>
  <w:num w:numId="14" w16cid:durableId="2016226554">
    <w:abstractNumId w:val="3"/>
  </w:num>
  <w:num w:numId="15" w16cid:durableId="342439682">
    <w:abstractNumId w:val="2"/>
  </w:num>
  <w:num w:numId="16" w16cid:durableId="2073501322">
    <w:abstractNumId w:val="2"/>
  </w:num>
  <w:num w:numId="17" w16cid:durableId="1536696517">
    <w:abstractNumId w:val="1"/>
  </w:num>
  <w:num w:numId="18" w16cid:durableId="1704359329">
    <w:abstractNumId w:val="1"/>
  </w:num>
  <w:num w:numId="19" w16cid:durableId="1366910782">
    <w:abstractNumId w:val="0"/>
  </w:num>
  <w:num w:numId="20" w16cid:durableId="1439640470">
    <w:abstractNumId w:val="0"/>
  </w:num>
  <w:num w:numId="21" w16cid:durableId="473446394">
    <w:abstractNumId w:val="9"/>
  </w:num>
  <w:num w:numId="22" w16cid:durableId="1041977264">
    <w:abstractNumId w:val="7"/>
  </w:num>
  <w:num w:numId="23" w16cid:durableId="462502824">
    <w:abstractNumId w:val="6"/>
  </w:num>
  <w:num w:numId="24" w16cid:durableId="158038678">
    <w:abstractNumId w:val="5"/>
  </w:num>
  <w:num w:numId="25" w16cid:durableId="115683722">
    <w:abstractNumId w:val="4"/>
  </w:num>
  <w:num w:numId="26" w16cid:durableId="88158889">
    <w:abstractNumId w:val="8"/>
  </w:num>
  <w:num w:numId="27" w16cid:durableId="1132400693">
    <w:abstractNumId w:val="3"/>
  </w:num>
  <w:num w:numId="28" w16cid:durableId="1235503653">
    <w:abstractNumId w:val="2"/>
  </w:num>
  <w:num w:numId="29" w16cid:durableId="1760787495">
    <w:abstractNumId w:val="1"/>
  </w:num>
  <w:num w:numId="30" w16cid:durableId="917444491">
    <w:abstractNumId w:val="0"/>
  </w:num>
  <w:num w:numId="31" w16cid:durableId="2092194436">
    <w:abstractNumId w:val="9"/>
  </w:num>
  <w:num w:numId="32" w16cid:durableId="1717848787">
    <w:abstractNumId w:val="7"/>
  </w:num>
  <w:num w:numId="33" w16cid:durableId="466436871">
    <w:abstractNumId w:val="6"/>
  </w:num>
  <w:num w:numId="34" w16cid:durableId="687148157">
    <w:abstractNumId w:val="5"/>
  </w:num>
  <w:num w:numId="35" w16cid:durableId="323240262">
    <w:abstractNumId w:val="4"/>
  </w:num>
  <w:num w:numId="36" w16cid:durableId="1351908143">
    <w:abstractNumId w:val="8"/>
  </w:num>
  <w:num w:numId="37" w16cid:durableId="1180192816">
    <w:abstractNumId w:val="3"/>
  </w:num>
  <w:num w:numId="38" w16cid:durableId="1883589794">
    <w:abstractNumId w:val="2"/>
  </w:num>
  <w:num w:numId="39" w16cid:durableId="1099524530">
    <w:abstractNumId w:val="1"/>
  </w:num>
  <w:num w:numId="40" w16cid:durableId="691145516">
    <w:abstractNumId w:val="0"/>
  </w:num>
  <w:num w:numId="41" w16cid:durableId="743064904">
    <w:abstractNumId w:val="10"/>
  </w:num>
  <w:num w:numId="42" w16cid:durableId="1341617165">
    <w:abstractNumId w:val="10"/>
  </w:num>
  <w:num w:numId="43" w16cid:durableId="1624924865">
    <w:abstractNumId w:val="10"/>
  </w:num>
  <w:num w:numId="44" w16cid:durableId="17159298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9FF"/>
    <w:rsid w:val="00002272"/>
    <w:rsid w:val="00022C8C"/>
    <w:rsid w:val="00064002"/>
    <w:rsid w:val="000677B9"/>
    <w:rsid w:val="00076176"/>
    <w:rsid w:val="000814DC"/>
    <w:rsid w:val="000831BA"/>
    <w:rsid w:val="000A42CC"/>
    <w:rsid w:val="000E7DD9"/>
    <w:rsid w:val="0010095E"/>
    <w:rsid w:val="00125B37"/>
    <w:rsid w:val="0014349F"/>
    <w:rsid w:val="00187494"/>
    <w:rsid w:val="001F32AE"/>
    <w:rsid w:val="001F52D7"/>
    <w:rsid w:val="00211DAE"/>
    <w:rsid w:val="00232AAB"/>
    <w:rsid w:val="00240FAE"/>
    <w:rsid w:val="002767FF"/>
    <w:rsid w:val="002B18FE"/>
    <w:rsid w:val="002B5493"/>
    <w:rsid w:val="002E1828"/>
    <w:rsid w:val="00343214"/>
    <w:rsid w:val="00361C00"/>
    <w:rsid w:val="00395FA1"/>
    <w:rsid w:val="003E15D4"/>
    <w:rsid w:val="00411CCE"/>
    <w:rsid w:val="004143AC"/>
    <w:rsid w:val="0041666E"/>
    <w:rsid w:val="00421060"/>
    <w:rsid w:val="00471C19"/>
    <w:rsid w:val="004867E3"/>
    <w:rsid w:val="00494A28"/>
    <w:rsid w:val="004A49F9"/>
    <w:rsid w:val="004C0004"/>
    <w:rsid w:val="004C5D52"/>
    <w:rsid w:val="0050519A"/>
    <w:rsid w:val="00506CF6"/>
    <w:rsid w:val="005072A1"/>
    <w:rsid w:val="00514517"/>
    <w:rsid w:val="00545827"/>
    <w:rsid w:val="00560270"/>
    <w:rsid w:val="005661B7"/>
    <w:rsid w:val="005C2568"/>
    <w:rsid w:val="005F1B17"/>
    <w:rsid w:val="006037C0"/>
    <w:rsid w:val="006349F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2FD8"/>
    <w:rsid w:val="007B5E04"/>
    <w:rsid w:val="007D1690"/>
    <w:rsid w:val="007E22AD"/>
    <w:rsid w:val="00817416"/>
    <w:rsid w:val="00834E7B"/>
    <w:rsid w:val="00842779"/>
    <w:rsid w:val="00865F67"/>
    <w:rsid w:val="00881A7B"/>
    <w:rsid w:val="008840E5"/>
    <w:rsid w:val="00887B3E"/>
    <w:rsid w:val="008A3A7F"/>
    <w:rsid w:val="008C2AC6"/>
    <w:rsid w:val="00930C23"/>
    <w:rsid w:val="0093193B"/>
    <w:rsid w:val="009509D8"/>
    <w:rsid w:val="00950B64"/>
    <w:rsid w:val="00981893"/>
    <w:rsid w:val="009D0CB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2500"/>
    <w:rsid w:val="00BD48FE"/>
    <w:rsid w:val="00BD7BD8"/>
    <w:rsid w:val="00BE6ADC"/>
    <w:rsid w:val="00C05BFE"/>
    <w:rsid w:val="00C061A0"/>
    <w:rsid w:val="00C23CD4"/>
    <w:rsid w:val="00C61C0C"/>
    <w:rsid w:val="00C941CB"/>
    <w:rsid w:val="00CC2357"/>
    <w:rsid w:val="00CC34D1"/>
    <w:rsid w:val="00CF071A"/>
    <w:rsid w:val="00D058B8"/>
    <w:rsid w:val="00D25092"/>
    <w:rsid w:val="00D35135"/>
    <w:rsid w:val="00D56C11"/>
    <w:rsid w:val="00D57833"/>
    <w:rsid w:val="00D834A0"/>
    <w:rsid w:val="00D872DF"/>
    <w:rsid w:val="00D879D6"/>
    <w:rsid w:val="00D91E21"/>
    <w:rsid w:val="00DA7FCD"/>
    <w:rsid w:val="00DC49FF"/>
    <w:rsid w:val="00DE417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61C"/>
    <w:rsid w:val="00F4137E"/>
    <w:rsid w:val="00F5134D"/>
    <w:rsid w:val="00F62CA2"/>
    <w:rsid w:val="00F74202"/>
    <w:rsid w:val="00F85D11"/>
    <w:rsid w:val="00F87713"/>
    <w:rsid w:val="00FB4360"/>
    <w:rsid w:val="00FD0C70"/>
  </w:rsids>
  <w:docVars>
    <w:docVar w:name="dvdocse" w:val="A10-0161/2026"/>
    <w:docVar w:name="dvlangue" w:val="DA"/>
    <w:docVar w:name="dvnumam" w:val="87"/>
    <w:docVar w:name="dvpe" w:val="784.398"/>
    <w:docVar w:name="dvrapporteur" w:val="Ordfører: "/>
    <w:docVar w:name="dvstar" w:val="*"/>
    <w:docVar w:name="dvtitre" w:val="Europa-Parlamentets lovgivningsmæssige beslutning af xx.xx 2026 om forslag til Rådets direktiv om punktafgiftsstrukturen og -satserne for forarbejdet tobak og tobaksrelaterede produkter (omarbejdning)(COM(2025)0580 – C10-0207/2025 – 2025/0580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EBFBC5B"/>
  <w15:chartTrackingRefBased/>
  <w15:docId w15:val="{50F46569-5F65-4BEE-ADA2-8203286C9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D0CB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D0CB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D0CB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D0CB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D0CB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D0CB1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semiHidden/>
    <w:rsid w:val="009D0CB1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9D0CB1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9D0CB1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nhideWhenUsed/>
    <w:qFormat/>
    <w:rsid w:val="009D0CB1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9D0CB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9D0CB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9D0CB1"/>
    <w:pPr>
      <w:spacing w:after="240"/>
    </w:pPr>
  </w:style>
  <w:style w:type="paragraph" w:customStyle="1" w:styleId="TOCPage">
    <w:name w:val="TOC Page"/>
    <w:basedOn w:val="Normal"/>
    <w:next w:val="TOC1"/>
    <w:rsid w:val="009D0CB1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9D0CB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D0CB1"/>
    <w:pPr>
      <w:spacing w:after="240"/>
      <w:ind w:left="567" w:hanging="567"/>
    </w:pPr>
  </w:style>
  <w:style w:type="paragraph" w:customStyle="1" w:styleId="Normal6a">
    <w:name w:val="Normal6a"/>
    <w:basedOn w:val="Normal"/>
    <w:rsid w:val="009D0CB1"/>
    <w:pPr>
      <w:spacing w:after="120"/>
    </w:pPr>
  </w:style>
  <w:style w:type="paragraph" w:customStyle="1" w:styleId="CoverNormal24a">
    <w:name w:val="CoverNormal24a"/>
    <w:basedOn w:val="Normal"/>
    <w:rsid w:val="009D0CB1"/>
    <w:pPr>
      <w:spacing w:after="480"/>
      <w:ind w:left="1417"/>
    </w:pPr>
  </w:style>
  <w:style w:type="paragraph" w:customStyle="1" w:styleId="CoverNormal">
    <w:name w:val="CoverNormal"/>
    <w:basedOn w:val="Normal"/>
    <w:rsid w:val="009D0CB1"/>
    <w:pPr>
      <w:ind w:left="1418"/>
    </w:pPr>
  </w:style>
  <w:style w:type="paragraph" w:customStyle="1" w:styleId="CoverReference">
    <w:name w:val="CoverReference"/>
    <w:basedOn w:val="Normal"/>
    <w:rsid w:val="009D0CB1"/>
    <w:pPr>
      <w:spacing w:before="1080"/>
      <w:jc w:val="right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D0CB1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9D0CB1"/>
    <w:rPr>
      <w:b/>
      <w:sz w:val="24"/>
      <w:lang w:val="da-DK"/>
    </w:rPr>
  </w:style>
  <w:style w:type="paragraph" w:customStyle="1" w:styleId="CoverDocType">
    <w:name w:val="CoverDocType"/>
    <w:basedOn w:val="Normal"/>
    <w:rsid w:val="009D0CB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D0CB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D0CB1"/>
    <w:pPr>
      <w:spacing w:before="240" w:after="1200"/>
    </w:pPr>
  </w:style>
  <w:style w:type="paragraph" w:styleId="Header">
    <w:name w:val="header"/>
    <w:basedOn w:val="Normal"/>
    <w:link w:val="HeaderChar"/>
    <w:rsid w:val="009D0C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D0CB1"/>
    <w:rPr>
      <w:sz w:val="24"/>
      <w:lang w:val="da-DK"/>
    </w:rPr>
  </w:style>
  <w:style w:type="paragraph" w:customStyle="1" w:styleId="AnnexWPLogo">
    <w:name w:val="AnnexWPLogo"/>
    <w:basedOn w:val="Normal"/>
    <w:rsid w:val="009D0CB1"/>
    <w:pPr>
      <w:spacing w:before="120" w:after="120"/>
    </w:pPr>
  </w:style>
  <w:style w:type="paragraph" w:customStyle="1" w:styleId="AnnexWPTabs">
    <w:name w:val="AnnexWPTabs"/>
    <w:basedOn w:val="Normal"/>
    <w:rsid w:val="009D0CB1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9D0CB1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9D0CB1"/>
    <w:rPr>
      <w:smallCaps/>
      <w:sz w:val="20"/>
    </w:rPr>
  </w:style>
  <w:style w:type="paragraph" w:customStyle="1" w:styleId="AnnexWPDocType">
    <w:name w:val="AnnexWPDocType"/>
    <w:basedOn w:val="Normal"/>
    <w:rsid w:val="009D0CB1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9D0CB1"/>
    <w:pPr>
      <w:spacing w:before="480"/>
    </w:pPr>
    <w:rPr>
      <w:b/>
    </w:rPr>
  </w:style>
  <w:style w:type="paragraph" w:customStyle="1" w:styleId="AmJustText">
    <w:name w:val="AmJustText"/>
    <w:basedOn w:val="Normal"/>
    <w:rsid w:val="009D0CB1"/>
    <w:pPr>
      <w:spacing w:after="240"/>
    </w:pPr>
    <w:rPr>
      <w:i/>
    </w:rPr>
  </w:style>
  <w:style w:type="paragraph" w:customStyle="1" w:styleId="AmCrossRef">
    <w:name w:val="AmCrossRef"/>
    <w:basedOn w:val="Normal"/>
    <w:rsid w:val="009D0CB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D0CB1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9D0CB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D0CB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D0CB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D0CB1"/>
    <w:pPr>
      <w:spacing w:before="240"/>
    </w:pPr>
    <w:rPr>
      <w:b/>
    </w:rPr>
  </w:style>
  <w:style w:type="paragraph" w:customStyle="1" w:styleId="EPBody">
    <w:name w:val="EPBody"/>
    <w:basedOn w:val="Normal"/>
    <w:rsid w:val="009D0CB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D0CB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D0CB1"/>
    <w:pPr>
      <w:spacing w:before="480" w:after="240"/>
    </w:pPr>
  </w:style>
  <w:style w:type="paragraph" w:customStyle="1" w:styleId="Lgendesigne">
    <w:name w:val="Légende signe"/>
    <w:basedOn w:val="Normal"/>
    <w:rsid w:val="009D0CB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D0CB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D0CB1"/>
    <w:rPr>
      <w:sz w:val="18"/>
    </w:rPr>
  </w:style>
  <w:style w:type="paragraph" w:customStyle="1" w:styleId="LetterDate">
    <w:name w:val="LetterDate"/>
    <w:basedOn w:val="Normal"/>
    <w:rsid w:val="009D0CB1"/>
    <w:pPr>
      <w:spacing w:before="720" w:after="240"/>
    </w:pPr>
  </w:style>
  <w:style w:type="paragraph" w:customStyle="1" w:styleId="LetterSalutation">
    <w:name w:val="LetterSalutation"/>
    <w:basedOn w:val="Normal"/>
    <w:rsid w:val="009D0CB1"/>
    <w:pPr>
      <w:spacing w:before="600" w:after="360"/>
    </w:pPr>
  </w:style>
  <w:style w:type="paragraph" w:customStyle="1" w:styleId="LetterSubject">
    <w:name w:val="LetterSubject"/>
    <w:basedOn w:val="Normal"/>
    <w:rsid w:val="009D0CB1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9D0CB1"/>
    <w:pPr>
      <w:spacing w:before="1320"/>
    </w:pPr>
  </w:style>
  <w:style w:type="paragraph" w:customStyle="1" w:styleId="msonormal">
    <w:name w:val="msonormal"/>
    <w:basedOn w:val="Normal"/>
    <w:rsid w:val="009D0CB1"/>
    <w:pPr>
      <w:widowControl/>
      <w:spacing w:before="100" w:beforeAutospacing="1" w:after="100" w:afterAutospacing="1"/>
    </w:pPr>
    <w:rPr>
      <w:szCs w:val="24"/>
    </w:rPr>
  </w:style>
  <w:style w:type="character" w:customStyle="1" w:styleId="FooterChar">
    <w:name w:val="Footer Char"/>
    <w:basedOn w:val="DefaultParagraphFont"/>
    <w:link w:val="Footer"/>
    <w:rsid w:val="009D0CB1"/>
    <w:rPr>
      <w:sz w:val="22"/>
    </w:rPr>
  </w:style>
  <w:style w:type="paragraph" w:styleId="Footer">
    <w:name w:val="footer"/>
    <w:link w:val="FooterChar"/>
    <w:unhideWhenUsed/>
    <w:rsid w:val="009D0CB1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9D0CB1"/>
    <w:rPr>
      <w:sz w:val="24"/>
      <w:lang w:val="da-DK"/>
    </w:rPr>
  </w:style>
  <w:style w:type="paragraph" w:styleId="BalloonText">
    <w:name w:val="Balloon Text"/>
    <w:basedOn w:val="Normal"/>
    <w:link w:val="BalloonTextChar"/>
    <w:unhideWhenUsed/>
    <w:rsid w:val="009D0C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0CB1"/>
    <w:rPr>
      <w:rFonts w:ascii="Segoe UI" w:hAnsi="Segoe UI" w:cs="Segoe UI"/>
      <w:sz w:val="18"/>
      <w:szCs w:val="18"/>
      <w:lang w:val="da-DK"/>
    </w:rPr>
  </w:style>
  <w:style w:type="paragraph" w:customStyle="1" w:styleId="AMNumberTabs0">
    <w:name w:val="AMNumberTabs"/>
    <w:basedOn w:val="Normal"/>
    <w:rsid w:val="009D0CB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Left">
    <w:name w:val="Normal Left"/>
    <w:basedOn w:val="Normal"/>
    <w:rsid w:val="009D0CB1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9D0CB1"/>
    <w:rPr>
      <w:noProof/>
      <w:sz w:val="24"/>
    </w:rPr>
  </w:style>
  <w:style w:type="paragraph" w:customStyle="1" w:styleId="Normal12">
    <w:name w:val="Normal12"/>
    <w:basedOn w:val="Normal"/>
    <w:link w:val="Normal12Char"/>
    <w:rsid w:val="009D0CB1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D0CB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D0CB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D0CB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D0CB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D0CB1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9D0CB1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9D0CB1"/>
    <w:pPr>
      <w:spacing w:after="120"/>
    </w:pPr>
  </w:style>
  <w:style w:type="paragraph" w:customStyle="1" w:styleId="Normal12Italic">
    <w:name w:val="Normal12Italic"/>
    <w:basedOn w:val="Normal12"/>
    <w:rsid w:val="009D0CB1"/>
    <w:rPr>
      <w:i/>
    </w:rPr>
  </w:style>
  <w:style w:type="paragraph" w:customStyle="1" w:styleId="JustificationTitle">
    <w:name w:val="JustificationTitle"/>
    <w:basedOn w:val="Normal"/>
    <w:next w:val="Normal12"/>
    <w:rsid w:val="009D0CB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D0CB1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D0CB1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9D0CB1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9D0CB1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Normal24a">
    <w:name w:val="Normal24a"/>
    <w:basedOn w:val="Normal"/>
    <w:rsid w:val="009D0CB1"/>
    <w:pPr>
      <w:spacing w:after="480"/>
    </w:pPr>
  </w:style>
  <w:style w:type="paragraph" w:customStyle="1" w:styleId="NormalBoldCenter">
    <w:name w:val="NormalBoldCenter"/>
    <w:basedOn w:val="Normal"/>
    <w:rsid w:val="009D0CB1"/>
    <w:pPr>
      <w:jc w:val="center"/>
    </w:pPr>
    <w:rPr>
      <w:b/>
    </w:rPr>
  </w:style>
  <w:style w:type="paragraph" w:customStyle="1" w:styleId="Footprint12b">
    <w:name w:val="Footprint12b"/>
    <w:basedOn w:val="Normal"/>
    <w:rsid w:val="009D0CB1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9D0CB1"/>
    <w:rPr>
      <w:szCs w:val="24"/>
    </w:rPr>
  </w:style>
  <w:style w:type="paragraph" w:customStyle="1" w:styleId="EntPE">
    <w:name w:val="EntPE"/>
    <w:basedOn w:val="Normal12"/>
    <w:rsid w:val="009D0CB1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9D0CB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D0CB1"/>
    <w:rPr>
      <w:sz w:val="24"/>
      <w:lang w:val="da-DK"/>
    </w:rPr>
  </w:style>
  <w:style w:type="character" w:styleId="CommentReference">
    <w:name w:val="annotation reference"/>
    <w:basedOn w:val="DefaultParagraphFont"/>
    <w:rsid w:val="009D0C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0CB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D0CB1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D0C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D0CB1"/>
    <w:rPr>
      <w:b/>
      <w:bCs/>
      <w:lang w:val="da-DK"/>
    </w:rPr>
  </w:style>
  <w:style w:type="character" w:styleId="UnresolvedMention">
    <w:name w:val="Unresolved Mention"/>
    <w:basedOn w:val="DefaultParagraphFont"/>
    <w:uiPriority w:val="99"/>
    <w:semiHidden/>
    <w:unhideWhenUsed/>
    <w:rsid w:val="009D0CB1"/>
    <w:rPr>
      <w:color w:val="605E5C"/>
      <w:shd w:val="clear" w:color="auto" w:fill="E1DFDD"/>
    </w:rPr>
  </w:style>
  <w:style w:type="paragraph" w:customStyle="1" w:styleId="RollCallVotes">
    <w:name w:val="RollCallVotes"/>
    <w:basedOn w:val="Normal"/>
    <w:rsid w:val="009D0CB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D0CB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D0CB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D0CB1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2026-06-17T14:07:00Z</dcterms:created>
  <dcterms:modified xsi:type="dcterms:W3CDTF">2026-06-17T14:07:00Z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A10-0161/2026</vt:lpwstr>
  </property>
  <property fmtid="{D5CDD505-2E9C-101B-9397-08002B2CF9AE}" pid="4" name="&lt;Type&gt;">
    <vt:lpwstr>RR</vt:lpwstr>
  </property>
</Properties>
</file>