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CB9941" w14:textId="77777777" w:rsidTr="0010095E">
        <w:tblPrEx>
          <w:tblW w:w="9072" w:type="dxa"/>
          <w:tblLook w:val="01E0"/>
        </w:tblPrEx>
        <w:trPr>
          <w:trHeight w:hRule="exact" w:val="1418"/>
        </w:trPr>
        <w:tc>
          <w:tcPr>
            <w:tcW w:w="6804" w:type="dxa"/>
            <w:shd w:val="clear" w:color="auto" w:fill="auto"/>
            <w:vAlign w:val="center"/>
          </w:tcPr>
          <w:p w:rsidR="00751A4A" w:rsidRPr="00126759" w:rsidP="0010095E" w14:paraId="77CFDD61" w14:textId="77777777">
            <w:pPr>
              <w:pStyle w:val="EPName"/>
            </w:pPr>
            <w:r w:rsidRPr="00126759">
              <w:t>Ευρωπαϊκό Κοινοβούλιο</w:t>
            </w:r>
          </w:p>
          <w:p w:rsidR="00751A4A" w:rsidRPr="00126759" w:rsidP="005F1B17" w14:paraId="7C6CC181" w14:textId="77777777">
            <w:pPr>
              <w:pStyle w:val="EPTerm"/>
              <w:rPr>
                <w:rStyle w:val="HideTWBExt"/>
                <w:noProof w:val="0"/>
                <w:vanish w:val="0"/>
                <w:color w:val="auto"/>
              </w:rPr>
            </w:pPr>
            <w:r w:rsidRPr="00126759">
              <w:t>2024</w:t>
            </w:r>
            <w:r w:rsidRPr="00126759" w:rsidR="00817416">
              <w:t>-202</w:t>
            </w:r>
            <w:r w:rsidRPr="00126759">
              <w:t>9</w:t>
            </w:r>
          </w:p>
        </w:tc>
        <w:tc>
          <w:tcPr>
            <w:tcW w:w="2268" w:type="dxa"/>
            <w:shd w:val="clear" w:color="auto" w:fill="auto"/>
          </w:tcPr>
          <w:p w:rsidR="00751A4A" w:rsidRPr="00126759" w:rsidP="0010095E" w14:paraId="73486806" w14:textId="77777777">
            <w:pPr>
              <w:pStyle w:val="EPLogo"/>
            </w:pPr>
            <w:r w:rsidRPr="0012675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26759" w:rsidP="004C5D52" w14:paraId="0CC31BD2" w14:textId="77777777">
      <w:pPr>
        <w:pStyle w:val="LineTop"/>
      </w:pPr>
    </w:p>
    <w:p w:rsidR="00680577" w:rsidRPr="00126759" w:rsidP="00680577" w14:paraId="340F0C86" w14:textId="77777777">
      <w:pPr>
        <w:pStyle w:val="EPBodyTA1"/>
      </w:pPr>
      <w:r w:rsidRPr="00126759">
        <w:t>ΚΕΙΜΕΝΑ ΠΟΥ ΕΓΚΡΙΘΗΚΑΝ</w:t>
      </w:r>
    </w:p>
    <w:p w:rsidR="00D058B8" w:rsidRPr="00126759" w:rsidP="00D058B8" w14:paraId="4060443A" w14:textId="77777777">
      <w:pPr>
        <w:pStyle w:val="LineBottom"/>
      </w:pPr>
    </w:p>
    <w:p w:rsidR="00A15C5D" w:rsidRPr="00126759" w:rsidP="00A15C5D" w14:paraId="48262CDA" w14:textId="63C51CEF">
      <w:pPr>
        <w:pStyle w:val="ATHeading1"/>
      </w:pPr>
      <w:bookmarkStart w:id="0" w:name="TANumber"/>
      <w:r w:rsidRPr="00126759">
        <w:t>P10_TA(2026)0</w:t>
      </w:r>
      <w:r w:rsidRPr="00126759" w:rsidR="007B1818">
        <w:t>211</w:t>
      </w:r>
      <w:bookmarkEnd w:id="0"/>
    </w:p>
    <w:p w:rsidR="00A15C5D" w:rsidRPr="00126759" w:rsidP="008D1E0E" w14:paraId="7B93817B" w14:textId="61B3DE45">
      <w:pPr>
        <w:pStyle w:val="ATHeading2"/>
      </w:pPr>
      <w:bookmarkStart w:id="1" w:name="title"/>
      <w:r w:rsidRPr="00126759">
        <w:rPr>
          <w:rFonts w:hint="eastAsia"/>
          <w:bCs/>
        </w:rPr>
        <w:t>Διάρθρωση</w:t>
      </w:r>
      <w:r w:rsidRPr="00126759">
        <w:rPr>
          <w:bCs/>
        </w:rPr>
        <w:t xml:space="preserve"> </w:t>
      </w:r>
      <w:r w:rsidRPr="00126759">
        <w:rPr>
          <w:rFonts w:hint="eastAsia"/>
          <w:bCs/>
        </w:rPr>
        <w:t>και</w:t>
      </w:r>
      <w:r w:rsidRPr="00126759">
        <w:rPr>
          <w:bCs/>
        </w:rPr>
        <w:t xml:space="preserve"> </w:t>
      </w:r>
      <w:r w:rsidRPr="00126759">
        <w:rPr>
          <w:rFonts w:hint="eastAsia"/>
          <w:bCs/>
        </w:rPr>
        <w:t>συντελεστές</w:t>
      </w:r>
      <w:r w:rsidRPr="00126759">
        <w:rPr>
          <w:bCs/>
        </w:rPr>
        <w:t xml:space="preserve"> </w:t>
      </w:r>
      <w:r w:rsidRPr="00126759">
        <w:rPr>
          <w:rFonts w:hint="eastAsia"/>
          <w:bCs/>
        </w:rPr>
        <w:t>του</w:t>
      </w:r>
      <w:r w:rsidRPr="00126759">
        <w:rPr>
          <w:bCs/>
        </w:rPr>
        <w:t xml:space="preserve"> </w:t>
      </w:r>
      <w:r w:rsidRPr="00126759">
        <w:rPr>
          <w:rFonts w:hint="eastAsia"/>
          <w:bCs/>
        </w:rPr>
        <w:t>ειδικού</w:t>
      </w:r>
      <w:r w:rsidRPr="00126759">
        <w:rPr>
          <w:bCs/>
        </w:rPr>
        <w:t xml:space="preserve"> </w:t>
      </w:r>
      <w:r w:rsidRPr="00126759">
        <w:rPr>
          <w:rFonts w:hint="eastAsia"/>
          <w:bCs/>
        </w:rPr>
        <w:t>φόρου</w:t>
      </w:r>
      <w:r w:rsidRPr="00126759">
        <w:rPr>
          <w:bCs/>
        </w:rPr>
        <w:t xml:space="preserve"> </w:t>
      </w:r>
      <w:r w:rsidRPr="00126759">
        <w:rPr>
          <w:rFonts w:hint="eastAsia"/>
          <w:bCs/>
        </w:rPr>
        <w:t>κατανάλωσης</w:t>
      </w:r>
      <w:r w:rsidRPr="00126759">
        <w:rPr>
          <w:bCs/>
        </w:rPr>
        <w:t xml:space="preserve"> </w:t>
      </w:r>
      <w:r w:rsidRPr="00126759">
        <w:rPr>
          <w:rFonts w:hint="eastAsia"/>
          <w:bCs/>
        </w:rPr>
        <w:t>που</w:t>
      </w:r>
      <w:r w:rsidRPr="00126759">
        <w:rPr>
          <w:bCs/>
        </w:rPr>
        <w:t xml:space="preserve"> </w:t>
      </w:r>
      <w:r w:rsidRPr="00126759">
        <w:rPr>
          <w:rFonts w:hint="eastAsia"/>
          <w:bCs/>
        </w:rPr>
        <w:t>εφαρμόζονται</w:t>
      </w:r>
      <w:r w:rsidRPr="00126759">
        <w:rPr>
          <w:bCs/>
        </w:rPr>
        <w:t xml:space="preserve"> </w:t>
      </w:r>
      <w:r w:rsidRPr="00126759">
        <w:rPr>
          <w:rFonts w:hint="eastAsia"/>
          <w:bCs/>
        </w:rPr>
        <w:t>στον</w:t>
      </w:r>
      <w:r w:rsidRPr="00126759">
        <w:rPr>
          <w:bCs/>
        </w:rPr>
        <w:t xml:space="preserve"> </w:t>
      </w:r>
      <w:r w:rsidRPr="00126759">
        <w:rPr>
          <w:rFonts w:hint="eastAsia"/>
          <w:bCs/>
        </w:rPr>
        <w:t>καπνό</w:t>
      </w:r>
      <w:r w:rsidRPr="00126759">
        <w:rPr>
          <w:bCs/>
        </w:rPr>
        <w:t xml:space="preserve"> </w:t>
      </w:r>
      <w:r w:rsidRPr="00126759">
        <w:rPr>
          <w:rFonts w:hint="eastAsia"/>
          <w:bCs/>
        </w:rPr>
        <w:t>και</w:t>
      </w:r>
      <w:r w:rsidRPr="00126759">
        <w:rPr>
          <w:bCs/>
        </w:rPr>
        <w:t xml:space="preserve"> </w:t>
      </w:r>
      <w:r w:rsidRPr="00126759">
        <w:rPr>
          <w:rFonts w:hint="eastAsia"/>
          <w:bCs/>
        </w:rPr>
        <w:t>στα</w:t>
      </w:r>
      <w:r w:rsidRPr="00126759">
        <w:rPr>
          <w:bCs/>
        </w:rPr>
        <w:t xml:space="preserve"> </w:t>
      </w:r>
      <w:r w:rsidRPr="00126759">
        <w:rPr>
          <w:rFonts w:hint="eastAsia"/>
          <w:bCs/>
        </w:rPr>
        <w:t>συναφή</w:t>
      </w:r>
      <w:r w:rsidRPr="00126759">
        <w:rPr>
          <w:bCs/>
        </w:rPr>
        <w:t xml:space="preserve"> </w:t>
      </w:r>
      <w:r w:rsidRPr="00126759">
        <w:rPr>
          <w:rFonts w:hint="eastAsia"/>
          <w:bCs/>
        </w:rPr>
        <w:t>με</w:t>
      </w:r>
      <w:r w:rsidRPr="00126759">
        <w:rPr>
          <w:bCs/>
        </w:rPr>
        <w:t xml:space="preserve"> </w:t>
      </w:r>
      <w:r w:rsidRPr="00126759">
        <w:rPr>
          <w:rFonts w:hint="eastAsia"/>
          <w:bCs/>
        </w:rPr>
        <w:t>τον</w:t>
      </w:r>
      <w:r w:rsidRPr="00126759">
        <w:rPr>
          <w:bCs/>
        </w:rPr>
        <w:t xml:space="preserve"> </w:t>
      </w:r>
      <w:r w:rsidRPr="00126759">
        <w:rPr>
          <w:rFonts w:hint="eastAsia"/>
          <w:bCs/>
        </w:rPr>
        <w:t>καπνό</w:t>
      </w:r>
      <w:r w:rsidRPr="00126759">
        <w:rPr>
          <w:bCs/>
        </w:rPr>
        <w:t xml:space="preserve"> </w:t>
      </w:r>
      <w:r w:rsidRPr="00126759">
        <w:rPr>
          <w:rFonts w:hint="eastAsia"/>
          <w:bCs/>
        </w:rPr>
        <w:t>προϊόντα</w:t>
      </w:r>
      <w:r w:rsidRPr="00126759">
        <w:rPr>
          <w:bCs/>
        </w:rPr>
        <w:t xml:space="preserve"> (</w:t>
      </w:r>
      <w:r w:rsidRPr="00126759">
        <w:rPr>
          <w:rFonts w:hint="eastAsia"/>
          <w:bCs/>
        </w:rPr>
        <w:t>αναδιατύπωση</w:t>
      </w:r>
      <w:r w:rsidRPr="00126759">
        <w:rPr>
          <w:bCs/>
        </w:rPr>
        <w:t>)</w:t>
      </w:r>
      <w:bookmarkEnd w:id="1"/>
    </w:p>
    <w:p w:rsidR="00A15C5D" w:rsidRPr="00126759" w:rsidP="00A15C5D" w14:paraId="64DB472A" w14:textId="77777777">
      <w:pPr>
        <w:rPr>
          <w:i/>
          <w:vanish/>
        </w:rPr>
      </w:pPr>
      <w:r>
        <w:rPr>
          <w:i/>
        </w:rPr>
        <w:fldChar w:fldCharType="begin"/>
      </w:r>
      <w:r w:rsidRPr="00126759">
        <w:rPr>
          <w:i/>
        </w:rPr>
        <w:instrText xml:space="preserve"> TC"(</w:instrText>
      </w:r>
      <w:bookmarkStart w:id="2" w:name="DocNumber"/>
      <w:r w:rsidRPr="00126759">
        <w:rPr>
          <w:i/>
        </w:rPr>
        <w:instrText>A10-0161/2026</w:instrText>
      </w:r>
      <w:bookmarkEnd w:id="2"/>
      <w:r w:rsidRPr="00126759">
        <w:rPr>
          <w:i/>
        </w:rPr>
        <w:instrText xml:space="preserve"> - Εισηγητής: Tomáš Kubín)"\l3 \n&gt; \* MERGEFORMAT </w:instrText>
      </w:r>
      <w:r>
        <w:rPr>
          <w:i/>
        </w:rPr>
        <w:fldChar w:fldCharType="end"/>
      </w:r>
    </w:p>
    <w:p w:rsidR="00A15C5D" w:rsidRPr="00126759" w:rsidP="00A15C5D" w14:paraId="4B45FD49" w14:textId="77777777">
      <w:pPr>
        <w:rPr>
          <w:vanish/>
        </w:rPr>
      </w:pPr>
      <w:bookmarkStart w:id="3" w:name="Commission"/>
      <w:r w:rsidRPr="00126759">
        <w:rPr>
          <w:vanish/>
        </w:rPr>
        <w:t>Επιτροπή Οικονομικής και Νομισματικής Πολιτικής</w:t>
      </w:r>
      <w:bookmarkEnd w:id="3"/>
    </w:p>
    <w:p w:rsidR="00A15C5D" w:rsidRPr="00126759" w:rsidP="00A15C5D" w14:paraId="5712A9FE" w14:textId="77777777">
      <w:pPr>
        <w:rPr>
          <w:vanish/>
        </w:rPr>
      </w:pPr>
      <w:bookmarkStart w:id="4" w:name="PE"/>
      <w:r w:rsidRPr="00126759">
        <w:rPr>
          <w:vanish/>
        </w:rPr>
        <w:t>PE784.398</w:t>
      </w:r>
      <w:bookmarkEnd w:id="4"/>
    </w:p>
    <w:p w:rsidR="00A15C5D" w:rsidRPr="00126759" w:rsidP="00A15C5D" w14:paraId="02105243" w14:textId="3FB64E4B">
      <w:pPr>
        <w:pStyle w:val="ATHeading3"/>
      </w:pPr>
      <w:bookmarkStart w:id="5" w:name="Sujet"/>
      <w:r w:rsidRPr="00126759">
        <w:t xml:space="preserve">Νομοθετικό ψήφισμα του Ευρωπαϊκού Κοινοβουλίου της </w:t>
      </w:r>
      <w:r w:rsidRPr="00126759" w:rsidR="008D1E0E">
        <w:t xml:space="preserve">17ης Ιουνίου </w:t>
      </w:r>
      <w:r w:rsidRPr="00126759">
        <w:t>2026 σχετικά με την πρόταση οδηγίας του Συμβουλίου για τη διάρθρωση και τους συντελεστές του ειδικού φόρου κατανάλωσης που εφαρμόζονται στον καπνό και στα συναφή με τον καπνό προϊόντα (αναδιατύπωση)</w:t>
      </w:r>
      <w:bookmarkEnd w:id="5"/>
      <w:r w:rsidRPr="00126759">
        <w:t xml:space="preserve"> </w:t>
      </w:r>
      <w:bookmarkStart w:id="6" w:name="References"/>
      <w:r w:rsidRPr="00126759">
        <w:t>(COM(2025)0580 – C10-0207/2025 – 2025/0580(CNS))</w:t>
      </w:r>
      <w:bookmarkEnd w:id="6"/>
    </w:p>
    <w:p w:rsidR="008D1E0E" w:rsidRPr="00126759" w:rsidP="001E4331" w14:paraId="19EAA161" w14:textId="77777777">
      <w:pPr>
        <w:pStyle w:val="NormalBold"/>
      </w:pPr>
    </w:p>
    <w:p w:rsidR="001E4331" w:rsidRPr="00126759" w:rsidP="001E4331" w14:paraId="29301B38" w14:textId="53C3CF0A">
      <w:pPr>
        <w:pStyle w:val="NormalBold"/>
      </w:pPr>
      <w:r w:rsidRPr="00126759">
        <w:t>(Ειδική νομοθετική διαδικασία – διαβούλευση – αναδιατύπωση)</w:t>
      </w:r>
    </w:p>
    <w:p w:rsidR="001E4331" w:rsidRPr="00126759" w:rsidP="001E4331" w14:paraId="3591040B" w14:textId="77777777">
      <w:pPr>
        <w:pStyle w:val="EPComma"/>
      </w:pPr>
      <w:r w:rsidRPr="00126759">
        <w:rPr>
          <w:i/>
        </w:rPr>
        <w:t>Το Ευρωπαϊκό Κοινοβούλιο,</w:t>
      </w:r>
    </w:p>
    <w:p w:rsidR="001E4331" w:rsidRPr="00126759" w:rsidP="008D1E0E" w14:paraId="1754E587" w14:textId="77777777">
      <w:pPr>
        <w:pStyle w:val="NormalHanging12a"/>
        <w:widowControl/>
      </w:pPr>
      <w:r w:rsidRPr="00126759">
        <w:t>–</w:t>
      </w:r>
      <w:r w:rsidRPr="00126759">
        <w:tab/>
        <w:t>έχοντας υπόψη την πρόταση της Επιτροπής προς το Συμβούλιο (COM(2025)0580),</w:t>
      </w:r>
    </w:p>
    <w:p w:rsidR="001E4331" w:rsidRPr="00126759" w:rsidP="008D1E0E" w14:paraId="2EF6231E" w14:textId="77777777">
      <w:pPr>
        <w:pStyle w:val="NormalHanging12a"/>
        <w:widowControl/>
      </w:pPr>
      <w:r w:rsidRPr="00126759">
        <w:t>–</w:t>
      </w:r>
      <w:r w:rsidRPr="00126759">
        <w:tab/>
        <w:t>έχοντας υπόψη το άρθρο 113 της Συνθήκης για τη λειτουργία της Ευρωπαϊκής Ένωσης, σύμφωνα με το οποίο κλήθηκε από το Συμβούλιο να γνωμοδοτήσει (C10</w:t>
      </w:r>
      <w:r w:rsidRPr="00126759">
        <w:noBreakHyphen/>
        <w:t>0207/2025),</w:t>
      </w:r>
    </w:p>
    <w:p w:rsidR="001E4331" w:rsidRPr="00126759" w:rsidP="008D1E0E" w14:paraId="33ADFCC8" w14:textId="77777777">
      <w:pPr>
        <w:pStyle w:val="NormalHanging12a"/>
        <w:widowControl/>
      </w:pPr>
      <w:r w:rsidRPr="00126759">
        <w:t>–</w:t>
      </w:r>
      <w:r w:rsidRPr="00126759">
        <w:tab/>
        <w:t>έχοντας υπόψη την αιτιολογημένη γνώμη που υποβλήθηκε από τη Βουλή της Ιταλικής Δημοκρατίας στο πλαίσιο του πρωτοκόλλου αριθ. 2 σχετικά με την εφαρμογή των αρχών της επικουρικότητας και της αναλογικότητας, με οποία υποστηρίζεται ότι το σχέδιο νομοθετικής πράξης δεν συνάδει προς την αρχή της επικουρικότητας,</w:t>
      </w:r>
    </w:p>
    <w:p w:rsidR="001E4331" w:rsidRPr="00126759" w:rsidP="008D1E0E" w14:paraId="34C7580D" w14:textId="2EAA85FC">
      <w:pPr>
        <w:pStyle w:val="NormalHanging12a"/>
        <w:widowControl/>
      </w:pPr>
      <w:r w:rsidRPr="00126759">
        <w:t>–</w:t>
      </w:r>
      <w:r w:rsidRPr="00126759">
        <w:tab/>
        <w:t>έχοντας υπόψη τη διοργανική συμφωνία της 28ης Νοεμβρίου 2001 για μια πλέον συστηματοποιημένη χρήση της τεχνικής της αναδιατύπωσης των νομικών πράξεων</w:t>
      </w:r>
      <w:r>
        <w:rPr>
          <w:rStyle w:val="FootnoteReference"/>
        </w:rPr>
        <w:footnoteReference w:id="2"/>
      </w:r>
      <w:r w:rsidRPr="00126759">
        <w:t>,</w:t>
      </w:r>
    </w:p>
    <w:p w:rsidR="001E4331" w:rsidRPr="00126759" w:rsidP="008D1E0E" w14:paraId="5E89CAEE" w14:textId="77777777">
      <w:pPr>
        <w:pStyle w:val="NormalHanging12a"/>
        <w:widowControl/>
      </w:pPr>
      <w:r w:rsidRPr="00126759">
        <w:t>–</w:t>
      </w:r>
      <w:r w:rsidRPr="00126759">
        <w:tab/>
        <w:t>έχοντας υπόψη την επιστολή της 11ης Δεκεμβρίου 2025 της Επιτροπής Νομικών Θεμάτων προς την Επιτροπή Οικονομικής και Νομισματικής Πολιτικής, σύμφωνα με το άρθρο 113 παράγραφος 3 του Κανονισμού του,</w:t>
      </w:r>
    </w:p>
    <w:p w:rsidR="001E4331" w:rsidRPr="00126759" w:rsidP="008D1E0E" w14:paraId="673AEEFD" w14:textId="77777777">
      <w:pPr>
        <w:pStyle w:val="NormalHanging12a"/>
        <w:widowControl/>
      </w:pPr>
      <w:r w:rsidRPr="00126759">
        <w:t>–</w:t>
      </w:r>
      <w:r w:rsidRPr="00126759">
        <w:tab/>
        <w:t>έχοντας υπόψη τα άρθρα 113 και 84 του Κανονισμού του,</w:t>
      </w:r>
    </w:p>
    <w:p w:rsidR="001E4331" w:rsidRPr="00126759" w:rsidP="008D1E0E" w14:paraId="5AEF5AA4" w14:textId="77777777">
      <w:pPr>
        <w:pStyle w:val="NormalHanging12a"/>
        <w:widowControl/>
      </w:pPr>
      <w:r w:rsidRPr="00126759">
        <w:t>–</w:t>
      </w:r>
      <w:r w:rsidRPr="00126759">
        <w:tab/>
        <w:t>έχοντας υπόψη την έκθεση της Επιτροπής Οικονομικής και Νομισματικής Πολιτικής (A10-0161/2026),</w:t>
      </w:r>
    </w:p>
    <w:p w:rsidR="001E4331" w:rsidRPr="00126759" w:rsidP="008D1E0E" w14:paraId="4A4B3AA0" w14:textId="793BEFB4">
      <w:pPr>
        <w:pStyle w:val="NormalHanging12a"/>
        <w:widowControl/>
      </w:pPr>
      <w:r w:rsidRPr="00126759">
        <w:t>1.</w:t>
      </w:r>
      <w:r w:rsidRPr="00126759">
        <w:tab/>
      </w:r>
      <w:r w:rsidRPr="00126759" w:rsidR="00126759">
        <w:t xml:space="preserve">απορρίπτει </w:t>
      </w:r>
      <w:r w:rsidRPr="00126759">
        <w:t>την πρόταση της Επιτροπής·</w:t>
      </w:r>
    </w:p>
    <w:p w:rsidR="001E4331" w:rsidRPr="00126759" w:rsidP="008D1E0E" w14:paraId="4314E55D" w14:textId="26EA42EF">
      <w:pPr>
        <w:pStyle w:val="NormalHanging12a"/>
        <w:widowControl/>
      </w:pPr>
      <w:r w:rsidRPr="00126759">
        <w:t>2.</w:t>
      </w:r>
      <w:r w:rsidRPr="00126759">
        <w:tab/>
        <w:t xml:space="preserve">καλεί την Επιτροπή να </w:t>
      </w:r>
      <w:r w:rsidRPr="00126759" w:rsidR="00126759">
        <w:t xml:space="preserve">αποσύρει </w:t>
      </w:r>
      <w:r w:rsidRPr="00126759">
        <w:t>την πρότασή της·</w:t>
      </w:r>
    </w:p>
    <w:p w:rsidR="001E4331" w:rsidRPr="00126759" w:rsidP="008D1E0E" w14:paraId="7D712FCC" w14:textId="09D4F325">
      <w:pPr>
        <w:pStyle w:val="NormalHanging12a"/>
        <w:widowControl/>
      </w:pPr>
      <w:r w:rsidRPr="00126759">
        <w:t>3</w:t>
      </w:r>
      <w:r w:rsidRPr="00126759">
        <w:t>.</w:t>
      </w:r>
      <w:r w:rsidRPr="00126759">
        <w:tab/>
        <w:t>αναθέτει στην Πρόεδρό του να διαβιβάσει τη θέση του Κοινοβουλίου στο Συμβούλιο, στην Επιτροπή και στα εθνικά κοινοβούλια.</w:t>
      </w:r>
    </w:p>
    <w:p w:rsidR="001E2203" w:rsidRPr="00126759" w:rsidP="00126759" w14:paraId="6888DF8F" w14:textId="77777777">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pPr>
    </w:p>
    <w:sectPr w:rsidSect="00BC31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15C5D" w:rsidRPr="00BC319C" w14:paraId="282BCBBD" w14:textId="77777777">
      <w:r w:rsidRPr="00BC319C">
        <w:separator/>
      </w:r>
    </w:p>
  </w:footnote>
  <w:footnote w:type="continuationSeparator" w:id="1">
    <w:p w:rsidR="00A15C5D" w:rsidRPr="00BC319C" w14:paraId="67493CEA" w14:textId="77777777">
      <w:r w:rsidRPr="00BC319C">
        <w:continuationSeparator/>
      </w:r>
    </w:p>
  </w:footnote>
  <w:footnote w:id="2">
    <w:p w:rsidR="001E4331" w:rsidRPr="00BC319C" w:rsidP="00BC319C" w14:paraId="49EDA5C5" w14:textId="3B455DF2">
      <w:pPr>
        <w:pStyle w:val="FootnoteText"/>
        <w:ind w:left="567" w:hanging="567"/>
        <w:rPr>
          <w:sz w:val="24"/>
          <w:lang w:val="el-GR"/>
        </w:rPr>
      </w:pPr>
      <w:r w:rsidRPr="00BC319C">
        <w:rPr>
          <w:rStyle w:val="FootnoteReference"/>
          <w:sz w:val="24"/>
          <w:lang w:val="el-GR"/>
        </w:rPr>
        <w:footnoteRef/>
      </w:r>
      <w:r w:rsidRPr="00BC319C" w:rsidR="00BC319C">
        <w:rPr>
          <w:sz w:val="24"/>
          <w:lang w:val="el-GR"/>
        </w:rPr>
        <w:t xml:space="preserve"> </w:t>
      </w:r>
      <w:r w:rsidRPr="00BC319C" w:rsidR="00BC319C">
        <w:rPr>
          <w:sz w:val="24"/>
          <w:lang w:val="el-GR"/>
        </w:rPr>
        <w:tab/>
      </w:r>
      <w:r w:rsidRPr="00BC319C">
        <w:rPr>
          <w:sz w:val="24"/>
          <w:lang w:val="el-GR"/>
        </w:rPr>
        <w:t>ΕΕ C 77 της 28.3.2002,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471530">
    <w:abstractNumId w:val="9"/>
  </w:num>
  <w:num w:numId="2" w16cid:durableId="485827137">
    <w:abstractNumId w:val="9"/>
  </w:num>
  <w:num w:numId="3" w16cid:durableId="917323562">
    <w:abstractNumId w:val="7"/>
  </w:num>
  <w:num w:numId="4" w16cid:durableId="1788229707">
    <w:abstractNumId w:val="7"/>
  </w:num>
  <w:num w:numId="5" w16cid:durableId="619730545">
    <w:abstractNumId w:val="6"/>
  </w:num>
  <w:num w:numId="6" w16cid:durableId="14961629">
    <w:abstractNumId w:val="6"/>
  </w:num>
  <w:num w:numId="7" w16cid:durableId="791556815">
    <w:abstractNumId w:val="5"/>
  </w:num>
  <w:num w:numId="8" w16cid:durableId="55201743">
    <w:abstractNumId w:val="5"/>
  </w:num>
  <w:num w:numId="9" w16cid:durableId="192428331">
    <w:abstractNumId w:val="4"/>
  </w:num>
  <w:num w:numId="10" w16cid:durableId="1565607554">
    <w:abstractNumId w:val="4"/>
  </w:num>
  <w:num w:numId="11" w16cid:durableId="792551758">
    <w:abstractNumId w:val="8"/>
  </w:num>
  <w:num w:numId="12" w16cid:durableId="1822500931">
    <w:abstractNumId w:val="8"/>
  </w:num>
  <w:num w:numId="13" w16cid:durableId="107160645">
    <w:abstractNumId w:val="3"/>
  </w:num>
  <w:num w:numId="14" w16cid:durableId="643200962">
    <w:abstractNumId w:val="3"/>
  </w:num>
  <w:num w:numId="15" w16cid:durableId="360282548">
    <w:abstractNumId w:val="2"/>
  </w:num>
  <w:num w:numId="16" w16cid:durableId="1088694300">
    <w:abstractNumId w:val="2"/>
  </w:num>
  <w:num w:numId="17" w16cid:durableId="726873920">
    <w:abstractNumId w:val="1"/>
  </w:num>
  <w:num w:numId="18" w16cid:durableId="1252155307">
    <w:abstractNumId w:val="1"/>
  </w:num>
  <w:num w:numId="19" w16cid:durableId="2105881590">
    <w:abstractNumId w:val="0"/>
  </w:num>
  <w:num w:numId="20" w16cid:durableId="1003431379">
    <w:abstractNumId w:val="0"/>
  </w:num>
  <w:num w:numId="21" w16cid:durableId="1922790285">
    <w:abstractNumId w:val="9"/>
  </w:num>
  <w:num w:numId="22" w16cid:durableId="2056195758">
    <w:abstractNumId w:val="7"/>
  </w:num>
  <w:num w:numId="23" w16cid:durableId="87163564">
    <w:abstractNumId w:val="6"/>
  </w:num>
  <w:num w:numId="24" w16cid:durableId="703411411">
    <w:abstractNumId w:val="5"/>
  </w:num>
  <w:num w:numId="25" w16cid:durableId="527064768">
    <w:abstractNumId w:val="4"/>
  </w:num>
  <w:num w:numId="26" w16cid:durableId="1685548566">
    <w:abstractNumId w:val="8"/>
  </w:num>
  <w:num w:numId="27" w16cid:durableId="15274076">
    <w:abstractNumId w:val="3"/>
  </w:num>
  <w:num w:numId="28" w16cid:durableId="645473241">
    <w:abstractNumId w:val="2"/>
  </w:num>
  <w:num w:numId="29" w16cid:durableId="711150316">
    <w:abstractNumId w:val="1"/>
  </w:num>
  <w:num w:numId="30" w16cid:durableId="726684754">
    <w:abstractNumId w:val="0"/>
  </w:num>
  <w:num w:numId="31" w16cid:durableId="644744465">
    <w:abstractNumId w:val="9"/>
  </w:num>
  <w:num w:numId="32" w16cid:durableId="278727792">
    <w:abstractNumId w:val="7"/>
  </w:num>
  <w:num w:numId="33" w16cid:durableId="1105005346">
    <w:abstractNumId w:val="6"/>
  </w:num>
  <w:num w:numId="34" w16cid:durableId="815101507">
    <w:abstractNumId w:val="5"/>
  </w:num>
  <w:num w:numId="35" w16cid:durableId="757366530">
    <w:abstractNumId w:val="4"/>
  </w:num>
  <w:num w:numId="36" w16cid:durableId="458456118">
    <w:abstractNumId w:val="8"/>
  </w:num>
  <w:num w:numId="37" w16cid:durableId="1864631341">
    <w:abstractNumId w:val="3"/>
  </w:num>
  <w:num w:numId="38" w16cid:durableId="1108310118">
    <w:abstractNumId w:val="2"/>
  </w:num>
  <w:num w:numId="39" w16cid:durableId="1609384667">
    <w:abstractNumId w:val="1"/>
  </w:num>
  <w:num w:numId="40" w16cid:durableId="520435662">
    <w:abstractNumId w:val="0"/>
  </w:num>
  <w:num w:numId="41" w16cid:durableId="290406529">
    <w:abstractNumId w:val="10"/>
  </w:num>
  <w:num w:numId="42" w16cid:durableId="215972093">
    <w:abstractNumId w:val="10"/>
  </w:num>
  <w:num w:numId="43" w16cid:durableId="513113133">
    <w:abstractNumId w:val="10"/>
  </w:num>
  <w:num w:numId="44" w16cid:durableId="10995211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5D"/>
    <w:rsid w:val="00002272"/>
    <w:rsid w:val="00064002"/>
    <w:rsid w:val="000677B9"/>
    <w:rsid w:val="000831BA"/>
    <w:rsid w:val="000A42CC"/>
    <w:rsid w:val="000E7DD9"/>
    <w:rsid w:val="0010095E"/>
    <w:rsid w:val="00125B37"/>
    <w:rsid w:val="00126759"/>
    <w:rsid w:val="00187494"/>
    <w:rsid w:val="001E2203"/>
    <w:rsid w:val="001E433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18C8"/>
    <w:rsid w:val="006F74FA"/>
    <w:rsid w:val="00731ADD"/>
    <w:rsid w:val="00734777"/>
    <w:rsid w:val="00747932"/>
    <w:rsid w:val="00751A4A"/>
    <w:rsid w:val="00756632"/>
    <w:rsid w:val="00762C74"/>
    <w:rsid w:val="00786EC0"/>
    <w:rsid w:val="007B1818"/>
    <w:rsid w:val="007D1690"/>
    <w:rsid w:val="007E22AD"/>
    <w:rsid w:val="00817416"/>
    <w:rsid w:val="00842779"/>
    <w:rsid w:val="00865F67"/>
    <w:rsid w:val="00881A7B"/>
    <w:rsid w:val="008840E5"/>
    <w:rsid w:val="00887B3E"/>
    <w:rsid w:val="008C2AC6"/>
    <w:rsid w:val="008D1E0E"/>
    <w:rsid w:val="00930C23"/>
    <w:rsid w:val="0093193B"/>
    <w:rsid w:val="009509D8"/>
    <w:rsid w:val="00950B64"/>
    <w:rsid w:val="00981893"/>
    <w:rsid w:val="00A15C5D"/>
    <w:rsid w:val="00A1687D"/>
    <w:rsid w:val="00A43E52"/>
    <w:rsid w:val="00A4678D"/>
    <w:rsid w:val="00A778C7"/>
    <w:rsid w:val="00AB441E"/>
    <w:rsid w:val="00AB6293"/>
    <w:rsid w:val="00AD04B1"/>
    <w:rsid w:val="00AE0928"/>
    <w:rsid w:val="00AF3B82"/>
    <w:rsid w:val="00B12E95"/>
    <w:rsid w:val="00B22876"/>
    <w:rsid w:val="00B47441"/>
    <w:rsid w:val="00B558F0"/>
    <w:rsid w:val="00BC319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941"/>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1/2026"/>
    <w:docVar w:name="dvlangue" w:val="EL"/>
    <w:docVar w:name="dvnumam" w:val="0"/>
    <w:docVar w:name="dvpe" w:val="784.398"/>
    <w:docVar w:name="dvrapporteur" w:val="Εισηγητής: "/>
    <w:docVar w:name="dvstar" w:val="*"/>
    <w:docVar w:name="dvtitre" w:val="Νομοθετικό ψήφισμα του Ευρωπαϊκού Κοινοβουλίου της ... 2026 σχετικά με την πρόταση οδηγίας του Συμβουλίου για τη διάρθρωση και τους συντελεστές του ειδικού φόρου κατανάλωσης που εφαρμόζονται στον καπνό και στα συναφή με τον καπνό προϊόντα (αναδιατύπωση)(COM(2025)0580 – C10-0207/2025 – 2025/0580(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3911136"/>
  <w15:chartTrackingRefBased/>
  <w15:docId w15:val="{D9F64019-532F-4B12-829E-C63E5013A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E4331"/>
    <w:rPr>
      <w:b/>
      <w:kern w:val="28"/>
      <w:sz w:val="28"/>
      <w:lang w:val="fr-FR" w:eastAsia="fr-FR"/>
    </w:rPr>
  </w:style>
  <w:style w:type="character" w:customStyle="1" w:styleId="Heading2Char">
    <w:name w:val="Heading 2 Char"/>
    <w:basedOn w:val="DefaultParagraphFont"/>
    <w:link w:val="Heading2"/>
    <w:semiHidden/>
    <w:rsid w:val="001E4331"/>
    <w:rPr>
      <w:sz w:val="24"/>
      <w:lang w:val="fr-FR" w:eastAsia="fr-FR"/>
    </w:rPr>
  </w:style>
  <w:style w:type="character" w:customStyle="1" w:styleId="Heading3Char">
    <w:name w:val="Heading 3 Char"/>
    <w:basedOn w:val="DefaultParagraphFont"/>
    <w:link w:val="Heading3"/>
    <w:semiHidden/>
    <w:rsid w:val="001E4331"/>
    <w:rPr>
      <w:rFonts w:ascii="Arial" w:hAnsi="Arial"/>
      <w:sz w:val="24"/>
      <w:lang w:val="fr-FR" w:eastAsia="fr-FR"/>
    </w:rPr>
  </w:style>
  <w:style w:type="character" w:customStyle="1" w:styleId="Heading4Char">
    <w:name w:val="Heading 4 Char"/>
    <w:basedOn w:val="DefaultParagraphFont"/>
    <w:link w:val="Heading4"/>
    <w:semiHidden/>
    <w:rsid w:val="001E4331"/>
    <w:rPr>
      <w:sz w:val="24"/>
      <w:lang w:val="en-US" w:eastAsia="fr-FR"/>
    </w:rPr>
  </w:style>
  <w:style w:type="character" w:customStyle="1" w:styleId="Heading5Char">
    <w:name w:val="Heading 5 Char"/>
    <w:basedOn w:val="DefaultParagraphFont"/>
    <w:link w:val="Heading5"/>
    <w:semiHidden/>
    <w:rsid w:val="001E4331"/>
    <w:rPr>
      <w:sz w:val="24"/>
      <w:lang w:val="en-US" w:eastAsia="fr-FR"/>
    </w:rPr>
  </w:style>
  <w:style w:type="character" w:customStyle="1" w:styleId="Heading6Char">
    <w:name w:val="Heading 6 Char"/>
    <w:basedOn w:val="DefaultParagraphFont"/>
    <w:link w:val="Heading6"/>
    <w:semiHidden/>
    <w:rsid w:val="001E4331"/>
    <w:rPr>
      <w:i/>
      <w:sz w:val="22"/>
      <w:lang w:val="el-GR"/>
    </w:rPr>
  </w:style>
  <w:style w:type="character" w:customStyle="1" w:styleId="Heading7Char">
    <w:name w:val="Heading 7 Char"/>
    <w:basedOn w:val="DefaultParagraphFont"/>
    <w:link w:val="Heading7"/>
    <w:semiHidden/>
    <w:rsid w:val="001E4331"/>
    <w:rPr>
      <w:rFonts w:ascii="Arial" w:hAnsi="Arial"/>
      <w:sz w:val="24"/>
      <w:lang w:val="el-GR"/>
    </w:rPr>
  </w:style>
  <w:style w:type="character" w:customStyle="1" w:styleId="Heading8Char">
    <w:name w:val="Heading 8 Char"/>
    <w:basedOn w:val="DefaultParagraphFont"/>
    <w:link w:val="Heading8"/>
    <w:semiHidden/>
    <w:rsid w:val="001E4331"/>
    <w:rPr>
      <w:rFonts w:ascii="Arial" w:hAnsi="Arial"/>
      <w:i/>
      <w:sz w:val="24"/>
      <w:lang w:val="el-GR"/>
    </w:rPr>
  </w:style>
  <w:style w:type="character" w:customStyle="1" w:styleId="Heading9Char">
    <w:name w:val="Heading 9 Char"/>
    <w:basedOn w:val="DefaultParagraphFont"/>
    <w:link w:val="Heading9"/>
    <w:semiHidden/>
    <w:rsid w:val="001E4331"/>
    <w:rPr>
      <w:rFonts w:ascii="Arial" w:hAnsi="Arial"/>
      <w:b/>
      <w:i/>
      <w:sz w:val="18"/>
      <w:lang w:val="el-GR"/>
    </w:rPr>
  </w:style>
  <w:style w:type="paragraph" w:styleId="TOCHeading">
    <w:name w:val="TOC Heading"/>
    <w:basedOn w:val="Normal"/>
    <w:next w:val="Normal"/>
    <w:unhideWhenUsed/>
    <w:qFormat/>
    <w:rsid w:val="001E4331"/>
    <w:pPr>
      <w:widowControl/>
      <w:spacing w:after="240"/>
    </w:pPr>
    <w:rPr>
      <w:lang w:val="en-GB"/>
    </w:rPr>
  </w:style>
  <w:style w:type="paragraph" w:customStyle="1" w:styleId="PageHeading">
    <w:name w:val="PageHeading"/>
    <w:basedOn w:val="Normal"/>
    <w:rsid w:val="001E4331"/>
    <w:pPr>
      <w:keepNext/>
      <w:spacing w:after="480"/>
      <w:jc w:val="center"/>
    </w:pPr>
    <w:rPr>
      <w:rFonts w:ascii="Arial" w:hAnsi="Arial" w:cs="Arial"/>
      <w:b/>
    </w:rPr>
  </w:style>
  <w:style w:type="paragraph" w:customStyle="1" w:styleId="EPFooter2">
    <w:name w:val="EPFooter2"/>
    <w:basedOn w:val="Normal"/>
    <w:next w:val="Normal"/>
    <w:rsid w:val="001E433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E4331"/>
    <w:pPr>
      <w:spacing w:after="240"/>
    </w:pPr>
  </w:style>
  <w:style w:type="paragraph" w:customStyle="1" w:styleId="TOCPage">
    <w:name w:val="TOC Page"/>
    <w:basedOn w:val="Normal"/>
    <w:next w:val="TOC1"/>
    <w:rsid w:val="001E4331"/>
    <w:pPr>
      <w:keepNext/>
      <w:spacing w:after="240"/>
      <w:jc w:val="right"/>
    </w:pPr>
    <w:rPr>
      <w:rFonts w:ascii="Arial" w:hAnsi="Arial"/>
      <w:b/>
    </w:rPr>
  </w:style>
  <w:style w:type="paragraph" w:customStyle="1" w:styleId="NormalBold12a">
    <w:name w:val="NormalBold12a"/>
    <w:basedOn w:val="Normal"/>
    <w:rsid w:val="001E4331"/>
    <w:pPr>
      <w:spacing w:after="240"/>
    </w:pPr>
    <w:rPr>
      <w:b/>
    </w:rPr>
  </w:style>
  <w:style w:type="paragraph" w:customStyle="1" w:styleId="NormalHanging12a">
    <w:name w:val="NormalHanging12a"/>
    <w:basedOn w:val="Normal"/>
    <w:rsid w:val="001E4331"/>
    <w:pPr>
      <w:spacing w:after="240"/>
      <w:ind w:left="567" w:hanging="567"/>
    </w:pPr>
  </w:style>
  <w:style w:type="paragraph" w:customStyle="1" w:styleId="Normal6a">
    <w:name w:val="Normal6a"/>
    <w:basedOn w:val="Normal"/>
    <w:rsid w:val="001E4331"/>
    <w:pPr>
      <w:spacing w:after="120"/>
    </w:pPr>
  </w:style>
  <w:style w:type="paragraph" w:customStyle="1" w:styleId="CoverNormal24a">
    <w:name w:val="CoverNormal24a"/>
    <w:basedOn w:val="Normal"/>
    <w:rsid w:val="001E4331"/>
    <w:pPr>
      <w:spacing w:after="480"/>
      <w:ind w:left="1417"/>
    </w:pPr>
  </w:style>
  <w:style w:type="paragraph" w:customStyle="1" w:styleId="CoverNormal">
    <w:name w:val="CoverNormal"/>
    <w:basedOn w:val="Normal"/>
    <w:rsid w:val="001E4331"/>
    <w:pPr>
      <w:ind w:left="1418"/>
    </w:pPr>
  </w:style>
  <w:style w:type="paragraph" w:customStyle="1" w:styleId="CoverReference">
    <w:name w:val="CoverReference"/>
    <w:basedOn w:val="Normal"/>
    <w:rsid w:val="001E4331"/>
    <w:pPr>
      <w:spacing w:before="1080"/>
      <w:jc w:val="right"/>
    </w:pPr>
    <w:rPr>
      <w:rFonts w:ascii="Arial" w:hAnsi="Arial" w:cs="Arial"/>
      <w:b/>
    </w:rPr>
  </w:style>
  <w:style w:type="paragraph" w:customStyle="1" w:styleId="NormalBold">
    <w:name w:val="NormalBold"/>
    <w:basedOn w:val="Normal"/>
    <w:link w:val="NormalBoldChar"/>
    <w:rsid w:val="001E4331"/>
    <w:rPr>
      <w:b/>
    </w:rPr>
  </w:style>
  <w:style w:type="character" w:customStyle="1" w:styleId="NormalBoldChar">
    <w:name w:val="NormalBold Char"/>
    <w:basedOn w:val="DefaultParagraphFont"/>
    <w:link w:val="NormalBold"/>
    <w:locked/>
    <w:rsid w:val="001E4331"/>
    <w:rPr>
      <w:b/>
      <w:sz w:val="24"/>
      <w:lang w:val="el-GR"/>
    </w:rPr>
  </w:style>
  <w:style w:type="paragraph" w:customStyle="1" w:styleId="CoverDocType">
    <w:name w:val="CoverDocType"/>
    <w:basedOn w:val="Normal"/>
    <w:rsid w:val="001E4331"/>
    <w:pPr>
      <w:ind w:left="1418"/>
    </w:pPr>
    <w:rPr>
      <w:rFonts w:ascii="Arial" w:hAnsi="Arial"/>
      <w:b/>
      <w:sz w:val="48"/>
    </w:rPr>
  </w:style>
  <w:style w:type="paragraph" w:customStyle="1" w:styleId="CoverDocType24a">
    <w:name w:val="CoverDocType24a"/>
    <w:basedOn w:val="Normal"/>
    <w:rsid w:val="001E4331"/>
    <w:pPr>
      <w:spacing w:after="480"/>
      <w:ind w:left="1418"/>
    </w:pPr>
    <w:rPr>
      <w:rFonts w:ascii="Arial" w:hAnsi="Arial"/>
      <w:b/>
      <w:sz w:val="48"/>
    </w:rPr>
  </w:style>
  <w:style w:type="paragraph" w:customStyle="1" w:styleId="CoverDate">
    <w:name w:val="CoverDate"/>
    <w:basedOn w:val="Normal"/>
    <w:rsid w:val="001E4331"/>
    <w:pPr>
      <w:spacing w:before="240" w:after="1200"/>
    </w:pPr>
  </w:style>
  <w:style w:type="paragraph" w:styleId="Header">
    <w:name w:val="header"/>
    <w:basedOn w:val="Normal"/>
    <w:link w:val="HeaderChar"/>
    <w:rsid w:val="001E4331"/>
    <w:pPr>
      <w:tabs>
        <w:tab w:val="center" w:pos="4513"/>
        <w:tab w:val="right" w:pos="9026"/>
      </w:tabs>
    </w:pPr>
  </w:style>
  <w:style w:type="character" w:customStyle="1" w:styleId="HeaderChar">
    <w:name w:val="Header Char"/>
    <w:basedOn w:val="DefaultParagraphFont"/>
    <w:link w:val="Header"/>
    <w:rsid w:val="001E4331"/>
    <w:rPr>
      <w:sz w:val="24"/>
      <w:lang w:val="el-GR"/>
    </w:rPr>
  </w:style>
  <w:style w:type="paragraph" w:customStyle="1" w:styleId="AnnexWPLogo">
    <w:name w:val="AnnexWPLogo"/>
    <w:basedOn w:val="Normal"/>
    <w:rsid w:val="001E4331"/>
    <w:pPr>
      <w:spacing w:before="120" w:after="120"/>
    </w:pPr>
  </w:style>
  <w:style w:type="paragraph" w:customStyle="1" w:styleId="AnnexWPTabs">
    <w:name w:val="AnnexWPTabs"/>
    <w:basedOn w:val="Normal"/>
    <w:rsid w:val="001E4331"/>
    <w:pPr>
      <w:tabs>
        <w:tab w:val="right" w:pos="3686"/>
        <w:tab w:val="left" w:pos="3827"/>
      </w:tabs>
    </w:pPr>
    <w:rPr>
      <w:b/>
    </w:rPr>
  </w:style>
  <w:style w:type="paragraph" w:customStyle="1" w:styleId="AnnexWPDate">
    <w:name w:val="AnnexWPDate"/>
    <w:basedOn w:val="Normal"/>
    <w:rsid w:val="001E4331"/>
    <w:pPr>
      <w:spacing w:before="240" w:after="480"/>
      <w:jc w:val="right"/>
    </w:pPr>
  </w:style>
  <w:style w:type="paragraph" w:customStyle="1" w:styleId="AnnexWPSmall">
    <w:name w:val="AnnexWPSmall"/>
    <w:basedOn w:val="Normal"/>
    <w:rsid w:val="001E4331"/>
    <w:rPr>
      <w:smallCaps/>
      <w:sz w:val="20"/>
    </w:rPr>
  </w:style>
  <w:style w:type="paragraph" w:customStyle="1" w:styleId="AnnexWPDocType">
    <w:name w:val="AnnexWPDocType"/>
    <w:basedOn w:val="Normal"/>
    <w:rsid w:val="001E4331"/>
    <w:pPr>
      <w:spacing w:after="240"/>
      <w:jc w:val="center"/>
    </w:pPr>
    <w:rPr>
      <w:b/>
    </w:rPr>
  </w:style>
  <w:style w:type="paragraph" w:customStyle="1" w:styleId="AnnexWPTitle">
    <w:name w:val="AnnexWPTitle"/>
    <w:basedOn w:val="Normal"/>
    <w:rsid w:val="001E4331"/>
    <w:pPr>
      <w:spacing w:before="480"/>
    </w:pPr>
    <w:rPr>
      <w:b/>
    </w:rPr>
  </w:style>
  <w:style w:type="paragraph" w:customStyle="1" w:styleId="AmJustText">
    <w:name w:val="AmJustText"/>
    <w:basedOn w:val="Normal"/>
    <w:rsid w:val="001E4331"/>
    <w:pPr>
      <w:spacing w:after="240"/>
    </w:pPr>
    <w:rPr>
      <w:i/>
    </w:rPr>
  </w:style>
  <w:style w:type="paragraph" w:customStyle="1" w:styleId="AmCrossRef">
    <w:name w:val="AmCrossRef"/>
    <w:basedOn w:val="Normal"/>
    <w:rsid w:val="001E4331"/>
    <w:pPr>
      <w:spacing w:before="240" w:after="240"/>
      <w:jc w:val="center"/>
    </w:pPr>
    <w:rPr>
      <w:i/>
    </w:rPr>
  </w:style>
  <w:style w:type="paragraph" w:customStyle="1" w:styleId="AmJustTitle">
    <w:name w:val="AmJustTitle"/>
    <w:basedOn w:val="Normal"/>
    <w:next w:val="AmJustText"/>
    <w:rsid w:val="001E4331"/>
    <w:pPr>
      <w:keepNext/>
      <w:spacing w:before="240" w:after="240"/>
      <w:jc w:val="center"/>
    </w:pPr>
    <w:rPr>
      <w:i/>
    </w:rPr>
  </w:style>
  <w:style w:type="paragraph" w:customStyle="1" w:styleId="AmOrLang">
    <w:name w:val="AmOrLang"/>
    <w:basedOn w:val="Normal"/>
    <w:rsid w:val="001E4331"/>
    <w:pPr>
      <w:spacing w:before="240" w:after="240"/>
      <w:jc w:val="right"/>
    </w:pPr>
  </w:style>
  <w:style w:type="paragraph" w:customStyle="1" w:styleId="AmColumnHeading">
    <w:name w:val="AmColumnHeading"/>
    <w:basedOn w:val="Normal"/>
    <w:rsid w:val="001E4331"/>
    <w:pPr>
      <w:spacing w:after="240"/>
      <w:jc w:val="center"/>
    </w:pPr>
    <w:rPr>
      <w:i/>
    </w:rPr>
  </w:style>
  <w:style w:type="paragraph" w:customStyle="1" w:styleId="AmNumberTabs">
    <w:name w:val="AmNumberTabs"/>
    <w:basedOn w:val="Normal"/>
    <w:rsid w:val="001E43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E4331"/>
    <w:pPr>
      <w:spacing w:before="240"/>
    </w:pPr>
    <w:rPr>
      <w:b/>
    </w:rPr>
  </w:style>
  <w:style w:type="paragraph" w:customStyle="1" w:styleId="EPBody">
    <w:name w:val="EPBody"/>
    <w:basedOn w:val="Normal"/>
    <w:rsid w:val="001E4331"/>
    <w:pPr>
      <w:jc w:val="center"/>
    </w:pPr>
    <w:rPr>
      <w:rFonts w:ascii="Arial" w:hAnsi="Arial" w:cs="Arial"/>
      <w:i/>
      <w:sz w:val="22"/>
      <w:szCs w:val="22"/>
    </w:rPr>
  </w:style>
  <w:style w:type="paragraph" w:customStyle="1" w:styleId="EPFooter">
    <w:name w:val="EPFooter"/>
    <w:basedOn w:val="Normal"/>
    <w:rsid w:val="001E4331"/>
    <w:pPr>
      <w:tabs>
        <w:tab w:val="center" w:pos="4535"/>
        <w:tab w:val="right" w:pos="9071"/>
      </w:tabs>
      <w:spacing w:before="240" w:after="240"/>
    </w:pPr>
    <w:rPr>
      <w:color w:val="010000"/>
      <w:sz w:val="22"/>
    </w:rPr>
  </w:style>
  <w:style w:type="paragraph" w:customStyle="1" w:styleId="EPComma">
    <w:name w:val="EPComma"/>
    <w:basedOn w:val="Normal"/>
    <w:rsid w:val="001E4331"/>
    <w:pPr>
      <w:spacing w:before="480" w:after="240"/>
    </w:pPr>
  </w:style>
  <w:style w:type="paragraph" w:customStyle="1" w:styleId="Lgendesigne">
    <w:name w:val="Légende signe"/>
    <w:basedOn w:val="Normal"/>
    <w:rsid w:val="001E4331"/>
    <w:pPr>
      <w:tabs>
        <w:tab w:val="right" w:pos="454"/>
        <w:tab w:val="left" w:pos="737"/>
      </w:tabs>
      <w:ind w:left="737" w:hanging="737"/>
    </w:pPr>
    <w:rPr>
      <w:snapToGrid w:val="0"/>
      <w:sz w:val="18"/>
      <w:lang w:eastAsia="en-US"/>
    </w:rPr>
  </w:style>
  <w:style w:type="paragraph" w:customStyle="1" w:styleId="Lgendetitre">
    <w:name w:val="Légende titre"/>
    <w:basedOn w:val="Normal"/>
    <w:rsid w:val="001E4331"/>
    <w:pPr>
      <w:spacing w:before="240" w:after="240"/>
    </w:pPr>
    <w:rPr>
      <w:b/>
      <w:i/>
      <w:snapToGrid w:val="0"/>
      <w:lang w:eastAsia="en-US"/>
    </w:rPr>
  </w:style>
  <w:style w:type="paragraph" w:customStyle="1" w:styleId="Lgendestandard">
    <w:name w:val="Légende standard"/>
    <w:basedOn w:val="Normal"/>
    <w:rsid w:val="001E4331"/>
    <w:rPr>
      <w:sz w:val="18"/>
    </w:rPr>
  </w:style>
  <w:style w:type="paragraph" w:customStyle="1" w:styleId="LetterDate">
    <w:name w:val="LetterDate"/>
    <w:basedOn w:val="Normal"/>
    <w:rsid w:val="001E4331"/>
    <w:pPr>
      <w:spacing w:before="720" w:after="240"/>
    </w:pPr>
  </w:style>
  <w:style w:type="paragraph" w:customStyle="1" w:styleId="LetterSalutation">
    <w:name w:val="LetterSalutation"/>
    <w:basedOn w:val="Normal"/>
    <w:rsid w:val="001E4331"/>
    <w:pPr>
      <w:spacing w:before="600" w:after="360"/>
    </w:pPr>
  </w:style>
  <w:style w:type="paragraph" w:customStyle="1" w:styleId="LetterSubject">
    <w:name w:val="LetterSubject"/>
    <w:basedOn w:val="Normal"/>
    <w:rsid w:val="001E4331"/>
    <w:pPr>
      <w:spacing w:before="480"/>
      <w:ind w:left="1134" w:hanging="1134"/>
    </w:pPr>
  </w:style>
  <w:style w:type="paragraph" w:customStyle="1" w:styleId="LetterSignature66b">
    <w:name w:val="LetterSignature66b"/>
    <w:basedOn w:val="Normal"/>
    <w:next w:val="Normal"/>
    <w:rsid w:val="001E4331"/>
    <w:pPr>
      <w:spacing w:before="1320"/>
    </w:pPr>
  </w:style>
  <w:style w:type="paragraph" w:customStyle="1" w:styleId="msonormal">
    <w:name w:val="msonormal"/>
    <w:basedOn w:val="Normal"/>
    <w:rsid w:val="001E4331"/>
    <w:pPr>
      <w:widowControl/>
      <w:spacing w:before="100" w:beforeAutospacing="1" w:after="100" w:afterAutospacing="1"/>
    </w:pPr>
    <w:rPr>
      <w:szCs w:val="24"/>
    </w:rPr>
  </w:style>
  <w:style w:type="character" w:customStyle="1" w:styleId="FooterChar">
    <w:name w:val="Footer Char"/>
    <w:basedOn w:val="DefaultParagraphFont"/>
    <w:link w:val="Footer"/>
    <w:rsid w:val="001E4331"/>
    <w:rPr>
      <w:sz w:val="22"/>
    </w:rPr>
  </w:style>
  <w:style w:type="paragraph" w:styleId="Footer">
    <w:name w:val="footer"/>
    <w:link w:val="FooterChar"/>
    <w:unhideWhenUsed/>
    <w:rsid w:val="001E4331"/>
    <w:pPr>
      <w:tabs>
        <w:tab w:val="center" w:pos="4536"/>
        <w:tab w:val="right" w:pos="9072"/>
      </w:tabs>
      <w:spacing w:before="240" w:after="240" w:line="220" w:lineRule="auto"/>
    </w:pPr>
    <w:rPr>
      <w:sz w:val="22"/>
    </w:rPr>
  </w:style>
  <w:style w:type="character" w:customStyle="1" w:styleId="FooterChar1">
    <w:name w:val="Footer Char1"/>
    <w:basedOn w:val="DefaultParagraphFont"/>
    <w:rsid w:val="001E4331"/>
    <w:rPr>
      <w:sz w:val="24"/>
      <w:lang w:val="el-GR"/>
    </w:rPr>
  </w:style>
  <w:style w:type="paragraph" w:styleId="BalloonText">
    <w:name w:val="Balloon Text"/>
    <w:basedOn w:val="Normal"/>
    <w:link w:val="BalloonTextChar"/>
    <w:unhideWhenUsed/>
    <w:rsid w:val="001E4331"/>
    <w:rPr>
      <w:rFonts w:ascii="Segoe UI" w:hAnsi="Segoe UI" w:cs="Segoe UI"/>
      <w:sz w:val="18"/>
      <w:szCs w:val="18"/>
    </w:rPr>
  </w:style>
  <w:style w:type="character" w:customStyle="1" w:styleId="BalloonTextChar">
    <w:name w:val="Balloon Text Char"/>
    <w:basedOn w:val="DefaultParagraphFont"/>
    <w:link w:val="BalloonText"/>
    <w:rsid w:val="001E4331"/>
    <w:rPr>
      <w:rFonts w:ascii="Segoe UI" w:hAnsi="Segoe UI" w:cs="Segoe UI"/>
      <w:sz w:val="18"/>
      <w:szCs w:val="18"/>
      <w:lang w:val="el-GR"/>
    </w:rPr>
  </w:style>
  <w:style w:type="paragraph" w:customStyle="1" w:styleId="AMNumberTabs0">
    <w:name w:val="AMNumberTabs"/>
    <w:basedOn w:val="Normal"/>
    <w:rsid w:val="001E43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Left">
    <w:name w:val="Normal Left"/>
    <w:basedOn w:val="Normal"/>
    <w:rsid w:val="001E4331"/>
    <w:pPr>
      <w:widowControl/>
      <w:spacing w:before="120" w:after="120"/>
    </w:pPr>
    <w:rPr>
      <w:rFonts w:eastAsia="Calibri"/>
      <w:szCs w:val="22"/>
      <w:lang w:eastAsia="en-US"/>
    </w:rPr>
  </w:style>
  <w:style w:type="character" w:customStyle="1" w:styleId="Normal12Char">
    <w:name w:val="Normal12 Char"/>
    <w:basedOn w:val="DefaultParagraphFont"/>
    <w:link w:val="Normal12"/>
    <w:locked/>
    <w:rsid w:val="001E4331"/>
    <w:rPr>
      <w:noProof/>
      <w:sz w:val="24"/>
    </w:rPr>
  </w:style>
  <w:style w:type="paragraph" w:customStyle="1" w:styleId="Normal12">
    <w:name w:val="Normal12"/>
    <w:basedOn w:val="Normal"/>
    <w:link w:val="Normal12Char"/>
    <w:rsid w:val="001E4331"/>
    <w:pPr>
      <w:spacing w:after="240"/>
    </w:pPr>
    <w:rPr>
      <w:noProof/>
      <w:lang w:val="en-GB"/>
    </w:rPr>
  </w:style>
  <w:style w:type="paragraph" w:customStyle="1" w:styleId="CommitteeAM">
    <w:name w:val="CommitteeAM"/>
    <w:basedOn w:val="Normal"/>
    <w:rsid w:val="001E4331"/>
    <w:pPr>
      <w:spacing w:before="240" w:after="600"/>
      <w:jc w:val="center"/>
    </w:pPr>
    <w:rPr>
      <w:i/>
    </w:rPr>
  </w:style>
  <w:style w:type="paragraph" w:customStyle="1" w:styleId="ZDateAM">
    <w:name w:val="ZDateAM"/>
    <w:basedOn w:val="Normal"/>
    <w:rsid w:val="001E4331"/>
    <w:pPr>
      <w:tabs>
        <w:tab w:val="right" w:pos="9356"/>
      </w:tabs>
      <w:spacing w:after="480"/>
    </w:pPr>
    <w:rPr>
      <w:noProof/>
    </w:rPr>
  </w:style>
  <w:style w:type="paragraph" w:customStyle="1" w:styleId="ProjRap">
    <w:name w:val="ProjRap"/>
    <w:basedOn w:val="Normal"/>
    <w:rsid w:val="001E4331"/>
    <w:pPr>
      <w:tabs>
        <w:tab w:val="right" w:pos="9356"/>
      </w:tabs>
    </w:pPr>
    <w:rPr>
      <w:b/>
      <w:noProof/>
    </w:rPr>
  </w:style>
  <w:style w:type="paragraph" w:customStyle="1" w:styleId="PELeft">
    <w:name w:val="PELeft"/>
    <w:basedOn w:val="Normal"/>
    <w:rsid w:val="001E4331"/>
    <w:pPr>
      <w:spacing w:before="40" w:after="40"/>
    </w:pPr>
    <w:rPr>
      <w:rFonts w:ascii="Arial" w:hAnsi="Arial" w:cs="Arial"/>
      <w:sz w:val="22"/>
      <w:szCs w:val="22"/>
    </w:rPr>
  </w:style>
  <w:style w:type="paragraph" w:customStyle="1" w:styleId="PERight">
    <w:name w:val="PERight"/>
    <w:basedOn w:val="Normal"/>
    <w:next w:val="Normal"/>
    <w:rsid w:val="001E4331"/>
    <w:pPr>
      <w:jc w:val="right"/>
    </w:pPr>
    <w:rPr>
      <w:rFonts w:ascii="Arial" w:hAnsi="Arial" w:cs="Arial"/>
      <w:sz w:val="22"/>
      <w:szCs w:val="22"/>
    </w:rPr>
  </w:style>
  <w:style w:type="character" w:customStyle="1" w:styleId="Normal6Char">
    <w:name w:val="Normal6 Char"/>
    <w:basedOn w:val="DefaultParagraphFont"/>
    <w:link w:val="Normal6"/>
    <w:locked/>
    <w:rsid w:val="001E4331"/>
    <w:rPr>
      <w:sz w:val="24"/>
    </w:rPr>
  </w:style>
  <w:style w:type="paragraph" w:customStyle="1" w:styleId="Normal6">
    <w:name w:val="Normal6"/>
    <w:basedOn w:val="Normal"/>
    <w:link w:val="Normal6Char"/>
    <w:rsid w:val="001E4331"/>
    <w:pPr>
      <w:spacing w:after="120"/>
    </w:pPr>
    <w:rPr>
      <w:lang w:val="en-GB"/>
    </w:rPr>
  </w:style>
  <w:style w:type="paragraph" w:customStyle="1" w:styleId="Normal12Italic">
    <w:name w:val="Normal12Italic"/>
    <w:basedOn w:val="Normal12"/>
    <w:rsid w:val="001E4331"/>
    <w:rPr>
      <w:i/>
    </w:rPr>
  </w:style>
  <w:style w:type="paragraph" w:customStyle="1" w:styleId="JustificationTitle">
    <w:name w:val="JustificationTitle"/>
    <w:basedOn w:val="Normal"/>
    <w:next w:val="Normal12"/>
    <w:rsid w:val="001E4331"/>
    <w:pPr>
      <w:keepNext/>
      <w:spacing w:before="240" w:after="240"/>
      <w:jc w:val="center"/>
    </w:pPr>
    <w:rPr>
      <w:i/>
      <w:noProof/>
    </w:rPr>
  </w:style>
  <w:style w:type="paragraph" w:customStyle="1" w:styleId="Olang">
    <w:name w:val="Olang"/>
    <w:basedOn w:val="Normal"/>
    <w:rsid w:val="001E4331"/>
    <w:pPr>
      <w:spacing w:before="240" w:after="240"/>
      <w:jc w:val="right"/>
    </w:pPr>
    <w:rPr>
      <w:noProof/>
      <w:szCs w:val="24"/>
    </w:rPr>
  </w:style>
  <w:style w:type="paragraph" w:customStyle="1" w:styleId="ColumnHeading">
    <w:name w:val="ColumnHeading"/>
    <w:basedOn w:val="Normal"/>
    <w:rsid w:val="001E4331"/>
    <w:pPr>
      <w:spacing w:after="240"/>
      <w:jc w:val="center"/>
    </w:pPr>
    <w:rPr>
      <w:i/>
    </w:rPr>
  </w:style>
  <w:style w:type="paragraph" w:customStyle="1" w:styleId="CrossRef">
    <w:name w:val="CrossRef"/>
    <w:basedOn w:val="Normal"/>
    <w:rsid w:val="001E4331"/>
    <w:pPr>
      <w:spacing w:before="240"/>
      <w:jc w:val="center"/>
    </w:pPr>
    <w:rPr>
      <w:i/>
    </w:rPr>
  </w:style>
  <w:style w:type="paragraph" w:customStyle="1" w:styleId="Footer2">
    <w:name w:val="Footer2"/>
    <w:basedOn w:val="Normal12"/>
    <w:rsid w:val="001E4331"/>
    <w:pPr>
      <w:tabs>
        <w:tab w:val="center" w:pos="4535"/>
        <w:tab w:val="right" w:pos="9923"/>
      </w:tabs>
      <w:spacing w:line="480" w:lineRule="auto"/>
      <w:ind w:left="-851"/>
    </w:pPr>
    <w:rPr>
      <w:rFonts w:ascii="Arial" w:cs="Arial"/>
      <w:b/>
      <w:sz w:val="48"/>
    </w:rPr>
  </w:style>
  <w:style w:type="paragraph" w:customStyle="1" w:styleId="Normal24a">
    <w:name w:val="Normal24a"/>
    <w:basedOn w:val="Normal"/>
    <w:rsid w:val="001E4331"/>
    <w:pPr>
      <w:spacing w:after="480"/>
    </w:pPr>
  </w:style>
  <w:style w:type="paragraph" w:customStyle="1" w:styleId="NormalBoldCenter">
    <w:name w:val="NormalBoldCenter"/>
    <w:basedOn w:val="Normal"/>
    <w:rsid w:val="001E4331"/>
    <w:pPr>
      <w:jc w:val="center"/>
    </w:pPr>
    <w:rPr>
      <w:b/>
    </w:rPr>
  </w:style>
  <w:style w:type="paragraph" w:customStyle="1" w:styleId="Footprint12b">
    <w:name w:val="Footprint12b"/>
    <w:basedOn w:val="Normal"/>
    <w:rsid w:val="001E4331"/>
    <w:pPr>
      <w:spacing w:before="240"/>
    </w:pPr>
    <w:rPr>
      <w:szCs w:val="24"/>
    </w:rPr>
  </w:style>
  <w:style w:type="paragraph" w:customStyle="1" w:styleId="NormalSingle">
    <w:name w:val="NormalSingle"/>
    <w:basedOn w:val="Normal"/>
    <w:qFormat/>
    <w:rsid w:val="001E4331"/>
    <w:rPr>
      <w:szCs w:val="24"/>
    </w:rPr>
  </w:style>
  <w:style w:type="paragraph" w:customStyle="1" w:styleId="EntPE">
    <w:name w:val="EntPE"/>
    <w:basedOn w:val="Normal12"/>
    <w:rsid w:val="001E4331"/>
    <w:pPr>
      <w:jc w:val="center"/>
    </w:pPr>
    <w:rPr>
      <w:noProof w:val="0"/>
      <w:sz w:val="56"/>
    </w:rPr>
  </w:style>
  <w:style w:type="character" w:styleId="Hyperlink">
    <w:name w:val="Hyperlink"/>
    <w:basedOn w:val="DefaultParagraphFont"/>
    <w:unhideWhenUsed/>
    <w:rsid w:val="001E4331"/>
    <w:rPr>
      <w:color w:val="0563C1" w:themeColor="hyperlink"/>
      <w:u w:val="single"/>
    </w:rPr>
  </w:style>
  <w:style w:type="paragraph" w:styleId="Revision">
    <w:name w:val="Revision"/>
    <w:hidden/>
    <w:uiPriority w:val="99"/>
    <w:semiHidden/>
    <w:rsid w:val="001E4331"/>
    <w:rPr>
      <w:sz w:val="24"/>
      <w:lang w:val="el-GR"/>
    </w:rPr>
  </w:style>
  <w:style w:type="character" w:styleId="CommentReference">
    <w:name w:val="annotation reference"/>
    <w:basedOn w:val="DefaultParagraphFont"/>
    <w:rsid w:val="001E4331"/>
    <w:rPr>
      <w:sz w:val="16"/>
      <w:szCs w:val="16"/>
    </w:rPr>
  </w:style>
  <w:style w:type="paragraph" w:styleId="CommentText">
    <w:name w:val="annotation text"/>
    <w:basedOn w:val="Normal"/>
    <w:link w:val="CommentTextChar"/>
    <w:rsid w:val="001E4331"/>
    <w:rPr>
      <w:sz w:val="20"/>
    </w:rPr>
  </w:style>
  <w:style w:type="character" w:customStyle="1" w:styleId="CommentTextChar">
    <w:name w:val="Comment Text Char"/>
    <w:basedOn w:val="DefaultParagraphFont"/>
    <w:link w:val="CommentText"/>
    <w:rsid w:val="001E4331"/>
    <w:rPr>
      <w:lang w:val="el-GR"/>
    </w:rPr>
  </w:style>
  <w:style w:type="paragraph" w:styleId="CommentSubject">
    <w:name w:val="annotation subject"/>
    <w:basedOn w:val="CommentText"/>
    <w:next w:val="CommentText"/>
    <w:link w:val="CommentSubjectChar"/>
    <w:unhideWhenUsed/>
    <w:rsid w:val="001E4331"/>
    <w:rPr>
      <w:b/>
      <w:bCs/>
    </w:rPr>
  </w:style>
  <w:style w:type="character" w:customStyle="1" w:styleId="CommentSubjectChar">
    <w:name w:val="Comment Subject Char"/>
    <w:basedOn w:val="CommentTextChar"/>
    <w:link w:val="CommentSubject"/>
    <w:rsid w:val="001E4331"/>
    <w:rPr>
      <w:b/>
      <w:bCs/>
      <w:lang w:val="el-GR"/>
    </w:rPr>
  </w:style>
  <w:style w:type="character" w:styleId="UnresolvedMention">
    <w:name w:val="Unresolved Mention"/>
    <w:basedOn w:val="DefaultParagraphFont"/>
    <w:uiPriority w:val="99"/>
    <w:semiHidden/>
    <w:unhideWhenUsed/>
    <w:rsid w:val="001E4331"/>
    <w:rPr>
      <w:color w:val="605E5C"/>
      <w:shd w:val="clear" w:color="auto" w:fill="E1DFDD"/>
    </w:rPr>
  </w:style>
  <w:style w:type="paragraph" w:customStyle="1" w:styleId="RollCallVotes">
    <w:name w:val="RollCallVotes"/>
    <w:basedOn w:val="Normal"/>
    <w:rsid w:val="001E4331"/>
    <w:pPr>
      <w:spacing w:before="120" w:after="120"/>
      <w:jc w:val="center"/>
    </w:pPr>
    <w:rPr>
      <w:b/>
      <w:bCs/>
      <w:snapToGrid w:val="0"/>
      <w:sz w:val="16"/>
      <w:lang w:eastAsia="en-US"/>
    </w:rPr>
  </w:style>
  <w:style w:type="paragraph" w:customStyle="1" w:styleId="RollCallTabs">
    <w:name w:val="RollCallTabs"/>
    <w:basedOn w:val="Normal"/>
    <w:qFormat/>
    <w:rsid w:val="001E4331"/>
    <w:pPr>
      <w:tabs>
        <w:tab w:val="center" w:pos="284"/>
        <w:tab w:val="left" w:pos="426"/>
      </w:tabs>
    </w:pPr>
    <w:rPr>
      <w:snapToGrid w:val="0"/>
      <w:lang w:eastAsia="en-US"/>
    </w:rPr>
  </w:style>
  <w:style w:type="paragraph" w:customStyle="1" w:styleId="RollCallSymbols14pt">
    <w:name w:val="RollCallSymbols14pt"/>
    <w:basedOn w:val="Normal"/>
    <w:rsid w:val="001E4331"/>
    <w:pPr>
      <w:spacing w:before="120" w:after="120"/>
      <w:jc w:val="center"/>
    </w:pPr>
    <w:rPr>
      <w:rFonts w:ascii="Arial" w:hAnsi="Arial"/>
      <w:b/>
      <w:bCs/>
      <w:snapToGrid w:val="0"/>
      <w:sz w:val="28"/>
      <w:lang w:eastAsia="en-US"/>
    </w:rPr>
  </w:style>
  <w:style w:type="paragraph" w:customStyle="1" w:styleId="RollCallTable">
    <w:name w:val="RollCallTable"/>
    <w:basedOn w:val="Normal"/>
    <w:rsid w:val="001E4331"/>
    <w:pPr>
      <w:spacing w:before="120" w:after="120"/>
    </w:pPr>
    <w:rPr>
      <w:snapToGrid w:val="0"/>
      <w:sz w:val="16"/>
      <w:lang w:eastAsia="en-US"/>
    </w:rPr>
  </w:style>
  <w:style w:type="character" w:styleId="FollowedHyperlink">
    <w:name w:val="FollowedHyperlink"/>
    <w:basedOn w:val="DefaultParagraphFont"/>
    <w:unhideWhenUsed/>
    <w:rsid w:val="001E4331"/>
    <w:rPr>
      <w:color w:val="954F72" w:themeColor="followedHyperlink"/>
      <w:u w:val="single"/>
    </w:rPr>
  </w:style>
  <w:style w:type="paragraph" w:customStyle="1" w:styleId="AmDocTypeTab">
    <w:name w:val="AmDocTypeTab"/>
    <w:basedOn w:val="Normal"/>
    <w:rsid w:val="001E2203"/>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260</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2026-06-17T12:40:00Z</dcterms:created>
  <dcterms:modified xsi:type="dcterms:W3CDTF">2026-06-17T12:40:00Z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A10-0161/2026</vt:lpwstr>
  </property>
  <property fmtid="{D5CDD505-2E9C-101B-9397-08002B2CF9AE}" pid="4" name="&lt;Type&gt;">
    <vt:lpwstr>RR</vt:lpwstr>
  </property>
</Properties>
</file>