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32BEC4C2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B33E2A" w:rsidP="0010095E" w14:paraId="299CD597" w14:textId="77777777">
            <w:pPr>
              <w:pStyle w:val="EPName"/>
            </w:pPr>
            <w:r w:rsidRPr="00B33E2A">
              <w:t>Parlamento Europeo</w:t>
            </w:r>
          </w:p>
          <w:p w:rsidR="00751A4A" w:rsidRPr="00B33E2A" w:rsidP="005F1B17" w14:paraId="00BADC4C" w14:textId="7777777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B33E2A">
              <w:t>2024</w:t>
            </w:r>
            <w:r w:rsidRPr="00B33E2A" w:rsidR="00817416">
              <w:t>-202</w:t>
            </w:r>
            <w:r w:rsidRPr="00B33E2A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B33E2A" w:rsidP="0010095E" w14:paraId="1BA20C4E" w14:textId="77777777">
            <w:pPr>
              <w:pStyle w:val="EPLogo"/>
            </w:pPr>
            <w:r w:rsidRPr="00B33E2A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6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B33E2A" w:rsidP="004C5D52" w14:paraId="5B8F2333" w14:textId="77777777">
      <w:pPr>
        <w:pStyle w:val="LineTop"/>
      </w:pPr>
    </w:p>
    <w:p w:rsidR="00680577" w:rsidRPr="00B33E2A" w:rsidP="00680577" w14:paraId="1D46401F" w14:textId="77777777">
      <w:pPr>
        <w:pStyle w:val="EPBodyTA1"/>
      </w:pPr>
      <w:r w:rsidRPr="00B33E2A">
        <w:t>TEXTOS APROBADOS</w:t>
      </w:r>
    </w:p>
    <w:p w:rsidR="00D058B8" w:rsidRPr="00B33E2A" w:rsidP="00D058B8" w14:paraId="2B16A64D" w14:textId="77777777">
      <w:pPr>
        <w:pStyle w:val="LineBottom"/>
      </w:pPr>
    </w:p>
    <w:p w:rsidR="00605351" w:rsidRPr="00B33E2A" w:rsidP="00605351" w14:paraId="1EF6A4ED" w14:textId="3C6B22F3">
      <w:pPr>
        <w:pStyle w:val="ATHeading1"/>
      </w:pPr>
      <w:bookmarkStart w:id="0" w:name="TANumber"/>
      <w:r w:rsidRPr="00B33E2A">
        <w:t>P10_</w:t>
      </w:r>
      <w:r w:rsidRPr="00B33E2A">
        <w:t>TA(</w:t>
      </w:r>
      <w:r w:rsidRPr="00B33E2A">
        <w:t>2026)0</w:t>
      </w:r>
      <w:r w:rsidRPr="00B33E2A" w:rsidR="001B36A5">
        <w:t>211</w:t>
      </w:r>
      <w:bookmarkEnd w:id="0"/>
    </w:p>
    <w:p w:rsidR="00605351" w:rsidRPr="00B33E2A" w:rsidP="00605351" w14:paraId="7721E07A" w14:textId="72D59FEB">
      <w:pPr>
        <w:pStyle w:val="ATHeading2"/>
      </w:pPr>
      <w:r w:rsidRPr="00B33E2A">
        <w:t>Estructura y tipos del impuesto especial que grava el tabaco y los productos relacionados con el tabaco (versión refundida)</w:t>
      </w:r>
    </w:p>
    <w:p w:rsidR="00605351" w:rsidRPr="00B33E2A" w:rsidP="00605351" w14:paraId="69AD93FD" w14:textId="77777777">
      <w:pPr>
        <w:rPr>
          <w:i/>
          <w:vanish/>
        </w:rPr>
      </w:pPr>
      <w:r>
        <w:rPr>
          <w:i/>
        </w:rPr>
        <w:fldChar w:fldCharType="begin"/>
      </w:r>
      <w:r w:rsidRPr="00B33E2A">
        <w:rPr>
          <w:i/>
        </w:rPr>
        <w:instrText xml:space="preserve"> TC"(</w:instrText>
      </w:r>
      <w:bookmarkStart w:id="1" w:name="DocNumber"/>
      <w:r w:rsidRPr="00B33E2A">
        <w:rPr>
          <w:i/>
        </w:rPr>
        <w:instrText>A10-0161/2026</w:instrText>
      </w:r>
      <w:bookmarkEnd w:id="1"/>
      <w:r w:rsidRPr="00B33E2A">
        <w:rPr>
          <w:i/>
        </w:rPr>
        <w:instrText xml:space="preserve"> - Ponente: </w:instrText>
      </w:r>
      <w:r w:rsidRPr="00B33E2A">
        <w:rPr>
          <w:i/>
        </w:rPr>
        <w:instrText>Tomáš</w:instrText>
      </w:r>
      <w:r w:rsidRPr="00B33E2A">
        <w:rPr>
          <w:i/>
        </w:rPr>
        <w:instrText xml:space="preserve"> </w:instrText>
      </w:r>
      <w:r w:rsidRPr="00B33E2A">
        <w:rPr>
          <w:i/>
        </w:rPr>
        <w:instrText>Kubín</w:instrText>
      </w:r>
      <w:r w:rsidRPr="00B33E2A">
        <w:rPr>
          <w:i/>
        </w:rPr>
        <w:instrText xml:space="preserve">)"\l3 \n&gt; \* MERGEFORMAT </w:instrText>
      </w:r>
      <w:r>
        <w:rPr>
          <w:i/>
        </w:rPr>
        <w:fldChar w:fldCharType="end"/>
      </w:r>
    </w:p>
    <w:p w:rsidR="00605351" w:rsidRPr="00B33E2A" w:rsidP="00605351" w14:paraId="431351DD" w14:textId="77777777">
      <w:pPr>
        <w:rPr>
          <w:vanish/>
        </w:rPr>
      </w:pPr>
      <w:bookmarkStart w:id="2" w:name="Commission"/>
      <w:r w:rsidRPr="00B33E2A">
        <w:rPr>
          <w:vanish/>
        </w:rPr>
        <w:t>Comisión de Asuntos Económicos y Monetarios</w:t>
      </w:r>
      <w:bookmarkEnd w:id="2"/>
    </w:p>
    <w:p w:rsidR="00605351" w:rsidRPr="00B33E2A" w:rsidP="00605351" w14:paraId="573855EA" w14:textId="77777777">
      <w:pPr>
        <w:rPr>
          <w:vanish/>
        </w:rPr>
      </w:pPr>
      <w:bookmarkStart w:id="3" w:name="PE"/>
      <w:r w:rsidRPr="00B33E2A">
        <w:rPr>
          <w:vanish/>
        </w:rPr>
        <w:t>PE784.398</w:t>
      </w:r>
      <w:bookmarkEnd w:id="3"/>
    </w:p>
    <w:p w:rsidR="00605351" w:rsidRPr="00B33E2A" w:rsidP="00605351" w14:paraId="2744C88D" w14:textId="5AD69C40">
      <w:pPr>
        <w:pStyle w:val="ATHeading3"/>
      </w:pPr>
      <w:bookmarkStart w:id="4" w:name="Sujet"/>
      <w:r w:rsidRPr="00B33E2A">
        <w:t xml:space="preserve">Resolución legislativa del Parlamento Europeo, de </w:t>
      </w:r>
      <w:r w:rsidRPr="00B33E2A" w:rsidR="00BE2D07">
        <w:t>17</w:t>
      </w:r>
      <w:r w:rsidRPr="00B33E2A">
        <w:t xml:space="preserve"> de junio de 2026, sobre la propuesta de Directiva del Consejo relativa a la estructura y los tipos del impuesto especial que grava el tabaco y los productos relacionados con el tabaco (versión refundida)</w:t>
      </w:r>
      <w:bookmarkEnd w:id="4"/>
      <w:r w:rsidRPr="00B33E2A">
        <w:t xml:space="preserve"> </w:t>
      </w:r>
      <w:bookmarkStart w:id="5" w:name="References"/>
      <w:r w:rsidRPr="00B33E2A">
        <w:t>(</w:t>
      </w:r>
      <w:r w:rsidRPr="00B33E2A">
        <w:t>COM(</w:t>
      </w:r>
      <w:r w:rsidRPr="00B33E2A">
        <w:t>2025)0580 – C10-0207/2025 – 2025/0580(CNS))</w:t>
      </w:r>
      <w:bookmarkEnd w:id="5"/>
    </w:p>
    <w:p w:rsidR="00737DE4" w:rsidRPr="00B33E2A" w:rsidP="00737DE4" w14:paraId="64EC4FC1" w14:textId="77777777">
      <w:pPr>
        <w:pStyle w:val="NormalBold"/>
        <w:widowControl/>
      </w:pPr>
      <w:r w:rsidRPr="00B33E2A">
        <w:t>(Procedimiento legislativo especial – consulta – refundición)</w:t>
      </w:r>
    </w:p>
    <w:p w:rsidR="00737DE4" w:rsidRPr="00B33E2A" w:rsidP="00737DE4" w14:paraId="58BC834B" w14:textId="77777777">
      <w:pPr>
        <w:pStyle w:val="EPComma"/>
        <w:widowControl/>
      </w:pPr>
      <w:r w:rsidRPr="00B33E2A">
        <w:rPr>
          <w:i/>
          <w:iCs/>
        </w:rPr>
        <w:t>El Parlamento Europeo</w:t>
      </w:r>
      <w:r w:rsidRPr="00B33E2A">
        <w:t>,</w:t>
      </w:r>
    </w:p>
    <w:p w:rsidR="00737DE4" w:rsidRPr="00B33E2A" w:rsidP="00737DE4" w14:paraId="5305A877" w14:textId="77777777">
      <w:pPr>
        <w:pStyle w:val="NormalHanging12a"/>
        <w:widowControl/>
      </w:pPr>
      <w:r w:rsidRPr="00B33E2A">
        <w:t>–</w:t>
      </w:r>
      <w:r w:rsidRPr="00B33E2A">
        <w:tab/>
        <w:t>Vista la propuesta de la Comisión al Consejo (</w:t>
      </w:r>
      <w:r w:rsidRPr="00B33E2A">
        <w:t>COM(</w:t>
      </w:r>
      <w:r w:rsidRPr="00B33E2A">
        <w:t>2025)0580),</w:t>
      </w:r>
    </w:p>
    <w:p w:rsidR="00737DE4" w:rsidRPr="00B33E2A" w:rsidP="00737DE4" w14:paraId="1B1CBD5E" w14:textId="77777777">
      <w:pPr>
        <w:pStyle w:val="NormalHanging12a"/>
        <w:widowControl/>
      </w:pPr>
      <w:r w:rsidRPr="00B33E2A">
        <w:t>–</w:t>
      </w:r>
      <w:r w:rsidRPr="00B33E2A">
        <w:tab/>
        <w:t>Visto el artículo 113 del Tratado de Funcionamiento de la Unión Europea, conforme al cual ha sido consultado por el Consejo (C10</w:t>
      </w:r>
      <w:r w:rsidRPr="00B33E2A">
        <w:noBreakHyphen/>
        <w:t>0207/2025),</w:t>
      </w:r>
    </w:p>
    <w:p w:rsidR="00737DE4" w:rsidRPr="00B33E2A" w:rsidP="00737DE4" w14:paraId="38997459" w14:textId="77777777">
      <w:pPr>
        <w:pStyle w:val="NormalHanging12a"/>
        <w:widowControl/>
      </w:pPr>
      <w:r w:rsidRPr="00B33E2A">
        <w:t>–</w:t>
      </w:r>
      <w:r w:rsidRPr="00B33E2A">
        <w:tab/>
        <w:t>Visto el dictamen motivado presentado por la Cámara de Diputados italiana, de conformidad con lo dispuesto en el Protocolo n.º 2 sobre la aplicación de los principios de subsidiariedad y proporcionalidad, en el que se afirma que el proyecto de acto legislativo no respeta el principio de subsidiariedad,</w:t>
      </w:r>
    </w:p>
    <w:p w:rsidR="00737DE4" w:rsidRPr="00B33E2A" w:rsidP="00737DE4" w14:paraId="721152D2" w14:textId="77777777">
      <w:pPr>
        <w:pStyle w:val="NormalHanging12a"/>
        <w:widowControl/>
      </w:pPr>
      <w:r w:rsidRPr="00B33E2A">
        <w:t>–</w:t>
      </w:r>
      <w:r w:rsidRPr="00B33E2A">
        <w:tab/>
        <w:t>Visto el Acuerdo Interinstitucional, de 28 de noviembre de 2001, para un recurso más estructurado a la técnica de la refundición de los actos jurídicos</w:t>
      </w:r>
      <w:r>
        <w:rPr>
          <w:rStyle w:val="FootnoteReference"/>
        </w:rPr>
        <w:footnoteReference w:id="2"/>
      </w:r>
      <w:r w:rsidRPr="00B33E2A">
        <w:t>,</w:t>
      </w:r>
    </w:p>
    <w:p w:rsidR="00737DE4" w:rsidRPr="00B33E2A" w:rsidP="00737DE4" w14:paraId="1DA32FFD" w14:textId="77777777">
      <w:pPr>
        <w:pStyle w:val="NormalHanging12a"/>
        <w:widowControl/>
      </w:pPr>
      <w:r w:rsidRPr="00B33E2A">
        <w:t>–</w:t>
      </w:r>
      <w:r w:rsidRPr="00B33E2A">
        <w:tab/>
        <w:t>Vista la carta dirigida el 11 de diciembre de 2025 por la Comisión de Asuntos Jurídicos a la Comisión de Asuntos Económicos y Monetarios, de conformidad con el artículo 113, apartado 3, de su Reglamento interno,</w:t>
      </w:r>
    </w:p>
    <w:p w:rsidR="00737DE4" w:rsidRPr="00B33E2A" w:rsidP="00737DE4" w14:paraId="1874AD64" w14:textId="77777777">
      <w:pPr>
        <w:pStyle w:val="NormalHanging12a"/>
        <w:widowControl/>
      </w:pPr>
      <w:r w:rsidRPr="00B33E2A">
        <w:t>–</w:t>
      </w:r>
      <w:r w:rsidRPr="00B33E2A">
        <w:tab/>
        <w:t>Vistos los artículos 113 y 84 de su Reglamento interno,</w:t>
      </w:r>
    </w:p>
    <w:p w:rsidR="00737DE4" w:rsidRPr="00B33E2A" w:rsidP="00737DE4" w14:paraId="4F2C9CCF" w14:textId="77777777">
      <w:pPr>
        <w:pStyle w:val="NormalHanging12a"/>
        <w:widowControl/>
      </w:pPr>
      <w:r w:rsidRPr="00B33E2A">
        <w:t>–</w:t>
      </w:r>
      <w:r w:rsidRPr="00B33E2A">
        <w:tab/>
        <w:t>Visto el informe de la Comisión de Asuntos Económicos y Monetarios (A10‑0161/2026),</w:t>
      </w:r>
    </w:p>
    <w:p w:rsidR="00737DE4" w:rsidRPr="00B33E2A" w:rsidP="00737DE4" w14:paraId="7BEE7D6B" w14:textId="1BD8C61A">
      <w:pPr>
        <w:pStyle w:val="NormalHanging12a"/>
        <w:widowControl/>
      </w:pPr>
      <w:r w:rsidRPr="00B33E2A">
        <w:t>1.</w:t>
      </w:r>
      <w:r w:rsidRPr="00B33E2A">
        <w:tab/>
      </w:r>
      <w:r w:rsidRPr="00B33E2A" w:rsidR="001A77A7">
        <w:t xml:space="preserve">Rechaza </w:t>
      </w:r>
      <w:r w:rsidRPr="00B33E2A">
        <w:t>la propuesta de la Comisión;</w:t>
      </w:r>
    </w:p>
    <w:p w:rsidR="00737DE4" w:rsidRPr="00B33E2A" w:rsidP="00737DE4" w14:paraId="074E7DC4" w14:textId="6634A304">
      <w:pPr>
        <w:pStyle w:val="NormalHanging12a"/>
        <w:widowControl/>
      </w:pPr>
      <w:r w:rsidRPr="00B33E2A">
        <w:t>2.</w:t>
      </w:r>
      <w:r w:rsidRPr="00B33E2A">
        <w:tab/>
        <w:t xml:space="preserve">Pide a la Comisión </w:t>
      </w:r>
      <w:r w:rsidRPr="00B33E2A" w:rsidR="001A77A7">
        <w:t>que retire su propuesta</w:t>
      </w:r>
      <w:r w:rsidRPr="00B33E2A">
        <w:t>;</w:t>
      </w:r>
    </w:p>
    <w:p w:rsidR="00E365E1" w:rsidRPr="00B33E2A" w:rsidP="00B33E2A" w14:paraId="7883F5EA" w14:textId="765473F6">
      <w:pPr>
        <w:ind w:left="567" w:hanging="567"/>
      </w:pPr>
      <w:r w:rsidRPr="00B33E2A">
        <w:t>3</w:t>
      </w:r>
      <w:r w:rsidRPr="00B33E2A" w:rsidR="00737DE4">
        <w:t>.</w:t>
      </w:r>
      <w:r w:rsidRPr="00B33E2A" w:rsidR="00737DE4">
        <w:tab/>
        <w:t>Encarga a su presidenta que transmita la Posición del Parlamento al Consejo y a la Comisión, así como a los Parlamentos nacionales.</w:t>
      </w:r>
    </w:p>
    <w:sectPr w:rsidSect="0058293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582939" w14:paraId="69E86D96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582939" w14:paraId="4C403ACE" w14:textId="7777777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582939" w14:paraId="013E8654" w14:textId="7777777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605351" w:rsidRPr="00582939" w14:paraId="07DA5F27" w14:textId="77777777">
      <w:r w:rsidRPr="00582939">
        <w:separator/>
      </w:r>
    </w:p>
  </w:footnote>
  <w:footnote w:type="continuationSeparator" w:id="1">
    <w:p w:rsidR="00605351" w:rsidRPr="00582939" w14:paraId="73ABB22A" w14:textId="77777777">
      <w:r w:rsidRPr="00582939">
        <w:continuationSeparator/>
      </w:r>
    </w:p>
  </w:footnote>
  <w:footnote w:id="2">
    <w:p w:rsidR="00737DE4" w:rsidRPr="00582939" w:rsidP="00582939" w14:paraId="41117AA4" w14:textId="2A1F3BB6">
      <w:pPr>
        <w:pStyle w:val="FootnoteText"/>
        <w:ind w:left="567" w:hanging="567"/>
        <w:rPr>
          <w:sz w:val="24"/>
          <w:lang w:val="es-ES_tradnl"/>
        </w:rPr>
      </w:pPr>
      <w:r w:rsidRPr="00582939">
        <w:rPr>
          <w:rStyle w:val="FootnoteReference"/>
          <w:sz w:val="24"/>
          <w:lang w:val="es-ES_tradnl"/>
        </w:rPr>
        <w:footnoteRef/>
      </w:r>
      <w:r w:rsidRPr="00582939" w:rsidR="00582939">
        <w:rPr>
          <w:sz w:val="24"/>
          <w:lang w:val="es-ES_tradnl"/>
        </w:rPr>
        <w:t xml:space="preserve"> </w:t>
      </w:r>
      <w:r w:rsidRPr="00582939" w:rsidR="00582939">
        <w:rPr>
          <w:sz w:val="24"/>
          <w:lang w:val="es-ES_tradnl"/>
        </w:rPr>
        <w:tab/>
      </w:r>
      <w:r w:rsidRPr="00582939">
        <w:rPr>
          <w:sz w:val="24"/>
          <w:lang w:val="es-ES_tradnl"/>
        </w:rPr>
        <w:t>DO C 77 de 28.3.2002, p. 1.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582939" w14:paraId="4155AD27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582939" w14:paraId="57DCD66A" w14:textId="7777777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582939" w14:paraId="058FAC6C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169760367">
    <w:abstractNumId w:val="9"/>
  </w:num>
  <w:num w:numId="2" w16cid:durableId="644965402">
    <w:abstractNumId w:val="9"/>
  </w:num>
  <w:num w:numId="3" w16cid:durableId="1464496017">
    <w:abstractNumId w:val="7"/>
  </w:num>
  <w:num w:numId="4" w16cid:durableId="451049601">
    <w:abstractNumId w:val="7"/>
  </w:num>
  <w:num w:numId="5" w16cid:durableId="397826627">
    <w:abstractNumId w:val="6"/>
  </w:num>
  <w:num w:numId="6" w16cid:durableId="1271887854">
    <w:abstractNumId w:val="6"/>
  </w:num>
  <w:num w:numId="7" w16cid:durableId="1284117174">
    <w:abstractNumId w:val="5"/>
  </w:num>
  <w:num w:numId="8" w16cid:durableId="748843628">
    <w:abstractNumId w:val="5"/>
  </w:num>
  <w:num w:numId="9" w16cid:durableId="1950045190">
    <w:abstractNumId w:val="4"/>
  </w:num>
  <w:num w:numId="10" w16cid:durableId="785779323">
    <w:abstractNumId w:val="4"/>
  </w:num>
  <w:num w:numId="11" w16cid:durableId="2136213635">
    <w:abstractNumId w:val="8"/>
  </w:num>
  <w:num w:numId="12" w16cid:durableId="1912543511">
    <w:abstractNumId w:val="8"/>
  </w:num>
  <w:num w:numId="13" w16cid:durableId="879512533">
    <w:abstractNumId w:val="3"/>
  </w:num>
  <w:num w:numId="14" w16cid:durableId="1600791491">
    <w:abstractNumId w:val="3"/>
  </w:num>
  <w:num w:numId="15" w16cid:durableId="540094235">
    <w:abstractNumId w:val="2"/>
  </w:num>
  <w:num w:numId="16" w16cid:durableId="997347194">
    <w:abstractNumId w:val="2"/>
  </w:num>
  <w:num w:numId="17" w16cid:durableId="1879510760">
    <w:abstractNumId w:val="1"/>
  </w:num>
  <w:num w:numId="18" w16cid:durableId="1354499200">
    <w:abstractNumId w:val="1"/>
  </w:num>
  <w:num w:numId="19" w16cid:durableId="321082922">
    <w:abstractNumId w:val="0"/>
  </w:num>
  <w:num w:numId="20" w16cid:durableId="1036321390">
    <w:abstractNumId w:val="0"/>
  </w:num>
  <w:num w:numId="21" w16cid:durableId="272790267">
    <w:abstractNumId w:val="9"/>
  </w:num>
  <w:num w:numId="22" w16cid:durableId="833451721">
    <w:abstractNumId w:val="7"/>
  </w:num>
  <w:num w:numId="23" w16cid:durableId="958726986">
    <w:abstractNumId w:val="6"/>
  </w:num>
  <w:num w:numId="24" w16cid:durableId="1434936231">
    <w:abstractNumId w:val="5"/>
  </w:num>
  <w:num w:numId="25" w16cid:durableId="1525552256">
    <w:abstractNumId w:val="4"/>
  </w:num>
  <w:num w:numId="26" w16cid:durableId="1561286386">
    <w:abstractNumId w:val="8"/>
  </w:num>
  <w:num w:numId="27" w16cid:durableId="1363826276">
    <w:abstractNumId w:val="3"/>
  </w:num>
  <w:num w:numId="28" w16cid:durableId="1919292476">
    <w:abstractNumId w:val="2"/>
  </w:num>
  <w:num w:numId="29" w16cid:durableId="1893690235">
    <w:abstractNumId w:val="1"/>
  </w:num>
  <w:num w:numId="30" w16cid:durableId="1530339821">
    <w:abstractNumId w:val="0"/>
  </w:num>
  <w:num w:numId="31" w16cid:durableId="2029479576">
    <w:abstractNumId w:val="9"/>
  </w:num>
  <w:num w:numId="32" w16cid:durableId="173959040">
    <w:abstractNumId w:val="7"/>
  </w:num>
  <w:num w:numId="33" w16cid:durableId="407848759">
    <w:abstractNumId w:val="6"/>
  </w:num>
  <w:num w:numId="34" w16cid:durableId="563875815">
    <w:abstractNumId w:val="5"/>
  </w:num>
  <w:num w:numId="35" w16cid:durableId="1626502668">
    <w:abstractNumId w:val="4"/>
  </w:num>
  <w:num w:numId="36" w16cid:durableId="917709205">
    <w:abstractNumId w:val="8"/>
  </w:num>
  <w:num w:numId="37" w16cid:durableId="1686125604">
    <w:abstractNumId w:val="3"/>
  </w:num>
  <w:num w:numId="38" w16cid:durableId="1715735712">
    <w:abstractNumId w:val="2"/>
  </w:num>
  <w:num w:numId="39" w16cid:durableId="626547800">
    <w:abstractNumId w:val="1"/>
  </w:num>
  <w:num w:numId="40" w16cid:durableId="1793137252">
    <w:abstractNumId w:val="0"/>
  </w:num>
  <w:num w:numId="41" w16cid:durableId="59714247">
    <w:abstractNumId w:val="10"/>
  </w:num>
  <w:num w:numId="42" w16cid:durableId="1528064743">
    <w:abstractNumId w:val="10"/>
  </w:num>
  <w:num w:numId="43" w16cid:durableId="1113936406">
    <w:abstractNumId w:val="10"/>
  </w:num>
  <w:num w:numId="44" w16cid:durableId="203884408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mirrorMargins/>
  <w:bordersDoNotSurroundHeader/>
  <w:bordersDoNotSurroundFooter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0"/>
    <w:footnote w:id="1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5351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A77A7"/>
    <w:rsid w:val="001B36A5"/>
    <w:rsid w:val="001F32AE"/>
    <w:rsid w:val="002767FF"/>
    <w:rsid w:val="002B18FE"/>
    <w:rsid w:val="002B5493"/>
    <w:rsid w:val="002D3C88"/>
    <w:rsid w:val="00343214"/>
    <w:rsid w:val="00361C00"/>
    <w:rsid w:val="00395FA1"/>
    <w:rsid w:val="003D673E"/>
    <w:rsid w:val="003E15D4"/>
    <w:rsid w:val="00411CCE"/>
    <w:rsid w:val="0041666E"/>
    <w:rsid w:val="00421060"/>
    <w:rsid w:val="004213C1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82939"/>
    <w:rsid w:val="005A20BE"/>
    <w:rsid w:val="005A704C"/>
    <w:rsid w:val="005C2568"/>
    <w:rsid w:val="005F1B17"/>
    <w:rsid w:val="006037C0"/>
    <w:rsid w:val="00605351"/>
    <w:rsid w:val="006631B6"/>
    <w:rsid w:val="00680577"/>
    <w:rsid w:val="006F74FA"/>
    <w:rsid w:val="00731ADD"/>
    <w:rsid w:val="00734777"/>
    <w:rsid w:val="00737DE4"/>
    <w:rsid w:val="00747932"/>
    <w:rsid w:val="00751A4A"/>
    <w:rsid w:val="00756632"/>
    <w:rsid w:val="00762C74"/>
    <w:rsid w:val="00786EC0"/>
    <w:rsid w:val="007D1690"/>
    <w:rsid w:val="007E22AD"/>
    <w:rsid w:val="007E49F5"/>
    <w:rsid w:val="00817416"/>
    <w:rsid w:val="00842779"/>
    <w:rsid w:val="008502A0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B0B1A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33E2A"/>
    <w:rsid w:val="00B558F0"/>
    <w:rsid w:val="00BD48FE"/>
    <w:rsid w:val="00BD7BD8"/>
    <w:rsid w:val="00BE2D07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724B6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6C79"/>
    <w:rsid w:val="00F075DC"/>
    <w:rsid w:val="00F149E9"/>
    <w:rsid w:val="00F5134D"/>
    <w:rsid w:val="00F74202"/>
    <w:rsid w:val="00F87713"/>
    <w:rsid w:val="00FB4360"/>
    <w:rsid w:val="00FD0C70"/>
  </w:rsids>
  <w:docVars>
    <w:docVar w:name="dvdocse" w:val="A10-0161/2026"/>
    <w:docVar w:name="dvlangue" w:val="ES"/>
    <w:docVar w:name="dvnumam" w:val="87"/>
    <w:docVar w:name="dvpe" w:val="784.398"/>
    <w:docVar w:name="dvrapporteur" w:val="Ponente: "/>
    <w:docVar w:name="dvstar" w:val="*"/>
    <w:docVar w:name="dvtitre" w:val="Resolución legislativa del Parlamento Europeo, de x de junio de 2026, sobre la propuesta de Directiva del Consejo relativa a la estructura y los tipos del impuesto especial que grava el tabaco y los productos relacionados con el tabaco (versión refundida)(COM(2025)0580 – C10-0207/2025 – 2025/0580(CNS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11FFE72D"/>
  <w15:chartTrackingRefBased/>
  <w15:docId w15:val="{328D1FD9-25E5-4967-986B-C7592B017B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footnote text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es-ES_tradnl"/>
    </w:rPr>
  </w:style>
  <w:style w:type="paragraph" w:styleId="Heading1">
    <w:name w:val="heading 1"/>
    <w:basedOn w:val="Normal"/>
    <w:next w:val="Normal"/>
    <w:link w:val="Heading1Char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qFormat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rsid w:val="00737DE4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semiHidden/>
    <w:rsid w:val="00737DE4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semiHidden/>
    <w:rsid w:val="00737DE4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semiHidden/>
    <w:rsid w:val="00737DE4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semiHidden/>
    <w:rsid w:val="00737DE4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semiHidden/>
    <w:rsid w:val="00737DE4"/>
    <w:rPr>
      <w:i/>
      <w:sz w:val="22"/>
      <w:lang w:val="es-ES_tradnl"/>
    </w:rPr>
  </w:style>
  <w:style w:type="character" w:customStyle="1" w:styleId="Heading7Char">
    <w:name w:val="Heading 7 Char"/>
    <w:basedOn w:val="DefaultParagraphFont"/>
    <w:link w:val="Heading7"/>
    <w:semiHidden/>
    <w:rsid w:val="00737DE4"/>
    <w:rPr>
      <w:rFonts w:ascii="Arial" w:hAnsi="Arial"/>
      <w:sz w:val="24"/>
      <w:lang w:val="es-ES_tradnl"/>
    </w:rPr>
  </w:style>
  <w:style w:type="character" w:customStyle="1" w:styleId="Heading8Char">
    <w:name w:val="Heading 8 Char"/>
    <w:basedOn w:val="DefaultParagraphFont"/>
    <w:link w:val="Heading8"/>
    <w:semiHidden/>
    <w:rsid w:val="00737DE4"/>
    <w:rPr>
      <w:rFonts w:ascii="Arial" w:hAnsi="Arial"/>
      <w:i/>
      <w:sz w:val="24"/>
      <w:lang w:val="es-ES_tradnl"/>
    </w:rPr>
  </w:style>
  <w:style w:type="character" w:customStyle="1" w:styleId="Heading9Char">
    <w:name w:val="Heading 9 Char"/>
    <w:basedOn w:val="DefaultParagraphFont"/>
    <w:link w:val="Heading9"/>
    <w:semiHidden/>
    <w:rsid w:val="00737DE4"/>
    <w:rPr>
      <w:rFonts w:ascii="Arial" w:hAnsi="Arial"/>
      <w:b/>
      <w:i/>
      <w:sz w:val="18"/>
      <w:lang w:val="es-ES_tradnl"/>
    </w:rPr>
  </w:style>
  <w:style w:type="paragraph" w:styleId="TOCHeading">
    <w:name w:val="TOC Heading"/>
    <w:basedOn w:val="Normal"/>
    <w:next w:val="Normal"/>
    <w:unhideWhenUsed/>
    <w:qFormat/>
    <w:rsid w:val="00737DE4"/>
    <w:pPr>
      <w:widowControl/>
      <w:spacing w:after="240"/>
    </w:pPr>
    <w:rPr>
      <w:lang w:val="en-GB"/>
    </w:rPr>
  </w:style>
  <w:style w:type="paragraph" w:customStyle="1" w:styleId="PageHeading">
    <w:name w:val="PageHeading"/>
    <w:basedOn w:val="Normal"/>
    <w:rsid w:val="00737DE4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EPFooter2">
    <w:name w:val="EPFooter2"/>
    <w:basedOn w:val="Normal"/>
    <w:next w:val="Normal"/>
    <w:rsid w:val="00737DE4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Normal12a">
    <w:name w:val="Normal12a"/>
    <w:basedOn w:val="Normal"/>
    <w:rsid w:val="00737DE4"/>
    <w:pPr>
      <w:spacing w:after="240"/>
    </w:pPr>
  </w:style>
  <w:style w:type="paragraph" w:customStyle="1" w:styleId="TOCPage">
    <w:name w:val="TOC Page"/>
    <w:basedOn w:val="Normal"/>
    <w:next w:val="TOC1"/>
    <w:rsid w:val="00737DE4"/>
    <w:pPr>
      <w:keepNext/>
      <w:spacing w:after="240"/>
      <w:jc w:val="right"/>
    </w:pPr>
    <w:rPr>
      <w:rFonts w:ascii="Arial" w:hAnsi="Arial"/>
      <w:b/>
    </w:rPr>
  </w:style>
  <w:style w:type="paragraph" w:customStyle="1" w:styleId="NormalBold12a">
    <w:name w:val="NormalBold12a"/>
    <w:basedOn w:val="Normal"/>
    <w:rsid w:val="00737DE4"/>
    <w:pPr>
      <w:spacing w:after="240"/>
    </w:pPr>
    <w:rPr>
      <w:b/>
    </w:rPr>
  </w:style>
  <w:style w:type="paragraph" w:customStyle="1" w:styleId="NormalHanging12a">
    <w:name w:val="NormalHanging12a"/>
    <w:basedOn w:val="Normal"/>
    <w:rsid w:val="00737DE4"/>
    <w:pPr>
      <w:spacing w:after="240"/>
      <w:ind w:left="567" w:hanging="567"/>
    </w:pPr>
  </w:style>
  <w:style w:type="paragraph" w:customStyle="1" w:styleId="Normal6a">
    <w:name w:val="Normal6a"/>
    <w:basedOn w:val="Normal"/>
    <w:rsid w:val="00737DE4"/>
    <w:pPr>
      <w:spacing w:after="120"/>
    </w:pPr>
  </w:style>
  <w:style w:type="paragraph" w:customStyle="1" w:styleId="CoverNormal24a">
    <w:name w:val="CoverNormal24a"/>
    <w:basedOn w:val="Normal"/>
    <w:rsid w:val="00737DE4"/>
    <w:pPr>
      <w:spacing w:after="480"/>
      <w:ind w:left="1417"/>
    </w:pPr>
  </w:style>
  <w:style w:type="paragraph" w:customStyle="1" w:styleId="CoverNormal">
    <w:name w:val="CoverNormal"/>
    <w:basedOn w:val="Normal"/>
    <w:rsid w:val="00737DE4"/>
    <w:pPr>
      <w:ind w:left="1418"/>
    </w:pPr>
  </w:style>
  <w:style w:type="paragraph" w:customStyle="1" w:styleId="CoverReference">
    <w:name w:val="CoverReference"/>
    <w:basedOn w:val="Normal"/>
    <w:rsid w:val="00737DE4"/>
    <w:pPr>
      <w:spacing w:before="1080"/>
      <w:jc w:val="right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737DE4"/>
    <w:rPr>
      <w:b/>
    </w:rPr>
  </w:style>
  <w:style w:type="character" w:customStyle="1" w:styleId="NormalBoldChar">
    <w:name w:val="NormalBold Char"/>
    <w:basedOn w:val="DefaultParagraphFont"/>
    <w:link w:val="NormalBold"/>
    <w:locked/>
    <w:rsid w:val="00737DE4"/>
    <w:rPr>
      <w:b/>
      <w:sz w:val="24"/>
      <w:lang w:val="es-ES_tradnl"/>
    </w:rPr>
  </w:style>
  <w:style w:type="paragraph" w:customStyle="1" w:styleId="CoverDocType">
    <w:name w:val="CoverDocType"/>
    <w:basedOn w:val="Normal"/>
    <w:rsid w:val="00737DE4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737DE4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737DE4"/>
    <w:pPr>
      <w:spacing w:before="240" w:after="1200"/>
    </w:pPr>
  </w:style>
  <w:style w:type="paragraph" w:styleId="Header">
    <w:name w:val="header"/>
    <w:basedOn w:val="Normal"/>
    <w:link w:val="HeaderChar"/>
    <w:rsid w:val="00737DE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737DE4"/>
    <w:rPr>
      <w:sz w:val="24"/>
      <w:lang w:val="es-ES_tradnl"/>
    </w:rPr>
  </w:style>
  <w:style w:type="paragraph" w:customStyle="1" w:styleId="AnnexWPLogo">
    <w:name w:val="AnnexWPLogo"/>
    <w:basedOn w:val="Normal"/>
    <w:rsid w:val="00737DE4"/>
    <w:pPr>
      <w:spacing w:before="120" w:after="120"/>
    </w:pPr>
  </w:style>
  <w:style w:type="paragraph" w:customStyle="1" w:styleId="AnnexWPTabs">
    <w:name w:val="AnnexWPTabs"/>
    <w:basedOn w:val="Normal"/>
    <w:rsid w:val="00737DE4"/>
    <w:pPr>
      <w:tabs>
        <w:tab w:val="right" w:pos="3686"/>
        <w:tab w:val="left" w:pos="3827"/>
      </w:tabs>
    </w:pPr>
    <w:rPr>
      <w:b/>
    </w:rPr>
  </w:style>
  <w:style w:type="paragraph" w:customStyle="1" w:styleId="AnnexWPDate">
    <w:name w:val="AnnexWPDate"/>
    <w:basedOn w:val="Normal"/>
    <w:rsid w:val="00737DE4"/>
    <w:pPr>
      <w:spacing w:before="240" w:after="480"/>
      <w:jc w:val="right"/>
    </w:pPr>
  </w:style>
  <w:style w:type="paragraph" w:customStyle="1" w:styleId="AnnexWPSmall">
    <w:name w:val="AnnexWPSmall"/>
    <w:basedOn w:val="Normal"/>
    <w:rsid w:val="00737DE4"/>
    <w:rPr>
      <w:smallCaps/>
      <w:sz w:val="20"/>
    </w:rPr>
  </w:style>
  <w:style w:type="paragraph" w:customStyle="1" w:styleId="AnnexWPDocType">
    <w:name w:val="AnnexWPDocType"/>
    <w:basedOn w:val="Normal"/>
    <w:rsid w:val="00737DE4"/>
    <w:pPr>
      <w:spacing w:after="240"/>
      <w:jc w:val="center"/>
    </w:pPr>
    <w:rPr>
      <w:b/>
    </w:rPr>
  </w:style>
  <w:style w:type="paragraph" w:customStyle="1" w:styleId="AnnexWPTitle">
    <w:name w:val="AnnexWPTitle"/>
    <w:basedOn w:val="Normal"/>
    <w:rsid w:val="00737DE4"/>
    <w:pPr>
      <w:spacing w:before="480"/>
    </w:pPr>
    <w:rPr>
      <w:b/>
    </w:rPr>
  </w:style>
  <w:style w:type="paragraph" w:customStyle="1" w:styleId="AmJustText">
    <w:name w:val="AmJustText"/>
    <w:basedOn w:val="Normal"/>
    <w:rsid w:val="00737DE4"/>
    <w:pPr>
      <w:spacing w:after="240"/>
    </w:pPr>
    <w:rPr>
      <w:i/>
    </w:rPr>
  </w:style>
  <w:style w:type="paragraph" w:customStyle="1" w:styleId="AmCrossRef">
    <w:name w:val="AmCrossRef"/>
    <w:basedOn w:val="Normal"/>
    <w:rsid w:val="00737DE4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737DE4"/>
    <w:pPr>
      <w:keepNext/>
      <w:spacing w:before="240" w:after="240"/>
      <w:jc w:val="center"/>
    </w:pPr>
    <w:rPr>
      <w:i/>
    </w:rPr>
  </w:style>
  <w:style w:type="paragraph" w:customStyle="1" w:styleId="AmOrLang">
    <w:name w:val="AmOrLang"/>
    <w:basedOn w:val="Normal"/>
    <w:rsid w:val="00737DE4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737DE4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737DE4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737DE4"/>
    <w:pPr>
      <w:spacing w:before="240"/>
    </w:pPr>
    <w:rPr>
      <w:b/>
    </w:rPr>
  </w:style>
  <w:style w:type="paragraph" w:customStyle="1" w:styleId="EPBody">
    <w:name w:val="EPBody"/>
    <w:basedOn w:val="Normal"/>
    <w:rsid w:val="00737DE4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737DE4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737DE4"/>
    <w:pPr>
      <w:spacing w:before="480" w:after="240"/>
    </w:pPr>
  </w:style>
  <w:style w:type="paragraph" w:customStyle="1" w:styleId="Lgendesigne">
    <w:name w:val="Légende signe"/>
    <w:basedOn w:val="Normal"/>
    <w:rsid w:val="00737DE4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737DE4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737DE4"/>
    <w:rPr>
      <w:sz w:val="18"/>
    </w:rPr>
  </w:style>
  <w:style w:type="paragraph" w:styleId="Footer">
    <w:name w:val="footer"/>
    <w:basedOn w:val="Normal"/>
    <w:link w:val="FooterChar"/>
    <w:rsid w:val="00737DE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737DE4"/>
    <w:rPr>
      <w:sz w:val="24"/>
      <w:lang w:val="es-ES_tradnl"/>
    </w:rPr>
  </w:style>
  <w:style w:type="paragraph" w:customStyle="1" w:styleId="LetterSalutation">
    <w:name w:val="LetterSalutation"/>
    <w:basedOn w:val="Normal"/>
    <w:rsid w:val="00737DE4"/>
    <w:pPr>
      <w:spacing w:before="600" w:after="360"/>
    </w:pPr>
  </w:style>
  <w:style w:type="paragraph" w:customStyle="1" w:styleId="LetterSubject">
    <w:name w:val="LetterSubject"/>
    <w:basedOn w:val="Normal"/>
    <w:rsid w:val="00737DE4"/>
    <w:pPr>
      <w:spacing w:before="480"/>
      <w:ind w:left="1134" w:hanging="1134"/>
    </w:pPr>
  </w:style>
  <w:style w:type="paragraph" w:customStyle="1" w:styleId="LetterSignature66b">
    <w:name w:val="LetterSignature66b"/>
    <w:basedOn w:val="Normal"/>
    <w:next w:val="Normal"/>
    <w:rsid w:val="00737DE4"/>
    <w:pPr>
      <w:spacing w:before="1320"/>
    </w:pPr>
  </w:style>
  <w:style w:type="paragraph" w:customStyle="1" w:styleId="msonormal">
    <w:name w:val="msonormal"/>
    <w:basedOn w:val="Normal"/>
    <w:rsid w:val="00737DE4"/>
    <w:pPr>
      <w:widowControl/>
      <w:spacing w:before="100" w:beforeAutospacing="1" w:after="100" w:afterAutospacing="1"/>
    </w:pPr>
    <w:rPr>
      <w:szCs w:val="24"/>
    </w:rPr>
  </w:style>
  <w:style w:type="paragraph" w:styleId="BalloonText">
    <w:name w:val="Balloon Text"/>
    <w:basedOn w:val="Normal"/>
    <w:link w:val="BalloonTextChar"/>
    <w:unhideWhenUsed/>
    <w:rsid w:val="00737DE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737DE4"/>
    <w:rPr>
      <w:rFonts w:ascii="Segoe UI" w:hAnsi="Segoe UI" w:cs="Segoe UI"/>
      <w:sz w:val="18"/>
      <w:szCs w:val="18"/>
      <w:lang w:val="es-ES_tradnl"/>
    </w:rPr>
  </w:style>
  <w:style w:type="paragraph" w:customStyle="1" w:styleId="AMNumberTabs0">
    <w:name w:val="AMNumberTabs"/>
    <w:basedOn w:val="Normal"/>
    <w:rsid w:val="00737DE4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  <w:lang w:val="es-ES"/>
    </w:rPr>
  </w:style>
  <w:style w:type="paragraph" w:customStyle="1" w:styleId="NormalLeft">
    <w:name w:val="Normal Left"/>
    <w:basedOn w:val="Normal"/>
    <w:rsid w:val="00737DE4"/>
    <w:pPr>
      <w:widowControl/>
      <w:spacing w:before="120" w:after="120"/>
    </w:pPr>
    <w:rPr>
      <w:rFonts w:eastAsia="Calibri"/>
      <w:szCs w:val="22"/>
      <w:lang w:eastAsia="en-US"/>
    </w:rPr>
  </w:style>
  <w:style w:type="character" w:customStyle="1" w:styleId="Normal12Char">
    <w:name w:val="Normal12 Char"/>
    <w:basedOn w:val="DefaultParagraphFont"/>
    <w:link w:val="Normal12"/>
    <w:locked/>
    <w:rsid w:val="00737DE4"/>
    <w:rPr>
      <w:noProof/>
      <w:sz w:val="24"/>
    </w:rPr>
  </w:style>
  <w:style w:type="paragraph" w:customStyle="1" w:styleId="Normal12">
    <w:name w:val="Normal12"/>
    <w:basedOn w:val="Normal"/>
    <w:link w:val="Normal12Char"/>
    <w:rsid w:val="00737DE4"/>
    <w:pPr>
      <w:spacing w:after="240"/>
    </w:pPr>
    <w:rPr>
      <w:noProof/>
      <w:lang w:val="en-GB"/>
    </w:rPr>
  </w:style>
  <w:style w:type="paragraph" w:customStyle="1" w:styleId="CommitteeAM">
    <w:name w:val="CommitteeAM"/>
    <w:basedOn w:val="Normal"/>
    <w:rsid w:val="00737DE4"/>
    <w:pPr>
      <w:spacing w:before="240" w:after="600"/>
      <w:jc w:val="center"/>
    </w:pPr>
    <w:rPr>
      <w:i/>
    </w:rPr>
  </w:style>
  <w:style w:type="paragraph" w:customStyle="1" w:styleId="ZDateAM">
    <w:name w:val="ZDateAM"/>
    <w:basedOn w:val="Normal"/>
    <w:rsid w:val="00737DE4"/>
    <w:pPr>
      <w:tabs>
        <w:tab w:val="right" w:pos="9356"/>
      </w:tabs>
      <w:spacing w:after="480"/>
    </w:pPr>
    <w:rPr>
      <w:noProof/>
    </w:rPr>
  </w:style>
  <w:style w:type="paragraph" w:customStyle="1" w:styleId="ProjRap">
    <w:name w:val="ProjRap"/>
    <w:basedOn w:val="Normal"/>
    <w:rsid w:val="00737DE4"/>
    <w:pPr>
      <w:tabs>
        <w:tab w:val="right" w:pos="9356"/>
      </w:tabs>
    </w:pPr>
    <w:rPr>
      <w:b/>
      <w:noProof/>
    </w:rPr>
  </w:style>
  <w:style w:type="paragraph" w:customStyle="1" w:styleId="PELeft">
    <w:name w:val="PELeft"/>
    <w:basedOn w:val="Normal"/>
    <w:rsid w:val="00737DE4"/>
    <w:pPr>
      <w:spacing w:before="40" w:after="40"/>
    </w:pPr>
    <w:rPr>
      <w:rFonts w:ascii="Arial" w:hAnsi="Arial" w:cs="Arial"/>
      <w:sz w:val="22"/>
      <w:szCs w:val="22"/>
      <w:lang w:val="es-ES"/>
    </w:rPr>
  </w:style>
  <w:style w:type="paragraph" w:customStyle="1" w:styleId="PERight">
    <w:name w:val="PERight"/>
    <w:basedOn w:val="Normal"/>
    <w:next w:val="Normal"/>
    <w:rsid w:val="00737DE4"/>
    <w:pPr>
      <w:jc w:val="right"/>
    </w:pPr>
    <w:rPr>
      <w:rFonts w:ascii="Arial" w:hAnsi="Arial" w:cs="Arial"/>
      <w:sz w:val="22"/>
      <w:szCs w:val="22"/>
      <w:lang w:val="es-ES"/>
    </w:rPr>
  </w:style>
  <w:style w:type="character" w:customStyle="1" w:styleId="Normal6Char">
    <w:name w:val="Normal6 Char"/>
    <w:basedOn w:val="DefaultParagraphFont"/>
    <w:link w:val="Normal6"/>
    <w:locked/>
    <w:rsid w:val="00737DE4"/>
    <w:rPr>
      <w:sz w:val="24"/>
      <w:lang w:val="es-ES"/>
    </w:rPr>
  </w:style>
  <w:style w:type="paragraph" w:customStyle="1" w:styleId="Normal6">
    <w:name w:val="Normal6"/>
    <w:basedOn w:val="Normal"/>
    <w:link w:val="Normal6Char"/>
    <w:rsid w:val="00737DE4"/>
    <w:pPr>
      <w:spacing w:after="120"/>
    </w:pPr>
    <w:rPr>
      <w:lang w:val="es-ES"/>
    </w:rPr>
  </w:style>
  <w:style w:type="paragraph" w:customStyle="1" w:styleId="Normal12Italic">
    <w:name w:val="Normal12Italic"/>
    <w:basedOn w:val="Normal12"/>
    <w:rsid w:val="00737DE4"/>
    <w:rPr>
      <w:i/>
      <w:lang w:val="es-ES"/>
    </w:rPr>
  </w:style>
  <w:style w:type="paragraph" w:customStyle="1" w:styleId="JustificationTitle">
    <w:name w:val="JustificationTitle"/>
    <w:basedOn w:val="Normal"/>
    <w:next w:val="Normal12"/>
    <w:rsid w:val="00737DE4"/>
    <w:pPr>
      <w:keepNext/>
      <w:spacing w:before="240" w:after="240"/>
      <w:jc w:val="center"/>
    </w:pPr>
    <w:rPr>
      <w:i/>
      <w:noProof/>
      <w:lang w:val="es-ES"/>
    </w:rPr>
  </w:style>
  <w:style w:type="paragraph" w:customStyle="1" w:styleId="Olang">
    <w:name w:val="Olang"/>
    <w:basedOn w:val="Normal"/>
    <w:rsid w:val="00737DE4"/>
    <w:pPr>
      <w:spacing w:before="240" w:after="240"/>
      <w:jc w:val="right"/>
    </w:pPr>
    <w:rPr>
      <w:noProof/>
      <w:szCs w:val="24"/>
      <w:lang w:val="es-ES"/>
    </w:rPr>
  </w:style>
  <w:style w:type="paragraph" w:customStyle="1" w:styleId="ColumnHeading">
    <w:name w:val="ColumnHeading"/>
    <w:basedOn w:val="Normal"/>
    <w:rsid w:val="00737DE4"/>
    <w:pPr>
      <w:spacing w:after="240"/>
      <w:jc w:val="center"/>
    </w:pPr>
    <w:rPr>
      <w:i/>
      <w:lang w:val="es-ES"/>
    </w:rPr>
  </w:style>
  <w:style w:type="paragraph" w:customStyle="1" w:styleId="CrossRef">
    <w:name w:val="CrossRef"/>
    <w:basedOn w:val="Normal"/>
    <w:rsid w:val="00737DE4"/>
    <w:pPr>
      <w:spacing w:before="240"/>
      <w:jc w:val="center"/>
    </w:pPr>
    <w:rPr>
      <w:i/>
      <w:lang w:val="es-ES"/>
    </w:rPr>
  </w:style>
  <w:style w:type="paragraph" w:customStyle="1" w:styleId="Normal24a">
    <w:name w:val="Normal24a"/>
    <w:basedOn w:val="Normal"/>
    <w:rsid w:val="00737DE4"/>
    <w:pPr>
      <w:spacing w:after="480"/>
    </w:pPr>
  </w:style>
  <w:style w:type="paragraph" w:customStyle="1" w:styleId="NormalBoldCenter">
    <w:name w:val="NormalBoldCenter"/>
    <w:basedOn w:val="Normal"/>
    <w:rsid w:val="00737DE4"/>
    <w:pPr>
      <w:jc w:val="center"/>
    </w:pPr>
    <w:rPr>
      <w:b/>
    </w:rPr>
  </w:style>
  <w:style w:type="paragraph" w:customStyle="1" w:styleId="Footprint12b">
    <w:name w:val="Footprint12b"/>
    <w:basedOn w:val="Normal"/>
    <w:rsid w:val="00737DE4"/>
    <w:pPr>
      <w:spacing w:before="240"/>
    </w:pPr>
    <w:rPr>
      <w:szCs w:val="24"/>
    </w:rPr>
  </w:style>
  <w:style w:type="paragraph" w:customStyle="1" w:styleId="NormalSingle">
    <w:name w:val="NormalSingle"/>
    <w:basedOn w:val="Normal"/>
    <w:qFormat/>
    <w:rsid w:val="00737DE4"/>
    <w:rPr>
      <w:szCs w:val="24"/>
    </w:rPr>
  </w:style>
  <w:style w:type="paragraph" w:customStyle="1" w:styleId="EntPE">
    <w:name w:val="EntPE"/>
    <w:basedOn w:val="Normal12"/>
    <w:rsid w:val="00737DE4"/>
    <w:pPr>
      <w:jc w:val="center"/>
    </w:pPr>
    <w:rPr>
      <w:noProof w:val="0"/>
      <w:sz w:val="56"/>
    </w:rPr>
  </w:style>
  <w:style w:type="character" w:styleId="Hyperlink">
    <w:name w:val="Hyperlink"/>
    <w:basedOn w:val="DefaultParagraphFont"/>
    <w:unhideWhenUsed/>
    <w:rsid w:val="00737DE4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737DE4"/>
    <w:rPr>
      <w:sz w:val="24"/>
      <w:lang w:val="es-ES"/>
    </w:rPr>
  </w:style>
  <w:style w:type="character" w:styleId="CommentReference">
    <w:name w:val="annotation reference"/>
    <w:basedOn w:val="DefaultParagraphFont"/>
    <w:rsid w:val="00737DE4"/>
    <w:rPr>
      <w:sz w:val="16"/>
      <w:szCs w:val="16"/>
    </w:rPr>
  </w:style>
  <w:style w:type="paragraph" w:styleId="CommentText">
    <w:name w:val="annotation text"/>
    <w:basedOn w:val="Normal"/>
    <w:link w:val="CommentTextChar"/>
    <w:rsid w:val="00737DE4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737DE4"/>
    <w:rPr>
      <w:lang w:val="es-ES_tradnl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737DE4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737DE4"/>
    <w:rPr>
      <w:b/>
      <w:bCs/>
      <w:lang w:val="es-ES_tradnl"/>
    </w:rPr>
  </w:style>
  <w:style w:type="character" w:styleId="UnresolvedMention">
    <w:name w:val="Unresolved Mention"/>
    <w:basedOn w:val="DefaultParagraphFont"/>
    <w:uiPriority w:val="99"/>
    <w:semiHidden/>
    <w:unhideWhenUsed/>
    <w:rsid w:val="00737DE4"/>
    <w:rPr>
      <w:color w:val="605E5C"/>
      <w:shd w:val="clear" w:color="auto" w:fill="E1DFDD"/>
    </w:rPr>
  </w:style>
  <w:style w:type="paragraph" w:customStyle="1" w:styleId="RollCallVotes">
    <w:name w:val="RollCallVotes"/>
    <w:basedOn w:val="Normal"/>
    <w:rsid w:val="00737DE4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737DE4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737DE4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737DE4"/>
    <w:pPr>
      <w:spacing w:before="120" w:after="120"/>
    </w:pPr>
    <w:rPr>
      <w:snapToGrid w:val="0"/>
      <w:sz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image" Target="media/image1.png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279</Words>
  <Characters>1676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2</cp:revision>
  <cp:lastPrinted>2004-11-19T15:42:00Z</cp:lastPrinted>
  <dcterms:created xsi:type="dcterms:W3CDTF">2026-06-17T14:46:00Z</dcterms:created>
  <dcterms:modified xsi:type="dcterms:W3CDTF">2026-06-17T14:46:00Z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ES</vt:lpwstr>
  </property>
  <property fmtid="{D5CDD505-2E9C-101B-9397-08002B2CF9AE}" pid="3" name="&lt;FdR&gt;">
    <vt:lpwstr>A10-0161/2026</vt:lpwstr>
  </property>
  <property fmtid="{D5CDD505-2E9C-101B-9397-08002B2CF9AE}" pid="4" name="&lt;Type&gt;">
    <vt:lpwstr>RR</vt:lpwstr>
  </property>
</Properties>
</file>