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0404C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5251" w:rsidP="0010095E" w14:paraId="05A59F16" w14:textId="77777777">
            <w:pPr>
              <w:pStyle w:val="EPName"/>
            </w:pPr>
            <w:r w:rsidRPr="008A5251">
              <w:t>Euroopa Parlament</w:t>
            </w:r>
          </w:p>
          <w:p w:rsidR="00751A4A" w:rsidRPr="008A5251" w:rsidP="005F1B17" w14:paraId="3DD4CC4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5251">
              <w:t>2024</w:t>
            </w:r>
            <w:r w:rsidRPr="008A5251" w:rsidR="00817416">
              <w:t>-202</w:t>
            </w:r>
            <w:r w:rsidRPr="008A52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A5251" w:rsidP="0010095E" w14:paraId="27ADD653" w14:textId="77777777">
            <w:pPr>
              <w:pStyle w:val="EPLogo"/>
            </w:pPr>
            <w:r w:rsidRPr="008A525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5251" w:rsidP="004C5D52" w14:paraId="5C37D281" w14:textId="77777777">
      <w:pPr>
        <w:pStyle w:val="LineTop"/>
      </w:pPr>
    </w:p>
    <w:p w:rsidR="00680577" w:rsidRPr="008A5251" w:rsidP="00680577" w14:paraId="64939001" w14:textId="77777777">
      <w:pPr>
        <w:pStyle w:val="EPBodyTA1"/>
      </w:pPr>
      <w:r w:rsidRPr="008A5251">
        <w:t>VASTUVÕETUD TEKSTID</w:t>
      </w:r>
    </w:p>
    <w:p w:rsidR="00D058B8" w:rsidRPr="008A5251" w:rsidP="00D058B8" w14:paraId="0C085AD8" w14:textId="77777777">
      <w:pPr>
        <w:pStyle w:val="LineBottom"/>
      </w:pPr>
    </w:p>
    <w:p w:rsidR="00143C7A" w:rsidRPr="008A5251" w:rsidP="00143C7A" w14:paraId="3791DA33" w14:textId="08C6ADC3">
      <w:pPr>
        <w:pStyle w:val="ATHeading1"/>
      </w:pPr>
      <w:bookmarkStart w:id="0" w:name="TANumber"/>
      <w:r w:rsidRPr="008A5251">
        <w:t>P10_TA(2026)0</w:t>
      </w:r>
      <w:bookmarkEnd w:id="0"/>
      <w:r w:rsidRPr="008A5251" w:rsidR="00BF5E71">
        <w:t>211</w:t>
      </w:r>
    </w:p>
    <w:p w:rsidR="00143C7A" w:rsidRPr="008A5251" w:rsidP="00143C7A" w14:paraId="716CA62C" w14:textId="6A5F5173">
      <w:pPr>
        <w:pStyle w:val="ATHeading2"/>
      </w:pPr>
      <w:bookmarkStart w:id="1" w:name="title"/>
      <w:r w:rsidRPr="008A5251">
        <w:t>Tubakale ja tubakatootega seonduvatele toodetele kohaldatava aktsiisi struktuur ja määrad (uuesti sõnastatud)</w:t>
      </w:r>
      <w:bookmarkEnd w:id="1"/>
    </w:p>
    <w:p w:rsidR="00143C7A" w:rsidRPr="008A5251" w:rsidP="00143C7A" w14:paraId="702FE968" w14:textId="77777777">
      <w:pPr>
        <w:rPr>
          <w:i/>
          <w:vanish/>
        </w:rPr>
      </w:pPr>
      <w:r>
        <w:rPr>
          <w:i/>
        </w:rPr>
        <w:fldChar w:fldCharType="begin"/>
      </w:r>
      <w:r w:rsidRPr="008A5251">
        <w:rPr>
          <w:i/>
        </w:rPr>
        <w:instrText xml:space="preserve"> TC"(</w:instrText>
      </w:r>
      <w:bookmarkStart w:id="2" w:name="DocNumber"/>
      <w:r w:rsidRPr="008A5251">
        <w:rPr>
          <w:i/>
        </w:rPr>
        <w:instrText>A10-0161/2026</w:instrText>
      </w:r>
      <w:bookmarkEnd w:id="2"/>
      <w:r w:rsidRPr="008A5251">
        <w:rPr>
          <w:i/>
        </w:rPr>
        <w:instrText xml:space="preserve"> - Raportöör: </w:instrText>
      </w:r>
      <w:r w:rsidRPr="008A5251">
        <w:rPr>
          <w:i/>
        </w:rPr>
        <w:instrText>Tomáš</w:instrText>
      </w:r>
      <w:r w:rsidRPr="008A5251">
        <w:rPr>
          <w:i/>
        </w:rPr>
        <w:instrText xml:space="preserve"> </w:instrText>
      </w:r>
      <w:r w:rsidRPr="008A5251">
        <w:rPr>
          <w:i/>
        </w:rPr>
        <w:instrText>Kubín</w:instrText>
      </w:r>
      <w:r w:rsidRPr="008A525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43C7A" w:rsidRPr="008A5251" w:rsidP="00143C7A" w14:paraId="791A2BB2" w14:textId="77777777">
      <w:pPr>
        <w:rPr>
          <w:vanish/>
        </w:rPr>
      </w:pPr>
      <w:bookmarkStart w:id="3" w:name="Commission"/>
      <w:r w:rsidRPr="008A5251">
        <w:rPr>
          <w:vanish/>
        </w:rPr>
        <w:t>Majandus- ja rahanduskomisjon</w:t>
      </w:r>
      <w:bookmarkEnd w:id="3"/>
    </w:p>
    <w:p w:rsidR="00143C7A" w:rsidRPr="008A5251" w:rsidP="00143C7A" w14:paraId="7C0B41AC" w14:textId="77777777">
      <w:pPr>
        <w:rPr>
          <w:vanish/>
        </w:rPr>
      </w:pPr>
      <w:bookmarkStart w:id="4" w:name="PE"/>
      <w:r w:rsidRPr="008A5251">
        <w:rPr>
          <w:vanish/>
        </w:rPr>
        <w:t>PE784.398</w:t>
      </w:r>
      <w:bookmarkEnd w:id="4"/>
    </w:p>
    <w:p w:rsidR="00143C7A" w:rsidRPr="008A5251" w:rsidP="00143C7A" w14:paraId="56E366FC" w14:textId="4DDE642E">
      <w:pPr>
        <w:pStyle w:val="ATHeading3"/>
      </w:pPr>
      <w:bookmarkStart w:id="5" w:name="Sujet"/>
      <w:r w:rsidRPr="008A5251">
        <w:t xml:space="preserve">Euroopa Parlamendi </w:t>
      </w:r>
      <w:r w:rsidRPr="008A5251" w:rsidR="003A7757">
        <w:t>17</w:t>
      </w:r>
      <w:r w:rsidRPr="008A5251">
        <w:t>.</w:t>
      </w:r>
      <w:r w:rsidRPr="008A5251" w:rsidR="003A7757">
        <w:t> juuni</w:t>
      </w:r>
      <w:r w:rsidRPr="008A5251">
        <w:t xml:space="preserve"> 2026.</w:t>
      </w:r>
      <w:r w:rsidRPr="008A5251" w:rsidR="003A7757">
        <w:t> </w:t>
      </w:r>
      <w:r w:rsidRPr="008A5251">
        <w:t>aasta seadusandlik resolutsioon ettepaneku kohta võtta vastu nõukogu direktiiv tubakale ja tubakatootega seonduvatele toodetele kohaldatava aktsiisi struktuuri ja määrade kohta (uuesti sõnastatud)</w:t>
      </w:r>
      <w:bookmarkEnd w:id="5"/>
      <w:r w:rsidRPr="008A5251">
        <w:t xml:space="preserve"> </w:t>
      </w:r>
      <w:bookmarkStart w:id="6" w:name="References"/>
      <w:r w:rsidRPr="008A5251">
        <w:t>(COM(2025)0580 – C10-0207/2025 – 2025/0580(CNS))</w:t>
      </w:r>
      <w:bookmarkEnd w:id="6"/>
    </w:p>
    <w:p w:rsidR="000A38E2" w:rsidRPr="008A5251" w:rsidP="000A38E2" w14:paraId="185C6B54" w14:textId="77777777">
      <w:pPr>
        <w:pStyle w:val="NormalBold"/>
      </w:pPr>
      <w:r w:rsidRPr="008A5251">
        <w:t>(Seadusandlik erimenetlus – konsulteerimine – uuesti sõnastamine)</w:t>
      </w:r>
    </w:p>
    <w:p w:rsidR="000A38E2" w:rsidRPr="008A5251" w:rsidP="000A38E2" w14:paraId="2C8E216D" w14:textId="77777777">
      <w:pPr>
        <w:pStyle w:val="EPComma"/>
      </w:pPr>
      <w:r w:rsidRPr="008A5251">
        <w:rPr>
          <w:i/>
        </w:rPr>
        <w:t>Euroopa Parlament</w:t>
      </w:r>
      <w:r w:rsidRPr="008A5251">
        <w:t>,</w:t>
      </w:r>
    </w:p>
    <w:p w:rsidR="000A38E2" w:rsidRPr="008A5251" w:rsidP="000A38E2" w14:paraId="63A51701" w14:textId="77777777">
      <w:pPr>
        <w:pStyle w:val="NormalHanging12a"/>
      </w:pPr>
      <w:r w:rsidRPr="008A5251">
        <w:t>–</w:t>
      </w:r>
      <w:r w:rsidRPr="008A5251">
        <w:tab/>
        <w:t>võttes arvesse komisjoni ettepanekut nõukogule (COM(2025)0580),</w:t>
      </w:r>
    </w:p>
    <w:p w:rsidR="000A38E2" w:rsidRPr="008A5251" w:rsidP="000A38E2" w14:paraId="4F707B59" w14:textId="77777777">
      <w:pPr>
        <w:pStyle w:val="NormalHanging12a"/>
      </w:pPr>
      <w:r w:rsidRPr="008A5251">
        <w:t>–</w:t>
      </w:r>
      <w:r w:rsidRPr="008A5251">
        <w:tab/>
        <w:t>võttes arvesse Euroopa Liidu toimimise lepingu artiklit 113, mille alusel nõukogu konsulteeris Euroopa Parlamendiga (C10</w:t>
      </w:r>
      <w:r w:rsidRPr="008A5251">
        <w:noBreakHyphen/>
        <w:t>0207/2025),</w:t>
      </w:r>
    </w:p>
    <w:p w:rsidR="000A38E2" w:rsidRPr="008A5251" w:rsidP="000A38E2" w14:paraId="2938D415" w14:textId="77777777">
      <w:pPr>
        <w:pStyle w:val="NormalHanging12a"/>
      </w:pPr>
      <w:r w:rsidRPr="008A5251">
        <w:t>–</w:t>
      </w:r>
      <w:r w:rsidRPr="008A5251">
        <w:tab/>
        <w:t>võttes arvesse Itaalia Saadikutekoja poolt subsidiaarsuse ja proportsionaalsuse põhimõtete kohaldamist käsitleva protokolli nr 2 alusel esitatud põhjendatud arvamust, mille kohaselt seadusandliku akti eelnõu ei vasta subsidiaarsuse põhimõttele,</w:t>
      </w:r>
    </w:p>
    <w:p w:rsidR="000A38E2" w:rsidRPr="008A5251" w:rsidP="000A38E2" w14:paraId="042CFFCD" w14:textId="77777777">
      <w:pPr>
        <w:pStyle w:val="NormalHanging12a"/>
      </w:pPr>
      <w:r w:rsidRPr="008A5251">
        <w:t>–</w:t>
      </w:r>
      <w:r w:rsidRPr="008A5251">
        <w:tab/>
        <w:t>võttes arvesse 28. novembri 2001. aasta institutsioonidevahelist kokkulepet õigusaktide uuesti sõnastamise tehnika süstemaatilise kasutamise kohta</w:t>
      </w:r>
      <w:r>
        <w:rPr>
          <w:rStyle w:val="FootnoteReference"/>
        </w:rPr>
        <w:footnoteReference w:id="2"/>
      </w:r>
      <w:r w:rsidRPr="008A5251">
        <w:t>,</w:t>
      </w:r>
    </w:p>
    <w:p w:rsidR="000A38E2" w:rsidRPr="008A5251" w:rsidP="000A38E2" w14:paraId="4D5E0A9A" w14:textId="77777777">
      <w:pPr>
        <w:pStyle w:val="NormalHanging12a"/>
      </w:pPr>
      <w:r w:rsidRPr="008A5251">
        <w:t>–</w:t>
      </w:r>
      <w:r w:rsidRPr="008A5251">
        <w:tab/>
        <w:t>võttes arvesse vastavalt kodukorra artikli 113 lõikele 3 saadetud õiguskomisjoni 11. detsembri 2025. aasta kirja majandus- ja rahanduskomisjonile,</w:t>
      </w:r>
    </w:p>
    <w:p w:rsidR="000A38E2" w:rsidRPr="008A5251" w:rsidP="000A38E2" w14:paraId="2BC99974" w14:textId="77777777">
      <w:pPr>
        <w:pStyle w:val="NormalHanging12a"/>
      </w:pPr>
      <w:r w:rsidRPr="008A5251">
        <w:t>–</w:t>
      </w:r>
      <w:r w:rsidRPr="008A5251">
        <w:tab/>
        <w:t>võttes arvesse kodukorra artikleid 113 ja 84,</w:t>
      </w:r>
    </w:p>
    <w:p w:rsidR="000A38E2" w:rsidRPr="008A5251" w:rsidP="000A38E2" w14:paraId="7010B301" w14:textId="77777777">
      <w:pPr>
        <w:pStyle w:val="NormalHanging12a"/>
      </w:pPr>
      <w:r w:rsidRPr="008A5251">
        <w:t>–</w:t>
      </w:r>
      <w:r w:rsidRPr="008A5251">
        <w:tab/>
        <w:t>võttes arvesse majandus- ja rahanduskomisjoni raportit (A10-0161/2026),</w:t>
      </w:r>
    </w:p>
    <w:p w:rsidR="000A38E2" w:rsidRPr="008A5251" w:rsidP="000A38E2" w14:paraId="41917CD5" w14:textId="240A0AE3">
      <w:pPr>
        <w:pStyle w:val="NormalHanging12a"/>
      </w:pPr>
      <w:r w:rsidRPr="008A5251">
        <w:t>1.</w:t>
      </w:r>
      <w:r w:rsidRPr="008A5251">
        <w:tab/>
      </w:r>
      <w:r w:rsidRPr="008A5251" w:rsidR="005A24AE">
        <w:t>lükkab</w:t>
      </w:r>
      <w:r w:rsidRPr="008A5251">
        <w:t xml:space="preserve"> komisjoni ettepaneku</w:t>
      </w:r>
      <w:r w:rsidRPr="008A5251" w:rsidR="005A24AE">
        <w:t xml:space="preserve"> tagasi</w:t>
      </w:r>
      <w:r w:rsidRPr="008A5251">
        <w:t>;</w:t>
      </w:r>
    </w:p>
    <w:p w:rsidR="000A38E2" w:rsidRPr="008A5251" w:rsidP="000A38E2" w14:paraId="056ED724" w14:textId="188E2215">
      <w:pPr>
        <w:pStyle w:val="NormalHanging12a"/>
      </w:pPr>
      <w:r w:rsidRPr="008A5251">
        <w:t>2.</w:t>
      </w:r>
      <w:r w:rsidRPr="008A5251">
        <w:tab/>
        <w:t xml:space="preserve">palub komisjonil </w:t>
      </w:r>
      <w:r w:rsidRPr="008A5251" w:rsidR="005A24AE">
        <w:t xml:space="preserve">oma </w:t>
      </w:r>
      <w:r w:rsidRPr="008A5251">
        <w:t xml:space="preserve">ettepaneku </w:t>
      </w:r>
      <w:r w:rsidRPr="008A5251" w:rsidR="005A24AE">
        <w:t>tagasi võtta</w:t>
      </w:r>
      <w:r w:rsidRPr="008A5251">
        <w:t>;</w:t>
      </w:r>
    </w:p>
    <w:p w:rsidR="003A7757" w:rsidRPr="008A5251" w:rsidP="005A24AE" w14:paraId="6DBF0E21" w14:textId="0A9BCCDF">
      <w:pPr>
        <w:pStyle w:val="NormalHanging12a"/>
        <w:sectPr w:rsidSect="001F4A3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A5251">
        <w:t>3</w:t>
      </w:r>
      <w:r w:rsidRPr="008A5251" w:rsidR="000A38E2">
        <w:t>.</w:t>
      </w:r>
      <w:r w:rsidRPr="008A5251" w:rsidR="000A38E2">
        <w:tab/>
        <w:t>teeb presidendile ülesandeks edastada Euroopa Parlamendi seisukoht nõukogule ja komisjonile ning liikmesriikide parlamentidele.</w:t>
      </w:r>
    </w:p>
    <w:p w:rsidR="00E365E1" w:rsidRPr="008A5251" w:rsidP="005A24AE" w14:paraId="17F3E101" w14:textId="137DBBDB"/>
    <w:sectPr w:rsidSect="001F4A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0DF2031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30F4925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442CE0E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43C7A" w:rsidRPr="001F4A39" w14:paraId="3890E388" w14:textId="77777777">
      <w:r w:rsidRPr="001F4A39">
        <w:separator/>
      </w:r>
    </w:p>
  </w:footnote>
  <w:footnote w:type="continuationSeparator" w:id="1">
    <w:p w:rsidR="00143C7A" w:rsidRPr="001F4A39" w14:paraId="24D09AB7" w14:textId="77777777">
      <w:r w:rsidRPr="001F4A39">
        <w:continuationSeparator/>
      </w:r>
    </w:p>
  </w:footnote>
  <w:footnote w:id="2">
    <w:p w:rsidR="000A38E2" w:rsidRPr="001F4A39" w:rsidP="001F4A39" w14:paraId="4B57EBEA" w14:textId="413A4E81">
      <w:pPr>
        <w:pStyle w:val="FootnoteText"/>
        <w:ind w:left="567" w:hanging="567"/>
        <w:rPr>
          <w:sz w:val="24"/>
          <w:lang w:val="et-EE"/>
        </w:rPr>
      </w:pPr>
      <w:r w:rsidRPr="001F4A39">
        <w:rPr>
          <w:rStyle w:val="FootnoteReference"/>
          <w:sz w:val="24"/>
          <w:lang w:val="et-EE"/>
        </w:rPr>
        <w:footnoteRef/>
      </w:r>
      <w:r w:rsidRPr="001F4A39" w:rsidR="001F4A39">
        <w:rPr>
          <w:sz w:val="24"/>
          <w:lang w:val="et-EE"/>
        </w:rPr>
        <w:t xml:space="preserve"> </w:t>
      </w:r>
      <w:r w:rsidRPr="001F4A39" w:rsidR="001F4A39">
        <w:rPr>
          <w:sz w:val="24"/>
          <w:lang w:val="et-EE"/>
        </w:rPr>
        <w:tab/>
      </w:r>
      <w:r w:rsidRPr="001F4A39">
        <w:rPr>
          <w:sz w:val="24"/>
          <w:lang w:val="et-EE"/>
        </w:rPr>
        <w:t>EÜT C 77, 28.3.2002, lk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4625155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12A984D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4A39" w14:paraId="59EE452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9763261">
    <w:abstractNumId w:val="9"/>
  </w:num>
  <w:num w:numId="2" w16cid:durableId="970134208">
    <w:abstractNumId w:val="9"/>
  </w:num>
  <w:num w:numId="3" w16cid:durableId="1995446715">
    <w:abstractNumId w:val="7"/>
  </w:num>
  <w:num w:numId="4" w16cid:durableId="1166089159">
    <w:abstractNumId w:val="7"/>
  </w:num>
  <w:num w:numId="5" w16cid:durableId="1277715158">
    <w:abstractNumId w:val="6"/>
  </w:num>
  <w:num w:numId="6" w16cid:durableId="276379067">
    <w:abstractNumId w:val="6"/>
  </w:num>
  <w:num w:numId="7" w16cid:durableId="944650419">
    <w:abstractNumId w:val="5"/>
  </w:num>
  <w:num w:numId="8" w16cid:durableId="398211209">
    <w:abstractNumId w:val="5"/>
  </w:num>
  <w:num w:numId="9" w16cid:durableId="1134253524">
    <w:abstractNumId w:val="4"/>
  </w:num>
  <w:num w:numId="10" w16cid:durableId="372581912">
    <w:abstractNumId w:val="4"/>
  </w:num>
  <w:num w:numId="11" w16cid:durableId="40057354">
    <w:abstractNumId w:val="8"/>
  </w:num>
  <w:num w:numId="12" w16cid:durableId="1699353123">
    <w:abstractNumId w:val="8"/>
  </w:num>
  <w:num w:numId="13" w16cid:durableId="1062289604">
    <w:abstractNumId w:val="3"/>
  </w:num>
  <w:num w:numId="14" w16cid:durableId="394813857">
    <w:abstractNumId w:val="3"/>
  </w:num>
  <w:num w:numId="15" w16cid:durableId="323045126">
    <w:abstractNumId w:val="2"/>
  </w:num>
  <w:num w:numId="16" w16cid:durableId="383800847">
    <w:abstractNumId w:val="2"/>
  </w:num>
  <w:num w:numId="17" w16cid:durableId="1363239807">
    <w:abstractNumId w:val="1"/>
  </w:num>
  <w:num w:numId="18" w16cid:durableId="754471101">
    <w:abstractNumId w:val="1"/>
  </w:num>
  <w:num w:numId="19" w16cid:durableId="694431164">
    <w:abstractNumId w:val="0"/>
  </w:num>
  <w:num w:numId="20" w16cid:durableId="12461298">
    <w:abstractNumId w:val="0"/>
  </w:num>
  <w:num w:numId="21" w16cid:durableId="619841973">
    <w:abstractNumId w:val="9"/>
  </w:num>
  <w:num w:numId="22" w16cid:durableId="1610234809">
    <w:abstractNumId w:val="7"/>
  </w:num>
  <w:num w:numId="23" w16cid:durableId="1606620076">
    <w:abstractNumId w:val="6"/>
  </w:num>
  <w:num w:numId="24" w16cid:durableId="1340083869">
    <w:abstractNumId w:val="5"/>
  </w:num>
  <w:num w:numId="25" w16cid:durableId="1508516815">
    <w:abstractNumId w:val="4"/>
  </w:num>
  <w:num w:numId="26" w16cid:durableId="2131244585">
    <w:abstractNumId w:val="8"/>
  </w:num>
  <w:num w:numId="27" w16cid:durableId="1671591713">
    <w:abstractNumId w:val="3"/>
  </w:num>
  <w:num w:numId="28" w16cid:durableId="1021391823">
    <w:abstractNumId w:val="2"/>
  </w:num>
  <w:num w:numId="29" w16cid:durableId="2072999390">
    <w:abstractNumId w:val="1"/>
  </w:num>
  <w:num w:numId="30" w16cid:durableId="1032146025">
    <w:abstractNumId w:val="0"/>
  </w:num>
  <w:num w:numId="31" w16cid:durableId="440489205">
    <w:abstractNumId w:val="9"/>
  </w:num>
  <w:num w:numId="32" w16cid:durableId="116921525">
    <w:abstractNumId w:val="7"/>
  </w:num>
  <w:num w:numId="33" w16cid:durableId="1595166604">
    <w:abstractNumId w:val="6"/>
  </w:num>
  <w:num w:numId="34" w16cid:durableId="1787456864">
    <w:abstractNumId w:val="5"/>
  </w:num>
  <w:num w:numId="35" w16cid:durableId="1807696566">
    <w:abstractNumId w:val="4"/>
  </w:num>
  <w:num w:numId="36" w16cid:durableId="1170099488">
    <w:abstractNumId w:val="8"/>
  </w:num>
  <w:num w:numId="37" w16cid:durableId="989678561">
    <w:abstractNumId w:val="3"/>
  </w:num>
  <w:num w:numId="38" w16cid:durableId="2124834833">
    <w:abstractNumId w:val="2"/>
  </w:num>
  <w:num w:numId="39" w16cid:durableId="1034769269">
    <w:abstractNumId w:val="1"/>
  </w:num>
  <w:num w:numId="40" w16cid:durableId="245958975">
    <w:abstractNumId w:val="0"/>
  </w:num>
  <w:num w:numId="41" w16cid:durableId="570502232">
    <w:abstractNumId w:val="10"/>
  </w:num>
  <w:num w:numId="42" w16cid:durableId="1652129084">
    <w:abstractNumId w:val="10"/>
  </w:num>
  <w:num w:numId="43" w16cid:durableId="627005728">
    <w:abstractNumId w:val="10"/>
  </w:num>
  <w:num w:numId="44" w16cid:durableId="12768651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7A"/>
    <w:rsid w:val="00002272"/>
    <w:rsid w:val="00064002"/>
    <w:rsid w:val="000677B9"/>
    <w:rsid w:val="000831BA"/>
    <w:rsid w:val="000A38E2"/>
    <w:rsid w:val="000A42CC"/>
    <w:rsid w:val="000E7DD9"/>
    <w:rsid w:val="0010095E"/>
    <w:rsid w:val="00125B37"/>
    <w:rsid w:val="00143C7A"/>
    <w:rsid w:val="00187494"/>
    <w:rsid w:val="001F32AE"/>
    <w:rsid w:val="001F4A39"/>
    <w:rsid w:val="002767FF"/>
    <w:rsid w:val="002B18FE"/>
    <w:rsid w:val="002B5493"/>
    <w:rsid w:val="00343214"/>
    <w:rsid w:val="00361C00"/>
    <w:rsid w:val="00395FA1"/>
    <w:rsid w:val="003A775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4A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251"/>
    <w:rsid w:val="008C2AC6"/>
    <w:rsid w:val="00930C23"/>
    <w:rsid w:val="0093193B"/>
    <w:rsid w:val="009355F8"/>
    <w:rsid w:val="009509D8"/>
    <w:rsid w:val="00950B64"/>
    <w:rsid w:val="00981893"/>
    <w:rsid w:val="00A1687D"/>
    <w:rsid w:val="00A43E52"/>
    <w:rsid w:val="00A4678D"/>
    <w:rsid w:val="00A602A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E7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416"/>
    <w:rsid w:val="00ED169E"/>
    <w:rsid w:val="00ED4235"/>
    <w:rsid w:val="00EE3718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ET"/>
    <w:docVar w:name="dvnumam" w:val="87"/>
    <w:docVar w:name="dvpe" w:val="784.398"/>
    <w:docVar w:name="dvrapporteur" w:val="Raportöör: "/>
    <w:docVar w:name="dvstar" w:val="*"/>
    <w:docVar w:name="dvtitre" w:val="Euroopa Parlamendi .... 2026. aasta seadusandlik resolutsioon ettepaneku kohta võtta vastu nõukogu direktiiv tubakale ja tubakatootega seonduvatele toodetele kohaldatava aktsiisi struktuuri ja määrade kohta (uuesti sõnastatud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3944A0"/>
  <w15:chartTrackingRefBased/>
  <w15:docId w15:val="{1AA81F73-8A77-4249-B9FD-F5227FA6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A38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A38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A38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A38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A38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A38E2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A38E2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A38E2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A38E2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0A38E2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0A38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0A38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0A38E2"/>
    <w:pPr>
      <w:spacing w:after="240"/>
    </w:pPr>
  </w:style>
  <w:style w:type="paragraph" w:customStyle="1" w:styleId="TOCPage">
    <w:name w:val="TOC Page"/>
    <w:basedOn w:val="Normal"/>
    <w:next w:val="TOC1"/>
    <w:rsid w:val="000A38E2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0A38E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A38E2"/>
    <w:pPr>
      <w:spacing w:after="240"/>
      <w:ind w:left="567" w:hanging="567"/>
    </w:pPr>
  </w:style>
  <w:style w:type="paragraph" w:customStyle="1" w:styleId="Normal6a">
    <w:name w:val="Normal6a"/>
    <w:basedOn w:val="Normal"/>
    <w:rsid w:val="000A38E2"/>
    <w:pPr>
      <w:spacing w:after="120"/>
    </w:pPr>
  </w:style>
  <w:style w:type="paragraph" w:customStyle="1" w:styleId="CoverNormal24a">
    <w:name w:val="CoverNormal24a"/>
    <w:basedOn w:val="Normal"/>
    <w:rsid w:val="000A38E2"/>
    <w:pPr>
      <w:spacing w:after="480"/>
      <w:ind w:left="1417"/>
    </w:pPr>
  </w:style>
  <w:style w:type="paragraph" w:customStyle="1" w:styleId="CoverNormal">
    <w:name w:val="CoverNormal"/>
    <w:basedOn w:val="Normal"/>
    <w:rsid w:val="000A38E2"/>
    <w:pPr>
      <w:ind w:left="1418"/>
    </w:pPr>
  </w:style>
  <w:style w:type="paragraph" w:customStyle="1" w:styleId="CoverReference">
    <w:name w:val="CoverReference"/>
    <w:basedOn w:val="Normal"/>
    <w:rsid w:val="000A38E2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A38E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A38E2"/>
    <w:rPr>
      <w:b/>
      <w:sz w:val="24"/>
      <w:lang w:val="et-EE"/>
    </w:rPr>
  </w:style>
  <w:style w:type="paragraph" w:customStyle="1" w:styleId="CoverDocType">
    <w:name w:val="CoverDocType"/>
    <w:basedOn w:val="Normal"/>
    <w:rsid w:val="000A38E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A38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A38E2"/>
    <w:pPr>
      <w:spacing w:before="240" w:after="1200"/>
    </w:pPr>
  </w:style>
  <w:style w:type="paragraph" w:styleId="Header">
    <w:name w:val="header"/>
    <w:basedOn w:val="Normal"/>
    <w:link w:val="HeaderChar"/>
    <w:rsid w:val="000A38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38E2"/>
    <w:rPr>
      <w:sz w:val="24"/>
      <w:lang w:val="et-EE"/>
    </w:rPr>
  </w:style>
  <w:style w:type="paragraph" w:customStyle="1" w:styleId="AnnexWPLogo">
    <w:name w:val="AnnexWPLogo"/>
    <w:basedOn w:val="Normal"/>
    <w:rsid w:val="000A38E2"/>
    <w:pPr>
      <w:spacing w:before="120" w:after="120"/>
    </w:pPr>
  </w:style>
  <w:style w:type="paragraph" w:customStyle="1" w:styleId="AnnexWPTabs">
    <w:name w:val="AnnexWPTabs"/>
    <w:basedOn w:val="Normal"/>
    <w:rsid w:val="000A38E2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0A38E2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0A38E2"/>
    <w:rPr>
      <w:smallCaps/>
      <w:sz w:val="20"/>
    </w:rPr>
  </w:style>
  <w:style w:type="paragraph" w:customStyle="1" w:styleId="AnnexWPDocType">
    <w:name w:val="AnnexWPDocType"/>
    <w:basedOn w:val="Normal"/>
    <w:rsid w:val="000A38E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0A38E2"/>
    <w:pPr>
      <w:spacing w:before="480"/>
    </w:pPr>
    <w:rPr>
      <w:b/>
    </w:rPr>
  </w:style>
  <w:style w:type="paragraph" w:customStyle="1" w:styleId="AmJustText">
    <w:name w:val="AmJustText"/>
    <w:basedOn w:val="Normal"/>
    <w:rsid w:val="000A38E2"/>
    <w:pPr>
      <w:spacing w:after="240"/>
    </w:pPr>
    <w:rPr>
      <w:i/>
    </w:rPr>
  </w:style>
  <w:style w:type="paragraph" w:customStyle="1" w:styleId="AmCrossRef">
    <w:name w:val="AmCrossRef"/>
    <w:basedOn w:val="Normal"/>
    <w:rsid w:val="000A38E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A38E2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0A38E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A38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A38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A38E2"/>
    <w:pPr>
      <w:spacing w:before="240"/>
    </w:pPr>
    <w:rPr>
      <w:b/>
    </w:rPr>
  </w:style>
  <w:style w:type="paragraph" w:customStyle="1" w:styleId="EPBody">
    <w:name w:val="EPBody"/>
    <w:basedOn w:val="Normal"/>
    <w:rsid w:val="000A38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A38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38E2"/>
    <w:pPr>
      <w:spacing w:before="480" w:after="240"/>
    </w:pPr>
  </w:style>
  <w:style w:type="paragraph" w:customStyle="1" w:styleId="Lgendesigne">
    <w:name w:val="Légende signe"/>
    <w:basedOn w:val="Normal"/>
    <w:rsid w:val="000A38E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38E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A38E2"/>
    <w:rPr>
      <w:sz w:val="18"/>
    </w:rPr>
  </w:style>
  <w:style w:type="paragraph" w:customStyle="1" w:styleId="LetterDate">
    <w:name w:val="LetterDate"/>
    <w:basedOn w:val="Normal"/>
    <w:rsid w:val="000A38E2"/>
    <w:pPr>
      <w:spacing w:before="720" w:after="240"/>
    </w:pPr>
  </w:style>
  <w:style w:type="paragraph" w:customStyle="1" w:styleId="LetterSalutation">
    <w:name w:val="LetterSalutation"/>
    <w:basedOn w:val="Normal"/>
    <w:rsid w:val="000A38E2"/>
    <w:pPr>
      <w:spacing w:before="600" w:after="360"/>
    </w:pPr>
  </w:style>
  <w:style w:type="paragraph" w:customStyle="1" w:styleId="LetterSubject">
    <w:name w:val="LetterSubject"/>
    <w:basedOn w:val="Normal"/>
    <w:rsid w:val="000A38E2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A38E2"/>
    <w:pPr>
      <w:spacing w:before="1320"/>
    </w:pPr>
  </w:style>
  <w:style w:type="paragraph" w:customStyle="1" w:styleId="msonormal">
    <w:name w:val="msonormal"/>
    <w:basedOn w:val="Normal"/>
    <w:rsid w:val="000A38E2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0A38E2"/>
    <w:rPr>
      <w:sz w:val="22"/>
    </w:rPr>
  </w:style>
  <w:style w:type="paragraph" w:styleId="Footer">
    <w:name w:val="footer"/>
    <w:link w:val="FooterChar"/>
    <w:unhideWhenUsed/>
    <w:rsid w:val="000A38E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A38E2"/>
    <w:rPr>
      <w:sz w:val="24"/>
      <w:lang w:val="et-EE"/>
    </w:rPr>
  </w:style>
  <w:style w:type="paragraph" w:styleId="BalloonText">
    <w:name w:val="Balloon Text"/>
    <w:basedOn w:val="Normal"/>
    <w:link w:val="BalloonTextChar"/>
    <w:unhideWhenUsed/>
    <w:rsid w:val="000A3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38E2"/>
    <w:rPr>
      <w:rFonts w:ascii="Segoe UI" w:hAnsi="Segoe UI" w:cs="Segoe UI"/>
      <w:sz w:val="18"/>
      <w:szCs w:val="18"/>
      <w:lang w:val="et-EE"/>
    </w:rPr>
  </w:style>
  <w:style w:type="paragraph" w:customStyle="1" w:styleId="AMNumberTabs0">
    <w:name w:val="AMNumberTabs"/>
    <w:basedOn w:val="Normal"/>
    <w:rsid w:val="000A38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0A38E2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0A38E2"/>
    <w:rPr>
      <w:noProof/>
      <w:sz w:val="24"/>
    </w:rPr>
  </w:style>
  <w:style w:type="paragraph" w:customStyle="1" w:styleId="Normal12">
    <w:name w:val="Normal12"/>
    <w:basedOn w:val="Normal"/>
    <w:link w:val="Normal12Char"/>
    <w:rsid w:val="000A38E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A38E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A38E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A38E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A38E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A38E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A38E2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0A38E2"/>
    <w:pPr>
      <w:spacing w:after="120"/>
    </w:pPr>
  </w:style>
  <w:style w:type="paragraph" w:customStyle="1" w:styleId="Normal12Italic">
    <w:name w:val="Normal12Italic"/>
    <w:basedOn w:val="Normal12"/>
    <w:rsid w:val="000A38E2"/>
    <w:rPr>
      <w:i/>
    </w:rPr>
  </w:style>
  <w:style w:type="paragraph" w:customStyle="1" w:styleId="JustificationTitle">
    <w:name w:val="JustificationTitle"/>
    <w:basedOn w:val="Normal"/>
    <w:next w:val="Normal12"/>
    <w:rsid w:val="000A38E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A38E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A38E2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0A38E2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A38E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0A38E2"/>
    <w:pPr>
      <w:spacing w:after="480"/>
    </w:pPr>
  </w:style>
  <w:style w:type="paragraph" w:customStyle="1" w:styleId="NormalBoldCenter">
    <w:name w:val="NormalBoldCenter"/>
    <w:basedOn w:val="Normal"/>
    <w:rsid w:val="000A38E2"/>
    <w:pPr>
      <w:jc w:val="center"/>
    </w:pPr>
    <w:rPr>
      <w:b/>
    </w:rPr>
  </w:style>
  <w:style w:type="paragraph" w:customStyle="1" w:styleId="Footprint12b">
    <w:name w:val="Footprint12b"/>
    <w:basedOn w:val="Normal"/>
    <w:rsid w:val="000A38E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A38E2"/>
    <w:rPr>
      <w:szCs w:val="24"/>
    </w:rPr>
  </w:style>
  <w:style w:type="paragraph" w:customStyle="1" w:styleId="EntPE">
    <w:name w:val="EntPE"/>
    <w:basedOn w:val="Normal12"/>
    <w:rsid w:val="000A38E2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0A38E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A38E2"/>
    <w:rPr>
      <w:sz w:val="24"/>
      <w:lang w:val="et-EE"/>
    </w:rPr>
  </w:style>
  <w:style w:type="character" w:styleId="CommentReference">
    <w:name w:val="annotation reference"/>
    <w:basedOn w:val="DefaultParagraphFont"/>
    <w:rsid w:val="000A38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38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38E2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A3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38E2"/>
    <w:rPr>
      <w:b/>
      <w:bCs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A38E2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0A38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A38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A38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A38E2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2026-06-17T13:57:00Z</dcterms:created>
  <dcterms:modified xsi:type="dcterms:W3CDTF">2026-06-17T13:57:00Z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