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25F2401" w14:textId="77777777" w:rsidTr="0010095E">
        <w:tblPrEx>
          <w:tblW w:w="9072" w:type="dxa"/>
          <w:tblLook w:val="01E0"/>
        </w:tblPrEx>
        <w:trPr>
          <w:trHeight w:hRule="exact" w:val="1418"/>
        </w:trPr>
        <w:tc>
          <w:tcPr>
            <w:tcW w:w="6804" w:type="dxa"/>
            <w:shd w:val="clear" w:color="auto" w:fill="auto"/>
            <w:vAlign w:val="center"/>
          </w:tcPr>
          <w:p w:rsidR="00751A4A" w:rsidRPr="00024DCA" w:rsidP="0010095E" w14:paraId="04FB2C16" w14:textId="77777777">
            <w:pPr>
              <w:pStyle w:val="EPName"/>
            </w:pPr>
            <w:r w:rsidRPr="00024DCA">
              <w:t>Parlement européen</w:t>
            </w:r>
          </w:p>
          <w:p w:rsidR="00751A4A" w:rsidRPr="00024DCA" w:rsidP="005F1B17" w14:paraId="32D70A9B" w14:textId="77777777">
            <w:pPr>
              <w:pStyle w:val="EPTerm"/>
              <w:rPr>
                <w:rStyle w:val="HideTWBExt"/>
                <w:noProof w:val="0"/>
                <w:vanish w:val="0"/>
                <w:color w:val="auto"/>
              </w:rPr>
            </w:pPr>
            <w:r w:rsidRPr="00024DCA">
              <w:t>2024</w:t>
            </w:r>
            <w:r w:rsidRPr="00024DCA" w:rsidR="00817416">
              <w:t>-202</w:t>
            </w:r>
            <w:r w:rsidRPr="00024DCA">
              <w:t>9</w:t>
            </w:r>
          </w:p>
        </w:tc>
        <w:tc>
          <w:tcPr>
            <w:tcW w:w="2268" w:type="dxa"/>
            <w:shd w:val="clear" w:color="auto" w:fill="auto"/>
          </w:tcPr>
          <w:p w:rsidR="00751A4A" w:rsidRPr="00024DCA" w:rsidP="0010095E" w14:paraId="7EBEA223" w14:textId="77777777">
            <w:pPr>
              <w:pStyle w:val="EPLogo"/>
            </w:pPr>
            <w:r w:rsidRPr="00024DCA">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024DCA" w:rsidP="004C5D52" w14:paraId="46F52DFA" w14:textId="77777777">
      <w:pPr>
        <w:pStyle w:val="LineTop"/>
      </w:pPr>
    </w:p>
    <w:p w:rsidR="00680577" w:rsidRPr="00024DCA" w:rsidP="00680577" w14:paraId="46F1B426" w14:textId="77777777">
      <w:pPr>
        <w:pStyle w:val="EPBodyTA1"/>
      </w:pPr>
      <w:r w:rsidRPr="00024DCA">
        <w:t>TEXTES ADOPTÉS</w:t>
      </w:r>
    </w:p>
    <w:p w:rsidR="00D058B8" w:rsidRPr="00024DCA" w:rsidP="00D058B8" w14:paraId="4198F7F6" w14:textId="77777777">
      <w:pPr>
        <w:pStyle w:val="LineBottom"/>
      </w:pPr>
    </w:p>
    <w:p w:rsidR="005E7D03" w:rsidRPr="00024DCA" w:rsidP="005E7D03" w14:paraId="246D7043" w14:textId="2BA02DB5">
      <w:pPr>
        <w:pStyle w:val="ATHeading1"/>
      </w:pPr>
      <w:bookmarkStart w:id="0" w:name="TANumber"/>
      <w:r w:rsidRPr="00024DCA">
        <w:t>P10_</w:t>
      </w:r>
      <w:r w:rsidRPr="00024DCA">
        <w:t>TA(</w:t>
      </w:r>
      <w:r w:rsidRPr="00024DCA">
        <w:t>2026)0</w:t>
      </w:r>
      <w:r w:rsidRPr="00024DCA" w:rsidR="007866BE">
        <w:t>211</w:t>
      </w:r>
      <w:bookmarkEnd w:id="0"/>
    </w:p>
    <w:p w:rsidR="005E7D03" w:rsidRPr="00024DCA" w:rsidP="005E7D03" w14:paraId="1578704B" w14:textId="0FB78955">
      <w:pPr>
        <w:pStyle w:val="ATHeading2"/>
      </w:pPr>
      <w:bookmarkStart w:id="1" w:name="title"/>
      <w:bookmarkStart w:id="2" w:name="_Hlk232431160"/>
      <w:r w:rsidRPr="00024DCA">
        <w:t>S</w:t>
      </w:r>
      <w:r w:rsidRPr="00024DCA">
        <w:t>tructure et taux de l’accise applicable au tabac et aux produits connexes (refonte)</w:t>
      </w:r>
      <w:bookmarkEnd w:id="1"/>
    </w:p>
    <w:bookmarkEnd w:id="2"/>
    <w:p w:rsidR="005E7D03" w:rsidRPr="00024DCA" w:rsidP="005E7D03" w14:paraId="48789854" w14:textId="77777777">
      <w:pPr>
        <w:rPr>
          <w:i/>
          <w:vanish/>
        </w:rPr>
      </w:pPr>
      <w:r>
        <w:rPr>
          <w:i/>
        </w:rPr>
        <w:fldChar w:fldCharType="begin"/>
      </w:r>
      <w:r w:rsidRPr="00024DCA">
        <w:rPr>
          <w:i/>
        </w:rPr>
        <w:instrText xml:space="preserve"> TC"(</w:instrText>
      </w:r>
      <w:bookmarkStart w:id="3" w:name="DocNumber"/>
      <w:r w:rsidRPr="00024DCA">
        <w:rPr>
          <w:i/>
        </w:rPr>
        <w:instrText>A10-0161/2026</w:instrText>
      </w:r>
      <w:bookmarkEnd w:id="3"/>
      <w:r w:rsidRPr="00024DCA">
        <w:rPr>
          <w:i/>
        </w:rPr>
        <w:instrText xml:space="preserve"> - Rapporteur: Tomáš Kubín)"\l3 \n&gt; \* MERGEFORMAT </w:instrText>
      </w:r>
      <w:r>
        <w:rPr>
          <w:i/>
        </w:rPr>
        <w:fldChar w:fldCharType="end"/>
      </w:r>
    </w:p>
    <w:p w:rsidR="005E7D03" w:rsidRPr="00024DCA" w:rsidP="005E7D03" w14:paraId="5578B95D" w14:textId="77777777">
      <w:pPr>
        <w:rPr>
          <w:vanish/>
        </w:rPr>
      </w:pPr>
      <w:bookmarkStart w:id="4" w:name="Commission"/>
      <w:r w:rsidRPr="00024DCA">
        <w:rPr>
          <w:vanish/>
        </w:rPr>
        <w:t>Commission des affaires économiques et monétaires</w:t>
      </w:r>
      <w:bookmarkEnd w:id="4"/>
    </w:p>
    <w:p w:rsidR="005E7D03" w:rsidRPr="00024DCA" w:rsidP="005E7D03" w14:paraId="136BFF60" w14:textId="77777777">
      <w:pPr>
        <w:rPr>
          <w:vanish/>
        </w:rPr>
      </w:pPr>
      <w:bookmarkStart w:id="5" w:name="PE"/>
      <w:r w:rsidRPr="00024DCA">
        <w:rPr>
          <w:vanish/>
        </w:rPr>
        <w:t>PE784.398</w:t>
      </w:r>
      <w:bookmarkEnd w:id="5"/>
    </w:p>
    <w:p w:rsidR="005E7D03" w:rsidRPr="00024DCA" w:rsidP="005E7D03" w14:paraId="3130D081" w14:textId="77777777">
      <w:pPr>
        <w:pStyle w:val="ATHeading3"/>
      </w:pPr>
      <w:bookmarkStart w:id="6" w:name="Sujet"/>
      <w:r w:rsidRPr="00024DCA">
        <w:t>Résolution législative du Parlement européen du 17 juin 2026 sur la proposition de directive du Conseil concernant la structure et les taux de l’accise applicable au tabac et aux produits connexes (refonte)</w:t>
      </w:r>
      <w:bookmarkEnd w:id="6"/>
      <w:r w:rsidRPr="00024DCA">
        <w:t xml:space="preserve"> </w:t>
      </w:r>
      <w:bookmarkStart w:id="7" w:name="References"/>
      <w:r w:rsidRPr="00024DCA">
        <w:t>(</w:t>
      </w:r>
      <w:r w:rsidRPr="00024DCA">
        <w:t>COM(</w:t>
      </w:r>
      <w:r w:rsidRPr="00024DCA">
        <w:t>2025)0580 – C10-0207/2025 – 2025/0580(CNS))</w:t>
      </w:r>
      <w:bookmarkEnd w:id="7"/>
    </w:p>
    <w:p w:rsidR="00EE1721" w:rsidRPr="00024DCA" w:rsidP="00EE1721" w14:paraId="1B737B7A" w14:textId="77777777">
      <w:pPr>
        <w:pStyle w:val="NormalBold"/>
      </w:pPr>
      <w:r w:rsidRPr="00024DCA">
        <w:t>(Procédure législative spéciale – consultation – refonte)</w:t>
      </w:r>
    </w:p>
    <w:p w:rsidR="00EE1721" w:rsidRPr="00024DCA" w:rsidP="00EE1721" w14:paraId="3854B00B" w14:textId="77777777">
      <w:pPr>
        <w:pStyle w:val="EPComma"/>
      </w:pPr>
      <w:r w:rsidRPr="00024DCA">
        <w:rPr>
          <w:i/>
        </w:rPr>
        <w:t>Le Parlement européen</w:t>
      </w:r>
      <w:r w:rsidRPr="00024DCA">
        <w:t>,</w:t>
      </w:r>
    </w:p>
    <w:p w:rsidR="00EE1721" w:rsidRPr="00024DCA" w:rsidP="00EE1721" w14:paraId="23F25CBB" w14:textId="77777777">
      <w:pPr>
        <w:pStyle w:val="NormalHanging12a"/>
      </w:pPr>
      <w:r w:rsidRPr="00024DCA">
        <w:t>–</w:t>
      </w:r>
      <w:r w:rsidRPr="00024DCA">
        <w:tab/>
        <w:t>vu la proposition de la Commission au Conseil (</w:t>
      </w:r>
      <w:r w:rsidRPr="00024DCA">
        <w:t>COM(</w:t>
      </w:r>
      <w:r w:rsidRPr="00024DCA">
        <w:t>2025)0580),</w:t>
      </w:r>
    </w:p>
    <w:p w:rsidR="00EE1721" w:rsidRPr="00024DCA" w:rsidP="00EE1721" w14:paraId="23DC3765" w14:textId="77777777">
      <w:pPr>
        <w:pStyle w:val="NormalHanging12a"/>
      </w:pPr>
      <w:r w:rsidRPr="00024DCA">
        <w:t>–</w:t>
      </w:r>
      <w:r w:rsidRPr="00024DCA">
        <w:tab/>
        <w:t>vu l’article 113 du traité sur le fonctionnement de l’Union européenne, conformément auquel il a été consulté par le Conseil (C10</w:t>
      </w:r>
      <w:r w:rsidRPr="00024DCA">
        <w:noBreakHyphen/>
        <w:t>0207/2025),</w:t>
      </w:r>
    </w:p>
    <w:p w:rsidR="00EE1721" w:rsidRPr="00024DCA" w:rsidP="00EE1721" w14:paraId="5245DFC7" w14:textId="77777777">
      <w:pPr>
        <w:pStyle w:val="NormalHanging12a"/>
      </w:pPr>
      <w:r w:rsidRPr="00024DCA">
        <w:t>–</w:t>
      </w:r>
      <w:r w:rsidRPr="00024DCA">
        <w:tab/>
        <w:t>vu l’avis motivé soumis par la Chambre des députés italienne, dans le cadre du protocole nº 2 sur l’application des principes de subsidiarité et de proportionnalité, déclarant que le projet d’acte législatif n’est pas conforme au principe de subsidiarité,</w:t>
      </w:r>
    </w:p>
    <w:p w:rsidR="00EE1721" w:rsidRPr="00024DCA" w:rsidP="00EE1721" w14:paraId="5DA6B713" w14:textId="77777777">
      <w:pPr>
        <w:pStyle w:val="NormalHanging12a"/>
      </w:pPr>
      <w:r w:rsidRPr="00024DCA">
        <w:t>–</w:t>
      </w:r>
      <w:r w:rsidRPr="00024DCA">
        <w:tab/>
        <w:t>vu l’accord interinstitutionnel du 28 novembre 2001 pour un recours plus structuré à la technique de la refonte des actes juridiques</w:t>
      </w:r>
      <w:r>
        <w:rPr>
          <w:rStyle w:val="FootnoteReference"/>
        </w:rPr>
        <w:footnoteReference w:id="2"/>
      </w:r>
      <w:r w:rsidRPr="00024DCA">
        <w:t>,</w:t>
      </w:r>
    </w:p>
    <w:p w:rsidR="00EE1721" w:rsidRPr="00024DCA" w:rsidP="00EE1721" w14:paraId="5FCA2F50" w14:textId="77777777">
      <w:pPr>
        <w:pStyle w:val="NormalHanging12a"/>
      </w:pPr>
      <w:r w:rsidRPr="00024DCA">
        <w:t>–</w:t>
      </w:r>
      <w:r w:rsidRPr="00024DCA">
        <w:tab/>
        <w:t>vu la lettre en date du 11 décembre 2025 de la commission des affaires juridiques à la commission des affaires économiques et monétaires, conformément à l’article 113, paragraphe 3, de son règlement intérieur,</w:t>
      </w:r>
    </w:p>
    <w:p w:rsidR="00EE1721" w:rsidRPr="00024DCA" w:rsidP="00EE1721" w14:paraId="6A8600FA" w14:textId="77777777">
      <w:pPr>
        <w:pStyle w:val="NormalHanging12a"/>
      </w:pPr>
      <w:r w:rsidRPr="00024DCA">
        <w:t>–</w:t>
      </w:r>
      <w:r w:rsidRPr="00024DCA">
        <w:tab/>
        <w:t>vu les articles 113 et 84 de son règlement intérieur,</w:t>
      </w:r>
    </w:p>
    <w:p w:rsidR="00EE1721" w:rsidRPr="00024DCA" w:rsidP="00EE1721" w14:paraId="31E06CC2" w14:textId="77777777">
      <w:pPr>
        <w:pStyle w:val="NormalHanging12a"/>
      </w:pPr>
      <w:r w:rsidRPr="00024DCA">
        <w:t>–</w:t>
      </w:r>
      <w:r w:rsidRPr="00024DCA">
        <w:tab/>
        <w:t>vu le rapport de la commission des affaires économiques et monétaires (A10-0161/2026),</w:t>
      </w:r>
    </w:p>
    <w:p w:rsidR="00EE1721" w:rsidRPr="00024DCA" w:rsidP="00EE1721" w14:paraId="1EBCC391" w14:textId="539B31C2">
      <w:pPr>
        <w:pStyle w:val="NormalHanging12a"/>
      </w:pPr>
      <w:r w:rsidRPr="00024DCA">
        <w:t>1.</w:t>
      </w:r>
      <w:r w:rsidRPr="00024DCA">
        <w:tab/>
      </w:r>
      <w:r w:rsidRPr="00024DCA" w:rsidR="00BF7A6F">
        <w:t>rejette</w:t>
      </w:r>
      <w:r w:rsidRPr="00024DCA">
        <w:t xml:space="preserve"> la proposition de la </w:t>
      </w:r>
      <w:r w:rsidRPr="00024DCA">
        <w:t>Commission</w:t>
      </w:r>
      <w:r w:rsidRPr="00024DCA" w:rsidR="00CF2CF7">
        <w:t>;</w:t>
      </w:r>
    </w:p>
    <w:p w:rsidR="00EE1721" w:rsidRPr="00024DCA" w:rsidP="00EE1721" w14:paraId="4AA752F0" w14:textId="2FB9CC79">
      <w:pPr>
        <w:pStyle w:val="NormalHanging12a"/>
      </w:pPr>
      <w:r w:rsidRPr="00024DCA">
        <w:t>2.</w:t>
      </w:r>
      <w:r w:rsidRPr="00024DCA">
        <w:tab/>
        <w:t xml:space="preserve">invite la Commission à </w:t>
      </w:r>
      <w:r w:rsidRPr="00024DCA" w:rsidR="00BF7A6F">
        <w:t xml:space="preserve">retirer </w:t>
      </w:r>
      <w:r w:rsidRPr="00024DCA">
        <w:t xml:space="preserve">sa </w:t>
      </w:r>
      <w:r w:rsidRPr="00024DCA">
        <w:t>proposition</w:t>
      </w:r>
      <w:r w:rsidRPr="00024DCA" w:rsidR="00CF2CF7">
        <w:t>;</w:t>
      </w:r>
    </w:p>
    <w:p w:rsidR="00E365E1" w:rsidRPr="00024DCA" w:rsidP="00AD7E57" w14:paraId="5539F903" w14:textId="3BFDAFB9">
      <w:pPr>
        <w:pStyle w:val="NormalHanging12a"/>
      </w:pPr>
      <w:r w:rsidRPr="00024DCA">
        <w:t>3</w:t>
      </w:r>
      <w:r w:rsidRPr="00024DCA" w:rsidR="00EE1721">
        <w:t>.</w:t>
      </w:r>
      <w:r w:rsidRPr="00024DCA" w:rsidR="00EE1721">
        <w:tab/>
        <w:t>charge sa Présidente de transmettre la position du Parlement au Conseil et à la Commission ainsi qu’aux parlements nationaux.</w:t>
      </w:r>
    </w:p>
    <w:sectPr w:rsidSect="00626B52">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26B52" w14:paraId="74D0E1CE"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26B52" w14:paraId="4ABFF72C"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26B52" w14:paraId="7D942523"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E7D03" w:rsidRPr="00626B52" w14:paraId="33F91256" w14:textId="77777777">
      <w:r w:rsidRPr="00626B52">
        <w:separator/>
      </w:r>
    </w:p>
  </w:footnote>
  <w:footnote w:type="continuationSeparator" w:id="1">
    <w:p w:rsidR="005E7D03" w:rsidRPr="00626B52" w14:paraId="65845476" w14:textId="77777777">
      <w:r w:rsidRPr="00626B52">
        <w:continuationSeparator/>
      </w:r>
    </w:p>
  </w:footnote>
  <w:footnote w:id="2">
    <w:p w:rsidR="00EE1721" w:rsidRPr="00626B52" w:rsidP="00626B52" w14:paraId="34905937" w14:textId="5A700631">
      <w:pPr>
        <w:pStyle w:val="FootnoteText"/>
        <w:ind w:left="567" w:hanging="567"/>
        <w:rPr>
          <w:sz w:val="24"/>
        </w:rPr>
      </w:pPr>
      <w:r w:rsidRPr="00626B52">
        <w:rPr>
          <w:rStyle w:val="FootnoteReference"/>
          <w:sz w:val="24"/>
        </w:rPr>
        <w:footnoteRef/>
      </w:r>
      <w:r w:rsidRPr="00626B52" w:rsidR="00626B52">
        <w:rPr>
          <w:sz w:val="24"/>
        </w:rPr>
        <w:t xml:space="preserve"> </w:t>
      </w:r>
      <w:r w:rsidRPr="00626B52" w:rsidR="00626B52">
        <w:rPr>
          <w:sz w:val="24"/>
        </w:rPr>
        <w:tab/>
      </w:r>
      <w:r w:rsidRPr="00626B52">
        <w:rPr>
          <w:sz w:val="24"/>
        </w:rPr>
        <w:t>JO C 77 du 28.3.2002, p.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26B52" w14:paraId="2CAE06CF"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26B52" w14:paraId="03C7A5BA"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26B52" w14:paraId="072A8B6C"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96330114">
    <w:abstractNumId w:val="9"/>
  </w:num>
  <w:num w:numId="2" w16cid:durableId="113331873">
    <w:abstractNumId w:val="9"/>
  </w:num>
  <w:num w:numId="3" w16cid:durableId="49576830">
    <w:abstractNumId w:val="7"/>
  </w:num>
  <w:num w:numId="4" w16cid:durableId="1076973079">
    <w:abstractNumId w:val="7"/>
  </w:num>
  <w:num w:numId="5" w16cid:durableId="1871914188">
    <w:abstractNumId w:val="6"/>
  </w:num>
  <w:num w:numId="6" w16cid:durableId="908736945">
    <w:abstractNumId w:val="6"/>
  </w:num>
  <w:num w:numId="7" w16cid:durableId="939263640">
    <w:abstractNumId w:val="5"/>
  </w:num>
  <w:num w:numId="8" w16cid:durableId="1435590905">
    <w:abstractNumId w:val="5"/>
  </w:num>
  <w:num w:numId="9" w16cid:durableId="994265928">
    <w:abstractNumId w:val="4"/>
  </w:num>
  <w:num w:numId="10" w16cid:durableId="1076514345">
    <w:abstractNumId w:val="4"/>
  </w:num>
  <w:num w:numId="11" w16cid:durableId="1200826080">
    <w:abstractNumId w:val="8"/>
  </w:num>
  <w:num w:numId="12" w16cid:durableId="448668524">
    <w:abstractNumId w:val="8"/>
  </w:num>
  <w:num w:numId="13" w16cid:durableId="1459954076">
    <w:abstractNumId w:val="3"/>
  </w:num>
  <w:num w:numId="14" w16cid:durableId="801113048">
    <w:abstractNumId w:val="3"/>
  </w:num>
  <w:num w:numId="15" w16cid:durableId="2013945165">
    <w:abstractNumId w:val="2"/>
  </w:num>
  <w:num w:numId="16" w16cid:durableId="1950316568">
    <w:abstractNumId w:val="2"/>
  </w:num>
  <w:num w:numId="17" w16cid:durableId="1074663469">
    <w:abstractNumId w:val="1"/>
  </w:num>
  <w:num w:numId="18" w16cid:durableId="267783482">
    <w:abstractNumId w:val="1"/>
  </w:num>
  <w:num w:numId="19" w16cid:durableId="909539161">
    <w:abstractNumId w:val="0"/>
  </w:num>
  <w:num w:numId="20" w16cid:durableId="555090437">
    <w:abstractNumId w:val="0"/>
  </w:num>
  <w:num w:numId="21" w16cid:durableId="781923621">
    <w:abstractNumId w:val="9"/>
  </w:num>
  <w:num w:numId="22" w16cid:durableId="1420054911">
    <w:abstractNumId w:val="7"/>
  </w:num>
  <w:num w:numId="23" w16cid:durableId="320157177">
    <w:abstractNumId w:val="6"/>
  </w:num>
  <w:num w:numId="24" w16cid:durableId="1343706939">
    <w:abstractNumId w:val="5"/>
  </w:num>
  <w:num w:numId="25" w16cid:durableId="531038988">
    <w:abstractNumId w:val="4"/>
  </w:num>
  <w:num w:numId="26" w16cid:durableId="45298378">
    <w:abstractNumId w:val="8"/>
  </w:num>
  <w:num w:numId="27" w16cid:durableId="451482669">
    <w:abstractNumId w:val="3"/>
  </w:num>
  <w:num w:numId="28" w16cid:durableId="1719427828">
    <w:abstractNumId w:val="2"/>
  </w:num>
  <w:num w:numId="29" w16cid:durableId="702905941">
    <w:abstractNumId w:val="1"/>
  </w:num>
  <w:num w:numId="30" w16cid:durableId="360398033">
    <w:abstractNumId w:val="0"/>
  </w:num>
  <w:num w:numId="31" w16cid:durableId="84347726">
    <w:abstractNumId w:val="9"/>
  </w:num>
  <w:num w:numId="32" w16cid:durableId="1851413487">
    <w:abstractNumId w:val="7"/>
  </w:num>
  <w:num w:numId="33" w16cid:durableId="592009272">
    <w:abstractNumId w:val="6"/>
  </w:num>
  <w:num w:numId="34" w16cid:durableId="1202014788">
    <w:abstractNumId w:val="5"/>
  </w:num>
  <w:num w:numId="35" w16cid:durableId="823471888">
    <w:abstractNumId w:val="4"/>
  </w:num>
  <w:num w:numId="36" w16cid:durableId="215092537">
    <w:abstractNumId w:val="8"/>
  </w:num>
  <w:num w:numId="37" w16cid:durableId="202598539">
    <w:abstractNumId w:val="3"/>
  </w:num>
  <w:num w:numId="38" w16cid:durableId="1673951273">
    <w:abstractNumId w:val="2"/>
  </w:num>
  <w:num w:numId="39" w16cid:durableId="1673685050">
    <w:abstractNumId w:val="1"/>
  </w:num>
  <w:num w:numId="40" w16cid:durableId="1344167694">
    <w:abstractNumId w:val="0"/>
  </w:num>
  <w:num w:numId="41" w16cid:durableId="1011761653">
    <w:abstractNumId w:val="10"/>
  </w:num>
  <w:num w:numId="42" w16cid:durableId="1223256524">
    <w:abstractNumId w:val="10"/>
  </w:num>
  <w:num w:numId="43" w16cid:durableId="1393238690">
    <w:abstractNumId w:val="10"/>
  </w:num>
  <w:num w:numId="44" w16cid:durableId="15635223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D03"/>
    <w:rsid w:val="00002272"/>
    <w:rsid w:val="00024DCA"/>
    <w:rsid w:val="0002544A"/>
    <w:rsid w:val="00064002"/>
    <w:rsid w:val="000677B9"/>
    <w:rsid w:val="000831BA"/>
    <w:rsid w:val="00090D2E"/>
    <w:rsid w:val="000A42CC"/>
    <w:rsid w:val="000E7DD9"/>
    <w:rsid w:val="0010095E"/>
    <w:rsid w:val="00125B37"/>
    <w:rsid w:val="00187494"/>
    <w:rsid w:val="001F32AE"/>
    <w:rsid w:val="002767FF"/>
    <w:rsid w:val="002B18FE"/>
    <w:rsid w:val="002B5493"/>
    <w:rsid w:val="00317B4D"/>
    <w:rsid w:val="00343214"/>
    <w:rsid w:val="00361C00"/>
    <w:rsid w:val="00395FA1"/>
    <w:rsid w:val="003E15D4"/>
    <w:rsid w:val="00411CCE"/>
    <w:rsid w:val="0041232E"/>
    <w:rsid w:val="0041666E"/>
    <w:rsid w:val="00421060"/>
    <w:rsid w:val="00467EAB"/>
    <w:rsid w:val="00471C19"/>
    <w:rsid w:val="004867E3"/>
    <w:rsid w:val="00494A28"/>
    <w:rsid w:val="004A33CA"/>
    <w:rsid w:val="004C0004"/>
    <w:rsid w:val="004C5D52"/>
    <w:rsid w:val="0050519A"/>
    <w:rsid w:val="005072A1"/>
    <w:rsid w:val="00514517"/>
    <w:rsid w:val="00545827"/>
    <w:rsid w:val="00560270"/>
    <w:rsid w:val="00596E00"/>
    <w:rsid w:val="005C2568"/>
    <w:rsid w:val="005E7D03"/>
    <w:rsid w:val="005F1B17"/>
    <w:rsid w:val="006003C3"/>
    <w:rsid w:val="006037C0"/>
    <w:rsid w:val="00626B52"/>
    <w:rsid w:val="006631B6"/>
    <w:rsid w:val="00680577"/>
    <w:rsid w:val="006E3446"/>
    <w:rsid w:val="006F74FA"/>
    <w:rsid w:val="00731ADD"/>
    <w:rsid w:val="00734777"/>
    <w:rsid w:val="00747932"/>
    <w:rsid w:val="00751A4A"/>
    <w:rsid w:val="00756632"/>
    <w:rsid w:val="00762C74"/>
    <w:rsid w:val="007866BE"/>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7963"/>
    <w:rsid w:val="00A1687D"/>
    <w:rsid w:val="00A43E52"/>
    <w:rsid w:val="00A4678D"/>
    <w:rsid w:val="00A778C7"/>
    <w:rsid w:val="00AB441E"/>
    <w:rsid w:val="00AB6293"/>
    <w:rsid w:val="00AD7E57"/>
    <w:rsid w:val="00AE0928"/>
    <w:rsid w:val="00AF3B82"/>
    <w:rsid w:val="00B12E95"/>
    <w:rsid w:val="00B22876"/>
    <w:rsid w:val="00B558F0"/>
    <w:rsid w:val="00BD48FE"/>
    <w:rsid w:val="00BD7BD8"/>
    <w:rsid w:val="00BE6ADC"/>
    <w:rsid w:val="00BF7A6F"/>
    <w:rsid w:val="00C05BFE"/>
    <w:rsid w:val="00C23CD4"/>
    <w:rsid w:val="00C61C0C"/>
    <w:rsid w:val="00C941CB"/>
    <w:rsid w:val="00CC2357"/>
    <w:rsid w:val="00CF071A"/>
    <w:rsid w:val="00CF2CF7"/>
    <w:rsid w:val="00D058B8"/>
    <w:rsid w:val="00D3490A"/>
    <w:rsid w:val="00D56C11"/>
    <w:rsid w:val="00D834A0"/>
    <w:rsid w:val="00D872DF"/>
    <w:rsid w:val="00D91E21"/>
    <w:rsid w:val="00DA7FCD"/>
    <w:rsid w:val="00E365E1"/>
    <w:rsid w:val="00E820A4"/>
    <w:rsid w:val="00EB006A"/>
    <w:rsid w:val="00EB4772"/>
    <w:rsid w:val="00ED169E"/>
    <w:rsid w:val="00ED4235"/>
    <w:rsid w:val="00EE1721"/>
    <w:rsid w:val="00EF1682"/>
    <w:rsid w:val="00F04346"/>
    <w:rsid w:val="00F075DC"/>
    <w:rsid w:val="00F149E9"/>
    <w:rsid w:val="00F472FB"/>
    <w:rsid w:val="00F5134D"/>
    <w:rsid w:val="00F628C3"/>
    <w:rsid w:val="00F74202"/>
    <w:rsid w:val="00F87713"/>
    <w:rsid w:val="00FB4360"/>
    <w:rsid w:val="00FD0C70"/>
  </w:rsids>
  <w:docVars>
    <w:docVar w:name="dvdocse" w:val="A10-0161/2026"/>
    <w:docVar w:name="dvlangue" w:val="FR"/>
    <w:docVar w:name="dvnumam" w:val="87"/>
    <w:docVar w:name="dvpe" w:val="784.398"/>
    <w:docVar w:name="dvrapporteur" w:val="Rapporteur: "/>
    <w:docVar w:name="dvstar" w:val="*"/>
    <w:docVar w:name="dvtitre" w:val="Résolution législative du Parlement européen du 17 juin 2026 sur la proposition de directive du Conseil concernant la structure et les taux de l’accise applicable au tabac et aux produits connexes (refonte)(COM(2025)0580 – C10-0207/2025 – 2025/0580(CNS))"/>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530E61E"/>
  <w15:chartTrackingRefBased/>
  <w15:docId w15:val="{9832A91A-8CEC-4FAB-9319-AA301476E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qFormat/>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EE1721"/>
    <w:rPr>
      <w:b/>
      <w:kern w:val="28"/>
      <w:sz w:val="28"/>
      <w:lang w:val="fr-FR" w:eastAsia="fr-FR"/>
    </w:rPr>
  </w:style>
  <w:style w:type="character" w:customStyle="1" w:styleId="Heading2Char">
    <w:name w:val="Heading 2 Char"/>
    <w:basedOn w:val="DefaultParagraphFont"/>
    <w:link w:val="Heading2"/>
    <w:semiHidden/>
    <w:rsid w:val="00EE1721"/>
    <w:rPr>
      <w:sz w:val="24"/>
      <w:lang w:val="fr-FR" w:eastAsia="fr-FR"/>
    </w:rPr>
  </w:style>
  <w:style w:type="character" w:customStyle="1" w:styleId="Heading3Char">
    <w:name w:val="Heading 3 Char"/>
    <w:basedOn w:val="DefaultParagraphFont"/>
    <w:link w:val="Heading3"/>
    <w:semiHidden/>
    <w:rsid w:val="00EE1721"/>
    <w:rPr>
      <w:rFonts w:ascii="Arial" w:hAnsi="Arial"/>
      <w:sz w:val="24"/>
      <w:lang w:val="fr-FR" w:eastAsia="fr-FR"/>
    </w:rPr>
  </w:style>
  <w:style w:type="character" w:customStyle="1" w:styleId="Heading4Char">
    <w:name w:val="Heading 4 Char"/>
    <w:basedOn w:val="DefaultParagraphFont"/>
    <w:link w:val="Heading4"/>
    <w:semiHidden/>
    <w:rsid w:val="00EE1721"/>
    <w:rPr>
      <w:sz w:val="24"/>
      <w:lang w:val="en-US" w:eastAsia="fr-FR"/>
    </w:rPr>
  </w:style>
  <w:style w:type="character" w:customStyle="1" w:styleId="Heading5Char">
    <w:name w:val="Heading 5 Char"/>
    <w:basedOn w:val="DefaultParagraphFont"/>
    <w:link w:val="Heading5"/>
    <w:semiHidden/>
    <w:rsid w:val="00EE1721"/>
    <w:rPr>
      <w:sz w:val="24"/>
      <w:lang w:val="en-US" w:eastAsia="fr-FR"/>
    </w:rPr>
  </w:style>
  <w:style w:type="character" w:customStyle="1" w:styleId="Heading6Char">
    <w:name w:val="Heading 6 Char"/>
    <w:basedOn w:val="DefaultParagraphFont"/>
    <w:link w:val="Heading6"/>
    <w:semiHidden/>
    <w:rsid w:val="00EE1721"/>
    <w:rPr>
      <w:i/>
      <w:sz w:val="22"/>
      <w:lang w:val="fr-FR"/>
    </w:rPr>
  </w:style>
  <w:style w:type="character" w:customStyle="1" w:styleId="Heading7Char">
    <w:name w:val="Heading 7 Char"/>
    <w:basedOn w:val="DefaultParagraphFont"/>
    <w:link w:val="Heading7"/>
    <w:semiHidden/>
    <w:rsid w:val="00EE1721"/>
    <w:rPr>
      <w:rFonts w:ascii="Arial" w:hAnsi="Arial"/>
      <w:sz w:val="24"/>
      <w:lang w:val="fr-FR"/>
    </w:rPr>
  </w:style>
  <w:style w:type="character" w:customStyle="1" w:styleId="Heading8Char">
    <w:name w:val="Heading 8 Char"/>
    <w:basedOn w:val="DefaultParagraphFont"/>
    <w:link w:val="Heading8"/>
    <w:semiHidden/>
    <w:rsid w:val="00EE1721"/>
    <w:rPr>
      <w:rFonts w:ascii="Arial" w:hAnsi="Arial"/>
      <w:i/>
      <w:sz w:val="24"/>
      <w:lang w:val="fr-FR"/>
    </w:rPr>
  </w:style>
  <w:style w:type="character" w:customStyle="1" w:styleId="Heading9Char">
    <w:name w:val="Heading 9 Char"/>
    <w:basedOn w:val="DefaultParagraphFont"/>
    <w:link w:val="Heading9"/>
    <w:semiHidden/>
    <w:rsid w:val="00EE1721"/>
    <w:rPr>
      <w:rFonts w:ascii="Arial" w:hAnsi="Arial"/>
      <w:b/>
      <w:i/>
      <w:sz w:val="18"/>
      <w:lang w:val="fr-FR"/>
    </w:rPr>
  </w:style>
  <w:style w:type="paragraph" w:styleId="TOCHeading">
    <w:name w:val="TOC Heading"/>
    <w:basedOn w:val="Normal"/>
    <w:next w:val="Normal"/>
    <w:unhideWhenUsed/>
    <w:qFormat/>
    <w:rsid w:val="00EE1721"/>
    <w:pPr>
      <w:widowControl/>
      <w:spacing w:after="240"/>
    </w:pPr>
    <w:rPr>
      <w:lang w:val="en-GB"/>
    </w:rPr>
  </w:style>
  <w:style w:type="paragraph" w:customStyle="1" w:styleId="PageHeading">
    <w:name w:val="PageHeading"/>
    <w:basedOn w:val="Normal"/>
    <w:rsid w:val="00EE1721"/>
    <w:pPr>
      <w:keepNext/>
      <w:spacing w:after="480"/>
      <w:jc w:val="center"/>
    </w:pPr>
    <w:rPr>
      <w:rFonts w:ascii="Arial" w:hAnsi="Arial" w:cs="Arial"/>
      <w:b/>
    </w:rPr>
  </w:style>
  <w:style w:type="paragraph" w:customStyle="1" w:styleId="EPFooter2">
    <w:name w:val="EPFooter2"/>
    <w:basedOn w:val="Normal"/>
    <w:next w:val="Normal"/>
    <w:rsid w:val="00EE1721"/>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EE1721"/>
    <w:pPr>
      <w:spacing w:after="240"/>
    </w:pPr>
  </w:style>
  <w:style w:type="paragraph" w:customStyle="1" w:styleId="TOCPage">
    <w:name w:val="TOC Page"/>
    <w:basedOn w:val="Normal"/>
    <w:next w:val="TOC1"/>
    <w:rsid w:val="00EE1721"/>
    <w:pPr>
      <w:keepNext/>
      <w:spacing w:after="240"/>
      <w:jc w:val="right"/>
    </w:pPr>
    <w:rPr>
      <w:rFonts w:ascii="Arial" w:hAnsi="Arial"/>
      <w:b/>
    </w:rPr>
  </w:style>
  <w:style w:type="paragraph" w:customStyle="1" w:styleId="NormalBold12a">
    <w:name w:val="NormalBold12a"/>
    <w:basedOn w:val="Normal"/>
    <w:rsid w:val="00EE1721"/>
    <w:pPr>
      <w:spacing w:after="240"/>
    </w:pPr>
    <w:rPr>
      <w:b/>
    </w:rPr>
  </w:style>
  <w:style w:type="paragraph" w:customStyle="1" w:styleId="NormalHanging12a">
    <w:name w:val="NormalHanging12a"/>
    <w:basedOn w:val="Normal"/>
    <w:rsid w:val="00EE1721"/>
    <w:pPr>
      <w:spacing w:after="240"/>
      <w:ind w:left="567" w:hanging="567"/>
    </w:pPr>
  </w:style>
  <w:style w:type="paragraph" w:customStyle="1" w:styleId="Normal6a">
    <w:name w:val="Normal6a"/>
    <w:basedOn w:val="Normal"/>
    <w:rsid w:val="00EE1721"/>
    <w:pPr>
      <w:spacing w:after="120"/>
    </w:pPr>
  </w:style>
  <w:style w:type="paragraph" w:customStyle="1" w:styleId="CoverNormal24a">
    <w:name w:val="CoverNormal24a"/>
    <w:basedOn w:val="Normal"/>
    <w:rsid w:val="00EE1721"/>
    <w:pPr>
      <w:spacing w:after="480"/>
      <w:ind w:left="1417"/>
    </w:pPr>
  </w:style>
  <w:style w:type="paragraph" w:customStyle="1" w:styleId="CoverNormal">
    <w:name w:val="CoverNormal"/>
    <w:basedOn w:val="Normal"/>
    <w:rsid w:val="00EE1721"/>
    <w:pPr>
      <w:ind w:left="1418"/>
    </w:pPr>
  </w:style>
  <w:style w:type="paragraph" w:customStyle="1" w:styleId="CoverReference">
    <w:name w:val="CoverReference"/>
    <w:basedOn w:val="Normal"/>
    <w:rsid w:val="00EE1721"/>
    <w:pPr>
      <w:spacing w:before="1080"/>
      <w:jc w:val="right"/>
    </w:pPr>
    <w:rPr>
      <w:rFonts w:ascii="Arial" w:hAnsi="Arial" w:cs="Arial"/>
      <w:b/>
    </w:rPr>
  </w:style>
  <w:style w:type="paragraph" w:customStyle="1" w:styleId="NormalBold">
    <w:name w:val="NormalBold"/>
    <w:basedOn w:val="Normal"/>
    <w:link w:val="NormalBoldChar"/>
    <w:rsid w:val="00EE1721"/>
    <w:rPr>
      <w:b/>
    </w:rPr>
  </w:style>
  <w:style w:type="paragraph" w:customStyle="1" w:styleId="CoverDocType">
    <w:name w:val="CoverDocType"/>
    <w:basedOn w:val="Normal"/>
    <w:rsid w:val="00EE1721"/>
    <w:pPr>
      <w:ind w:left="1418"/>
    </w:pPr>
    <w:rPr>
      <w:rFonts w:ascii="Arial" w:hAnsi="Arial"/>
      <w:b/>
      <w:sz w:val="48"/>
    </w:rPr>
  </w:style>
  <w:style w:type="paragraph" w:customStyle="1" w:styleId="CoverDocType24a">
    <w:name w:val="CoverDocType24a"/>
    <w:basedOn w:val="Normal"/>
    <w:rsid w:val="00EE1721"/>
    <w:pPr>
      <w:spacing w:after="480"/>
      <w:ind w:left="1418"/>
    </w:pPr>
    <w:rPr>
      <w:rFonts w:ascii="Arial" w:hAnsi="Arial"/>
      <w:b/>
      <w:sz w:val="48"/>
    </w:rPr>
  </w:style>
  <w:style w:type="paragraph" w:customStyle="1" w:styleId="CoverDate">
    <w:name w:val="CoverDate"/>
    <w:basedOn w:val="Normal"/>
    <w:rsid w:val="00EE1721"/>
    <w:pPr>
      <w:spacing w:before="240" w:after="1200"/>
    </w:pPr>
  </w:style>
  <w:style w:type="paragraph" w:styleId="Header">
    <w:name w:val="header"/>
    <w:basedOn w:val="Normal"/>
    <w:link w:val="HeaderChar"/>
    <w:rsid w:val="00EE1721"/>
    <w:pPr>
      <w:tabs>
        <w:tab w:val="center" w:pos="4513"/>
        <w:tab w:val="right" w:pos="9026"/>
      </w:tabs>
    </w:pPr>
  </w:style>
  <w:style w:type="character" w:customStyle="1" w:styleId="HeaderChar">
    <w:name w:val="Header Char"/>
    <w:basedOn w:val="DefaultParagraphFont"/>
    <w:link w:val="Header"/>
    <w:rsid w:val="00EE1721"/>
    <w:rPr>
      <w:sz w:val="24"/>
      <w:lang w:val="fr-FR"/>
    </w:rPr>
  </w:style>
  <w:style w:type="paragraph" w:customStyle="1" w:styleId="AnnexWPLogo">
    <w:name w:val="AnnexWPLogo"/>
    <w:basedOn w:val="Normal"/>
    <w:rsid w:val="00EE1721"/>
    <w:pPr>
      <w:spacing w:before="120" w:after="120"/>
    </w:pPr>
  </w:style>
  <w:style w:type="paragraph" w:customStyle="1" w:styleId="AnnexWPTabs">
    <w:name w:val="AnnexWPTabs"/>
    <w:basedOn w:val="Normal"/>
    <w:rsid w:val="00EE1721"/>
    <w:pPr>
      <w:tabs>
        <w:tab w:val="right" w:pos="3686"/>
        <w:tab w:val="left" w:pos="3827"/>
      </w:tabs>
    </w:pPr>
    <w:rPr>
      <w:b/>
    </w:rPr>
  </w:style>
  <w:style w:type="paragraph" w:customStyle="1" w:styleId="AnnexWPDate">
    <w:name w:val="AnnexWPDate"/>
    <w:basedOn w:val="Normal"/>
    <w:rsid w:val="00EE1721"/>
    <w:pPr>
      <w:spacing w:before="240" w:after="480"/>
      <w:jc w:val="right"/>
    </w:pPr>
  </w:style>
  <w:style w:type="paragraph" w:customStyle="1" w:styleId="AnnexWPSmall">
    <w:name w:val="AnnexWPSmall"/>
    <w:basedOn w:val="Normal"/>
    <w:rsid w:val="00EE1721"/>
    <w:rPr>
      <w:smallCaps/>
      <w:sz w:val="20"/>
    </w:rPr>
  </w:style>
  <w:style w:type="paragraph" w:customStyle="1" w:styleId="AnnexWPDocType">
    <w:name w:val="AnnexWPDocType"/>
    <w:basedOn w:val="Normal"/>
    <w:rsid w:val="00EE1721"/>
    <w:pPr>
      <w:spacing w:after="240"/>
      <w:jc w:val="center"/>
    </w:pPr>
    <w:rPr>
      <w:b/>
    </w:rPr>
  </w:style>
  <w:style w:type="paragraph" w:customStyle="1" w:styleId="AnnexWPTitle">
    <w:name w:val="AnnexWPTitle"/>
    <w:basedOn w:val="Normal"/>
    <w:rsid w:val="00EE1721"/>
    <w:pPr>
      <w:spacing w:before="480"/>
    </w:pPr>
    <w:rPr>
      <w:b/>
    </w:rPr>
  </w:style>
  <w:style w:type="paragraph" w:customStyle="1" w:styleId="AmJustText">
    <w:name w:val="AmJustText"/>
    <w:basedOn w:val="Normal"/>
    <w:rsid w:val="00EE1721"/>
    <w:pPr>
      <w:spacing w:after="240"/>
    </w:pPr>
    <w:rPr>
      <w:i/>
    </w:rPr>
  </w:style>
  <w:style w:type="paragraph" w:customStyle="1" w:styleId="AmCrossRef">
    <w:name w:val="AmCrossRef"/>
    <w:basedOn w:val="Normal"/>
    <w:rsid w:val="00EE1721"/>
    <w:pPr>
      <w:spacing w:before="240" w:after="240"/>
      <w:jc w:val="center"/>
    </w:pPr>
    <w:rPr>
      <w:i/>
    </w:rPr>
  </w:style>
  <w:style w:type="paragraph" w:customStyle="1" w:styleId="AmJustTitle">
    <w:name w:val="AmJustTitle"/>
    <w:basedOn w:val="Normal"/>
    <w:next w:val="AmJustText"/>
    <w:rsid w:val="00EE1721"/>
    <w:pPr>
      <w:keepNext/>
      <w:spacing w:before="240" w:after="240"/>
      <w:jc w:val="center"/>
    </w:pPr>
    <w:rPr>
      <w:i/>
    </w:rPr>
  </w:style>
  <w:style w:type="paragraph" w:customStyle="1" w:styleId="AmOrLang">
    <w:name w:val="AmOrLang"/>
    <w:basedOn w:val="Normal"/>
    <w:rsid w:val="00EE1721"/>
    <w:pPr>
      <w:spacing w:before="240" w:after="240"/>
      <w:jc w:val="right"/>
    </w:pPr>
  </w:style>
  <w:style w:type="paragraph" w:customStyle="1" w:styleId="AmColumnHeading">
    <w:name w:val="AmColumnHeading"/>
    <w:basedOn w:val="Normal"/>
    <w:rsid w:val="00EE1721"/>
    <w:pPr>
      <w:spacing w:after="240"/>
      <w:jc w:val="center"/>
    </w:pPr>
    <w:rPr>
      <w:i/>
    </w:rPr>
  </w:style>
  <w:style w:type="paragraph" w:customStyle="1" w:styleId="AmNumberTabs">
    <w:name w:val="AmNumberTabs"/>
    <w:basedOn w:val="Normal"/>
    <w:rsid w:val="00EE172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EE1721"/>
    <w:pPr>
      <w:spacing w:before="240"/>
    </w:pPr>
    <w:rPr>
      <w:b/>
    </w:rPr>
  </w:style>
  <w:style w:type="paragraph" w:customStyle="1" w:styleId="EPBody">
    <w:name w:val="EPBody"/>
    <w:basedOn w:val="Normal"/>
    <w:rsid w:val="00EE1721"/>
    <w:pPr>
      <w:jc w:val="center"/>
    </w:pPr>
    <w:rPr>
      <w:rFonts w:ascii="Arial" w:hAnsi="Arial" w:cs="Arial"/>
      <w:i/>
      <w:sz w:val="22"/>
      <w:szCs w:val="22"/>
    </w:rPr>
  </w:style>
  <w:style w:type="paragraph" w:customStyle="1" w:styleId="EPFooter">
    <w:name w:val="EPFooter"/>
    <w:basedOn w:val="Normal"/>
    <w:rsid w:val="00EE1721"/>
    <w:pPr>
      <w:tabs>
        <w:tab w:val="center" w:pos="4535"/>
        <w:tab w:val="right" w:pos="9071"/>
      </w:tabs>
      <w:spacing w:before="240" w:after="240"/>
    </w:pPr>
    <w:rPr>
      <w:color w:val="010000"/>
      <w:sz w:val="22"/>
    </w:rPr>
  </w:style>
  <w:style w:type="paragraph" w:customStyle="1" w:styleId="EPComma">
    <w:name w:val="EPComma"/>
    <w:basedOn w:val="Normal"/>
    <w:rsid w:val="00EE1721"/>
    <w:pPr>
      <w:spacing w:before="480" w:after="240"/>
    </w:pPr>
  </w:style>
  <w:style w:type="character" w:customStyle="1" w:styleId="NormalBoldChar">
    <w:name w:val="NormalBold Char"/>
    <w:basedOn w:val="DefaultParagraphFont"/>
    <w:link w:val="NormalBold"/>
    <w:locked/>
    <w:rsid w:val="00EE1721"/>
    <w:rPr>
      <w:b/>
      <w:sz w:val="24"/>
      <w:lang w:val="fr-FR"/>
    </w:rPr>
  </w:style>
  <w:style w:type="paragraph" w:customStyle="1" w:styleId="Lgendesigne">
    <w:name w:val="Légende signe"/>
    <w:basedOn w:val="Normal"/>
    <w:rsid w:val="00EE1721"/>
    <w:pPr>
      <w:tabs>
        <w:tab w:val="right" w:pos="454"/>
        <w:tab w:val="left" w:pos="737"/>
      </w:tabs>
      <w:ind w:left="737" w:hanging="737"/>
    </w:pPr>
    <w:rPr>
      <w:snapToGrid w:val="0"/>
      <w:sz w:val="18"/>
      <w:lang w:eastAsia="en-US"/>
    </w:rPr>
  </w:style>
  <w:style w:type="paragraph" w:customStyle="1" w:styleId="Lgendetitre">
    <w:name w:val="Légende titre"/>
    <w:basedOn w:val="Normal"/>
    <w:rsid w:val="00EE1721"/>
    <w:pPr>
      <w:spacing w:before="240" w:after="240"/>
    </w:pPr>
    <w:rPr>
      <w:b/>
      <w:i/>
      <w:snapToGrid w:val="0"/>
      <w:lang w:eastAsia="en-US"/>
    </w:rPr>
  </w:style>
  <w:style w:type="paragraph" w:customStyle="1" w:styleId="Lgendestandard">
    <w:name w:val="Légende standard"/>
    <w:basedOn w:val="Normal"/>
    <w:rsid w:val="00EE1721"/>
    <w:rPr>
      <w:sz w:val="18"/>
    </w:rPr>
  </w:style>
  <w:style w:type="paragraph" w:customStyle="1" w:styleId="LetterDate">
    <w:name w:val="LetterDate"/>
    <w:basedOn w:val="Normal"/>
    <w:rsid w:val="00EE1721"/>
    <w:pPr>
      <w:spacing w:before="720" w:after="240"/>
    </w:pPr>
  </w:style>
  <w:style w:type="paragraph" w:customStyle="1" w:styleId="LetterSalutation">
    <w:name w:val="LetterSalutation"/>
    <w:basedOn w:val="Normal"/>
    <w:rsid w:val="00EE1721"/>
    <w:pPr>
      <w:spacing w:before="600" w:after="360"/>
    </w:pPr>
  </w:style>
  <w:style w:type="paragraph" w:customStyle="1" w:styleId="LetterSubject">
    <w:name w:val="LetterSubject"/>
    <w:basedOn w:val="Normal"/>
    <w:rsid w:val="00EE1721"/>
    <w:pPr>
      <w:spacing w:before="480"/>
      <w:ind w:left="1134" w:hanging="1134"/>
    </w:pPr>
  </w:style>
  <w:style w:type="paragraph" w:customStyle="1" w:styleId="LetterSignature66b">
    <w:name w:val="LetterSignature66b"/>
    <w:basedOn w:val="Normal"/>
    <w:next w:val="Normal"/>
    <w:rsid w:val="00EE1721"/>
    <w:pPr>
      <w:spacing w:before="1320"/>
    </w:pPr>
  </w:style>
  <w:style w:type="paragraph" w:customStyle="1" w:styleId="msonormal">
    <w:name w:val="msonormal"/>
    <w:basedOn w:val="Normal"/>
    <w:rsid w:val="00EE1721"/>
    <w:pPr>
      <w:widowControl/>
      <w:spacing w:before="100" w:beforeAutospacing="1" w:after="100" w:afterAutospacing="1"/>
    </w:pPr>
    <w:rPr>
      <w:szCs w:val="24"/>
    </w:rPr>
  </w:style>
  <w:style w:type="character" w:customStyle="1" w:styleId="FooterChar">
    <w:name w:val="Footer Char"/>
    <w:basedOn w:val="DefaultParagraphFont"/>
    <w:link w:val="Footer"/>
    <w:rsid w:val="00EE1721"/>
    <w:rPr>
      <w:sz w:val="22"/>
    </w:rPr>
  </w:style>
  <w:style w:type="paragraph" w:styleId="Footer">
    <w:name w:val="footer"/>
    <w:link w:val="FooterChar"/>
    <w:unhideWhenUsed/>
    <w:rsid w:val="00EE1721"/>
    <w:pPr>
      <w:tabs>
        <w:tab w:val="center" w:pos="4536"/>
        <w:tab w:val="right" w:pos="9072"/>
      </w:tabs>
      <w:spacing w:before="240" w:after="240" w:line="220" w:lineRule="auto"/>
    </w:pPr>
    <w:rPr>
      <w:sz w:val="22"/>
    </w:rPr>
  </w:style>
  <w:style w:type="character" w:customStyle="1" w:styleId="FooterChar1">
    <w:name w:val="Footer Char1"/>
    <w:basedOn w:val="DefaultParagraphFont"/>
    <w:rsid w:val="00EE1721"/>
    <w:rPr>
      <w:sz w:val="24"/>
      <w:lang w:val="fr-FR"/>
    </w:rPr>
  </w:style>
  <w:style w:type="paragraph" w:styleId="BalloonText">
    <w:name w:val="Balloon Text"/>
    <w:basedOn w:val="Normal"/>
    <w:link w:val="BalloonTextChar"/>
    <w:unhideWhenUsed/>
    <w:rsid w:val="00EE1721"/>
    <w:rPr>
      <w:rFonts w:ascii="Segoe UI" w:hAnsi="Segoe UI" w:cs="Segoe UI"/>
      <w:sz w:val="18"/>
      <w:szCs w:val="18"/>
    </w:rPr>
  </w:style>
  <w:style w:type="character" w:customStyle="1" w:styleId="BalloonTextChar">
    <w:name w:val="Balloon Text Char"/>
    <w:basedOn w:val="DefaultParagraphFont"/>
    <w:link w:val="BalloonText"/>
    <w:rsid w:val="00EE1721"/>
    <w:rPr>
      <w:rFonts w:ascii="Segoe UI" w:hAnsi="Segoe UI" w:cs="Segoe UI"/>
      <w:sz w:val="18"/>
      <w:szCs w:val="18"/>
      <w:lang w:val="fr-FR"/>
    </w:rPr>
  </w:style>
  <w:style w:type="paragraph" w:customStyle="1" w:styleId="AMNumberTabs0">
    <w:name w:val="AMNumberTabs"/>
    <w:basedOn w:val="Normal"/>
    <w:rsid w:val="00EE172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Left">
    <w:name w:val="Normal Left"/>
    <w:basedOn w:val="Normal"/>
    <w:rsid w:val="00EE1721"/>
    <w:pPr>
      <w:widowControl/>
      <w:spacing w:before="120" w:after="120"/>
    </w:pPr>
    <w:rPr>
      <w:rFonts w:eastAsia="Calibri"/>
      <w:szCs w:val="22"/>
      <w:lang w:eastAsia="en-US"/>
    </w:rPr>
  </w:style>
  <w:style w:type="character" w:customStyle="1" w:styleId="Normal12Char">
    <w:name w:val="Normal12 Char"/>
    <w:basedOn w:val="DefaultParagraphFont"/>
    <w:link w:val="Normal12"/>
    <w:locked/>
    <w:rsid w:val="00EE1721"/>
    <w:rPr>
      <w:noProof/>
      <w:sz w:val="24"/>
    </w:rPr>
  </w:style>
  <w:style w:type="paragraph" w:customStyle="1" w:styleId="Normal12">
    <w:name w:val="Normal12"/>
    <w:basedOn w:val="Normal"/>
    <w:link w:val="Normal12Char"/>
    <w:rsid w:val="00EE1721"/>
    <w:pPr>
      <w:spacing w:after="240"/>
    </w:pPr>
    <w:rPr>
      <w:noProof/>
      <w:lang w:val="en-GB"/>
    </w:rPr>
  </w:style>
  <w:style w:type="paragraph" w:customStyle="1" w:styleId="CommitteeAM">
    <w:name w:val="CommitteeAM"/>
    <w:basedOn w:val="Normal"/>
    <w:rsid w:val="00EE1721"/>
    <w:pPr>
      <w:spacing w:before="240" w:after="600"/>
      <w:jc w:val="center"/>
    </w:pPr>
    <w:rPr>
      <w:i/>
    </w:rPr>
  </w:style>
  <w:style w:type="paragraph" w:customStyle="1" w:styleId="ZDateAM">
    <w:name w:val="ZDateAM"/>
    <w:basedOn w:val="Normal"/>
    <w:rsid w:val="00EE1721"/>
    <w:pPr>
      <w:tabs>
        <w:tab w:val="right" w:pos="9356"/>
      </w:tabs>
      <w:spacing w:after="480"/>
    </w:pPr>
    <w:rPr>
      <w:noProof/>
    </w:rPr>
  </w:style>
  <w:style w:type="paragraph" w:customStyle="1" w:styleId="ProjRap">
    <w:name w:val="ProjRap"/>
    <w:basedOn w:val="Normal"/>
    <w:rsid w:val="00EE1721"/>
    <w:pPr>
      <w:tabs>
        <w:tab w:val="right" w:pos="9356"/>
      </w:tabs>
    </w:pPr>
    <w:rPr>
      <w:b/>
      <w:noProof/>
    </w:rPr>
  </w:style>
  <w:style w:type="paragraph" w:customStyle="1" w:styleId="PELeft">
    <w:name w:val="PELeft"/>
    <w:basedOn w:val="Normal"/>
    <w:rsid w:val="00EE1721"/>
    <w:pPr>
      <w:spacing w:before="40" w:after="40"/>
    </w:pPr>
    <w:rPr>
      <w:rFonts w:ascii="Arial" w:hAnsi="Arial" w:cs="Arial"/>
      <w:sz w:val="22"/>
      <w:szCs w:val="22"/>
    </w:rPr>
  </w:style>
  <w:style w:type="paragraph" w:customStyle="1" w:styleId="PERight">
    <w:name w:val="PERight"/>
    <w:basedOn w:val="Normal"/>
    <w:next w:val="Normal"/>
    <w:rsid w:val="00EE1721"/>
    <w:pPr>
      <w:jc w:val="right"/>
    </w:pPr>
    <w:rPr>
      <w:rFonts w:ascii="Arial" w:hAnsi="Arial" w:cs="Arial"/>
      <w:sz w:val="22"/>
      <w:szCs w:val="22"/>
    </w:rPr>
  </w:style>
  <w:style w:type="character" w:customStyle="1" w:styleId="Normal6Char">
    <w:name w:val="Normal6 Char"/>
    <w:basedOn w:val="DefaultParagraphFont"/>
    <w:link w:val="Normal6"/>
    <w:locked/>
    <w:rsid w:val="00EE1721"/>
    <w:rPr>
      <w:sz w:val="24"/>
      <w:lang w:val="fr-FR"/>
    </w:rPr>
  </w:style>
  <w:style w:type="paragraph" w:customStyle="1" w:styleId="Normal6">
    <w:name w:val="Normal6"/>
    <w:basedOn w:val="Normal"/>
    <w:link w:val="Normal6Char"/>
    <w:rsid w:val="00EE1721"/>
    <w:pPr>
      <w:spacing w:after="120"/>
    </w:pPr>
  </w:style>
  <w:style w:type="paragraph" w:customStyle="1" w:styleId="Normal12Italic">
    <w:name w:val="Normal12Italic"/>
    <w:basedOn w:val="Normal12"/>
    <w:rsid w:val="00EE1721"/>
    <w:rPr>
      <w:i/>
    </w:rPr>
  </w:style>
  <w:style w:type="paragraph" w:customStyle="1" w:styleId="JustificationTitle">
    <w:name w:val="JustificationTitle"/>
    <w:basedOn w:val="Normal"/>
    <w:next w:val="Normal12"/>
    <w:rsid w:val="00EE1721"/>
    <w:pPr>
      <w:keepNext/>
      <w:spacing w:before="240" w:after="240"/>
      <w:jc w:val="center"/>
    </w:pPr>
    <w:rPr>
      <w:i/>
      <w:noProof/>
    </w:rPr>
  </w:style>
  <w:style w:type="paragraph" w:customStyle="1" w:styleId="Olang">
    <w:name w:val="Olang"/>
    <w:basedOn w:val="Normal"/>
    <w:rsid w:val="00EE1721"/>
    <w:pPr>
      <w:spacing w:before="240" w:after="240"/>
      <w:jc w:val="right"/>
    </w:pPr>
    <w:rPr>
      <w:noProof/>
      <w:szCs w:val="24"/>
    </w:rPr>
  </w:style>
  <w:style w:type="paragraph" w:customStyle="1" w:styleId="ColumnHeading">
    <w:name w:val="ColumnHeading"/>
    <w:basedOn w:val="Normal"/>
    <w:rsid w:val="00EE1721"/>
    <w:pPr>
      <w:spacing w:after="240"/>
      <w:jc w:val="center"/>
    </w:pPr>
    <w:rPr>
      <w:i/>
    </w:rPr>
  </w:style>
  <w:style w:type="paragraph" w:customStyle="1" w:styleId="CrossRef">
    <w:name w:val="CrossRef"/>
    <w:basedOn w:val="Normal"/>
    <w:rsid w:val="00EE1721"/>
    <w:pPr>
      <w:spacing w:before="240"/>
      <w:jc w:val="center"/>
    </w:pPr>
    <w:rPr>
      <w:i/>
    </w:rPr>
  </w:style>
  <w:style w:type="paragraph" w:customStyle="1" w:styleId="Footer2">
    <w:name w:val="Footer2"/>
    <w:basedOn w:val="Normal12"/>
    <w:rsid w:val="00EE1721"/>
    <w:pPr>
      <w:tabs>
        <w:tab w:val="center" w:pos="4535"/>
        <w:tab w:val="right" w:pos="9923"/>
      </w:tabs>
      <w:spacing w:line="480" w:lineRule="auto"/>
      <w:ind w:left="-851"/>
    </w:pPr>
    <w:rPr>
      <w:rFonts w:ascii="Arial" w:cs="Arial"/>
      <w:b/>
      <w:sz w:val="48"/>
    </w:rPr>
  </w:style>
  <w:style w:type="paragraph" w:customStyle="1" w:styleId="Normal24a">
    <w:name w:val="Normal24a"/>
    <w:basedOn w:val="Normal"/>
    <w:rsid w:val="00EE1721"/>
    <w:pPr>
      <w:spacing w:after="480"/>
    </w:pPr>
  </w:style>
  <w:style w:type="paragraph" w:customStyle="1" w:styleId="NormalBoldCenter">
    <w:name w:val="NormalBoldCenter"/>
    <w:basedOn w:val="Normal"/>
    <w:rsid w:val="00EE1721"/>
    <w:pPr>
      <w:jc w:val="center"/>
    </w:pPr>
    <w:rPr>
      <w:b/>
    </w:rPr>
  </w:style>
  <w:style w:type="paragraph" w:customStyle="1" w:styleId="Footprint12b">
    <w:name w:val="Footprint12b"/>
    <w:basedOn w:val="Normal"/>
    <w:rsid w:val="00EE1721"/>
    <w:pPr>
      <w:spacing w:before="240"/>
    </w:pPr>
    <w:rPr>
      <w:szCs w:val="24"/>
    </w:rPr>
  </w:style>
  <w:style w:type="paragraph" w:customStyle="1" w:styleId="NormalSingle">
    <w:name w:val="NormalSingle"/>
    <w:basedOn w:val="Normal"/>
    <w:qFormat/>
    <w:rsid w:val="00EE1721"/>
    <w:rPr>
      <w:szCs w:val="24"/>
    </w:rPr>
  </w:style>
  <w:style w:type="paragraph" w:customStyle="1" w:styleId="EntPE">
    <w:name w:val="EntPE"/>
    <w:basedOn w:val="Normal12"/>
    <w:rsid w:val="00EE1721"/>
    <w:pPr>
      <w:jc w:val="center"/>
    </w:pPr>
    <w:rPr>
      <w:noProof w:val="0"/>
      <w:sz w:val="56"/>
    </w:rPr>
  </w:style>
  <w:style w:type="character" w:styleId="Hyperlink">
    <w:name w:val="Hyperlink"/>
    <w:basedOn w:val="DefaultParagraphFont"/>
    <w:unhideWhenUsed/>
    <w:rsid w:val="00EE1721"/>
    <w:rPr>
      <w:color w:val="0563C1" w:themeColor="hyperlink"/>
      <w:u w:val="single"/>
    </w:rPr>
  </w:style>
  <w:style w:type="paragraph" w:styleId="Revision">
    <w:name w:val="Revision"/>
    <w:hidden/>
    <w:uiPriority w:val="99"/>
    <w:semiHidden/>
    <w:rsid w:val="00EE1721"/>
    <w:rPr>
      <w:sz w:val="24"/>
      <w:lang w:val="fr-FR"/>
    </w:rPr>
  </w:style>
  <w:style w:type="character" w:styleId="CommentReference">
    <w:name w:val="annotation reference"/>
    <w:basedOn w:val="DefaultParagraphFont"/>
    <w:rsid w:val="00EE1721"/>
    <w:rPr>
      <w:sz w:val="16"/>
      <w:szCs w:val="16"/>
    </w:rPr>
  </w:style>
  <w:style w:type="paragraph" w:styleId="CommentText">
    <w:name w:val="annotation text"/>
    <w:basedOn w:val="Normal"/>
    <w:link w:val="CommentTextChar"/>
    <w:rsid w:val="00EE1721"/>
    <w:rPr>
      <w:sz w:val="20"/>
    </w:rPr>
  </w:style>
  <w:style w:type="character" w:customStyle="1" w:styleId="CommentTextChar">
    <w:name w:val="Comment Text Char"/>
    <w:basedOn w:val="DefaultParagraphFont"/>
    <w:link w:val="CommentText"/>
    <w:rsid w:val="00EE1721"/>
    <w:rPr>
      <w:lang w:val="fr-FR"/>
    </w:rPr>
  </w:style>
  <w:style w:type="paragraph" w:styleId="CommentSubject">
    <w:name w:val="annotation subject"/>
    <w:basedOn w:val="CommentText"/>
    <w:next w:val="CommentText"/>
    <w:link w:val="CommentSubjectChar"/>
    <w:unhideWhenUsed/>
    <w:rsid w:val="00EE1721"/>
    <w:rPr>
      <w:b/>
      <w:bCs/>
    </w:rPr>
  </w:style>
  <w:style w:type="character" w:customStyle="1" w:styleId="CommentSubjectChar">
    <w:name w:val="Comment Subject Char"/>
    <w:basedOn w:val="CommentTextChar"/>
    <w:link w:val="CommentSubject"/>
    <w:rsid w:val="00EE1721"/>
    <w:rPr>
      <w:b/>
      <w:bCs/>
      <w:lang w:val="fr-FR"/>
    </w:rPr>
  </w:style>
  <w:style w:type="character" w:styleId="UnresolvedMention">
    <w:name w:val="Unresolved Mention"/>
    <w:basedOn w:val="DefaultParagraphFont"/>
    <w:uiPriority w:val="99"/>
    <w:semiHidden/>
    <w:unhideWhenUsed/>
    <w:rsid w:val="00EE1721"/>
    <w:rPr>
      <w:color w:val="605E5C"/>
      <w:shd w:val="clear" w:color="auto" w:fill="E1DFDD"/>
    </w:rPr>
  </w:style>
  <w:style w:type="paragraph" w:customStyle="1" w:styleId="RollCallVotes">
    <w:name w:val="RollCallVotes"/>
    <w:basedOn w:val="Normal"/>
    <w:rsid w:val="00EE1721"/>
    <w:pPr>
      <w:spacing w:before="120" w:after="120"/>
      <w:jc w:val="center"/>
    </w:pPr>
    <w:rPr>
      <w:b/>
      <w:bCs/>
      <w:snapToGrid w:val="0"/>
      <w:sz w:val="16"/>
      <w:lang w:eastAsia="en-US"/>
    </w:rPr>
  </w:style>
  <w:style w:type="paragraph" w:customStyle="1" w:styleId="RollCallTabs">
    <w:name w:val="RollCallTabs"/>
    <w:basedOn w:val="Normal"/>
    <w:qFormat/>
    <w:rsid w:val="00EE1721"/>
    <w:pPr>
      <w:tabs>
        <w:tab w:val="center" w:pos="284"/>
        <w:tab w:val="left" w:pos="426"/>
      </w:tabs>
    </w:pPr>
    <w:rPr>
      <w:snapToGrid w:val="0"/>
      <w:lang w:eastAsia="en-US"/>
    </w:rPr>
  </w:style>
  <w:style w:type="paragraph" w:customStyle="1" w:styleId="RollCallSymbols14pt">
    <w:name w:val="RollCallSymbols14pt"/>
    <w:basedOn w:val="Normal"/>
    <w:rsid w:val="00EE1721"/>
    <w:pPr>
      <w:spacing w:before="120" w:after="120"/>
      <w:jc w:val="center"/>
    </w:pPr>
    <w:rPr>
      <w:rFonts w:ascii="Arial" w:hAnsi="Arial"/>
      <w:b/>
      <w:bCs/>
      <w:snapToGrid w:val="0"/>
      <w:sz w:val="28"/>
      <w:lang w:eastAsia="en-US"/>
    </w:rPr>
  </w:style>
  <w:style w:type="paragraph" w:customStyle="1" w:styleId="RollCallTable">
    <w:name w:val="RollCallTable"/>
    <w:basedOn w:val="Normal"/>
    <w:rsid w:val="00EE1721"/>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243</Words>
  <Characters>1561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2026-06-17T13:04:00Z</dcterms:created>
  <dcterms:modified xsi:type="dcterms:W3CDTF">2026-06-17T13:04:00Z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A10-0161/2026</vt:lpwstr>
  </property>
  <property fmtid="{D5CDD505-2E9C-101B-9397-08002B2CF9AE}" pid="4" name="&lt;Type&gt;">
    <vt:lpwstr>RR</vt:lpwstr>
  </property>
</Properties>
</file>