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DD31E7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C3B39" w:rsidP="0010095E" w14:paraId="68D62930" w14:textId="52C187C7">
            <w:pPr>
              <w:pStyle w:val="EPName"/>
            </w:pPr>
            <w:r w:rsidRPr="003C3B39">
              <w:t>Európai Parlament</w:t>
            </w:r>
          </w:p>
          <w:p w:rsidR="00751A4A" w:rsidRPr="003C3B39" w:rsidP="005F1B17" w14:paraId="7AF70B2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C3B39">
              <w:t>2024</w:t>
            </w:r>
            <w:r w:rsidRPr="003C3B39" w:rsidR="00817416">
              <w:t>-202</w:t>
            </w:r>
            <w:r w:rsidRPr="003C3B3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C3B39" w:rsidP="0010095E" w14:paraId="72749709" w14:textId="77777777">
            <w:pPr>
              <w:pStyle w:val="EPLogo"/>
            </w:pPr>
            <w:r w:rsidRPr="003C3B3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C3B39" w:rsidP="004C5D52" w14:paraId="2743BDBA" w14:textId="77777777">
      <w:pPr>
        <w:pStyle w:val="LineTop"/>
      </w:pPr>
    </w:p>
    <w:p w:rsidR="00680577" w:rsidRPr="003C3B39" w:rsidP="00680577" w14:paraId="6CD258F7" w14:textId="6505AA82">
      <w:pPr>
        <w:pStyle w:val="EPBodyTA1"/>
      </w:pPr>
      <w:r w:rsidRPr="003C3B39">
        <w:t>ELFOGADOTT SZÖVEGEK</w:t>
      </w:r>
    </w:p>
    <w:p w:rsidR="00D058B8" w:rsidRPr="003C3B39" w:rsidP="00D058B8" w14:paraId="5CABF81C" w14:textId="77777777">
      <w:pPr>
        <w:pStyle w:val="LineBottom"/>
      </w:pPr>
    </w:p>
    <w:p w:rsidR="00B93B53" w:rsidRPr="003C3B39" w:rsidP="00B93B53" w14:paraId="525B34A1" w14:textId="44EBAAE6">
      <w:pPr>
        <w:pStyle w:val="ATHeading1"/>
      </w:pPr>
      <w:bookmarkStart w:id="0" w:name="TANumber"/>
      <w:r w:rsidRPr="003C3B39">
        <w:t>P10_</w:t>
      </w:r>
      <w:r w:rsidRPr="003C3B39">
        <w:t>TA(</w:t>
      </w:r>
      <w:r w:rsidRPr="003C3B39">
        <w:t>2026)0</w:t>
      </w:r>
      <w:r w:rsidR="003C3B39">
        <w:t>211</w:t>
      </w:r>
      <w:bookmarkEnd w:id="0"/>
    </w:p>
    <w:p w:rsidR="00B93B53" w:rsidRPr="003C3B39" w:rsidP="00B93B53" w14:paraId="115DC857" w14:textId="592188A6">
      <w:pPr>
        <w:pStyle w:val="ATHeading2"/>
      </w:pPr>
      <w:bookmarkStart w:id="1" w:name="title"/>
      <w:r w:rsidRPr="003C3B39">
        <w:t>A dohánytermékekre és a dohányzáshoz kapcsolódó termékekre alkalmazott jövedéki adó szerkezete és adókulcsai</w:t>
      </w:r>
      <w:r w:rsidRPr="003C3B39">
        <w:t xml:space="preserve"> </w:t>
      </w:r>
      <w:bookmarkEnd w:id="1"/>
      <w:r w:rsidRPr="003C3B39" w:rsidR="000532D5">
        <w:t>(átdolgozás)</w:t>
      </w:r>
    </w:p>
    <w:p w:rsidR="00B93B53" w:rsidRPr="003C3B39" w:rsidP="00B93B53" w14:paraId="516889F7" w14:textId="77777777">
      <w:pPr>
        <w:rPr>
          <w:i/>
          <w:vanish/>
        </w:rPr>
      </w:pPr>
      <w:r>
        <w:rPr>
          <w:i/>
        </w:rPr>
        <w:fldChar w:fldCharType="begin"/>
      </w:r>
      <w:r w:rsidRPr="003C3B39">
        <w:rPr>
          <w:i/>
        </w:rPr>
        <w:instrText xml:space="preserve"> TC"(</w:instrText>
      </w:r>
      <w:bookmarkStart w:id="2" w:name="DocNumber"/>
      <w:r w:rsidRPr="003C3B39">
        <w:rPr>
          <w:i/>
        </w:rPr>
        <w:instrText>A10-0161/2026</w:instrText>
      </w:r>
      <w:bookmarkEnd w:id="2"/>
      <w:r w:rsidRPr="003C3B39">
        <w:rPr>
          <w:i/>
        </w:rPr>
        <w:instrText xml:space="preserve"> - Előadó: </w:instrText>
      </w:r>
      <w:r w:rsidRPr="003C3B39">
        <w:rPr>
          <w:i/>
        </w:rPr>
        <w:instrText>Tomáš</w:instrText>
      </w:r>
      <w:r w:rsidRPr="003C3B39">
        <w:rPr>
          <w:i/>
        </w:rPr>
        <w:instrText xml:space="preserve"> </w:instrText>
      </w:r>
      <w:r w:rsidRPr="003C3B39">
        <w:rPr>
          <w:i/>
        </w:rPr>
        <w:instrText>Kubín</w:instrText>
      </w:r>
      <w:r w:rsidRPr="003C3B39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93B53" w:rsidRPr="003C3B39" w:rsidP="00B93B53" w14:paraId="1C331890" w14:textId="77777777">
      <w:pPr>
        <w:rPr>
          <w:vanish/>
        </w:rPr>
      </w:pPr>
      <w:bookmarkStart w:id="3" w:name="Commission"/>
      <w:r w:rsidRPr="003C3B39">
        <w:rPr>
          <w:vanish/>
        </w:rPr>
        <w:t>Gazdasági és Monetáris Bizottság</w:t>
      </w:r>
      <w:bookmarkEnd w:id="3"/>
    </w:p>
    <w:p w:rsidR="00B93B53" w:rsidRPr="003C3B39" w:rsidP="00B93B53" w14:paraId="39E930D1" w14:textId="77777777">
      <w:pPr>
        <w:rPr>
          <w:vanish/>
        </w:rPr>
      </w:pPr>
      <w:bookmarkStart w:id="4" w:name="PE"/>
      <w:r w:rsidRPr="003C3B39">
        <w:rPr>
          <w:vanish/>
        </w:rPr>
        <w:t>PE784.398</w:t>
      </w:r>
      <w:bookmarkEnd w:id="4"/>
    </w:p>
    <w:p w:rsidR="00B93B53" w:rsidRPr="003C3B39" w:rsidP="00B93B53" w14:paraId="52B2F87C" w14:textId="4F30996B">
      <w:pPr>
        <w:pStyle w:val="ATHeading3"/>
      </w:pPr>
      <w:bookmarkStart w:id="5" w:name="Sujet"/>
      <w:r w:rsidRPr="003C3B39">
        <w:t xml:space="preserve">Az Európai Parlament 2026. </w:t>
      </w:r>
      <w:r w:rsidRPr="003C3B39" w:rsidR="006D0792">
        <w:t>június 17</w:t>
      </w:r>
      <w:r w:rsidRPr="003C3B39">
        <w:t>-i jogalkotási állásfoglalása a dohánytermékekre és a dohányzáshoz kapcsolódó termékekre alkalmazott jövedéki adó szerkezetéről és adókulcsairól szóló tanácsi irányelvre irányuló javaslatról (átdolgozás)</w:t>
      </w:r>
      <w:bookmarkEnd w:id="5"/>
      <w:r w:rsidRPr="003C3B39">
        <w:t xml:space="preserve"> </w:t>
      </w:r>
      <w:bookmarkStart w:id="6" w:name="References"/>
      <w:r w:rsidRPr="003C3B39">
        <w:t>(</w:t>
      </w:r>
      <w:r w:rsidRPr="003C3B39">
        <w:t>COM(</w:t>
      </w:r>
      <w:r w:rsidRPr="003C3B39">
        <w:t>2025)0580 – C10-0207/2025 – 2025/0580(CNS))</w:t>
      </w:r>
      <w:bookmarkEnd w:id="6"/>
    </w:p>
    <w:p w:rsidR="009A2B27" w:rsidRPr="003C3B39" w:rsidP="009A2B27" w14:paraId="5BAFFF93" w14:textId="77777777">
      <w:pPr>
        <w:pStyle w:val="NormalBold"/>
      </w:pPr>
      <w:r w:rsidRPr="003C3B39">
        <w:t>(Különleges jogalkotási eljárás – konzultáció – átdolgozás)</w:t>
      </w:r>
    </w:p>
    <w:p w:rsidR="009A2B27" w:rsidRPr="003C3B39" w:rsidP="009A2B27" w14:paraId="09EC9D59" w14:textId="77777777">
      <w:pPr>
        <w:pStyle w:val="EPComma"/>
      </w:pPr>
      <w:r w:rsidRPr="003C3B39">
        <w:rPr>
          <w:i/>
        </w:rPr>
        <w:t>Az Európai Parlament,</w:t>
      </w:r>
    </w:p>
    <w:p w:rsidR="009A2B27" w:rsidRPr="003C3B39" w:rsidP="003B6218" w14:paraId="555D04DF" w14:textId="77777777">
      <w:pPr>
        <w:pStyle w:val="NormalHanging12a"/>
        <w:widowControl/>
      </w:pPr>
      <w:r w:rsidRPr="003C3B39">
        <w:t>–</w:t>
      </w:r>
      <w:r w:rsidRPr="003C3B39">
        <w:tab/>
        <w:t>tekintettel a Bizottság Tanácshoz intézett javaslatára (</w:t>
      </w:r>
      <w:r w:rsidRPr="003C3B39">
        <w:t>COM(</w:t>
      </w:r>
      <w:r w:rsidRPr="003C3B39">
        <w:t>2025)0580),</w:t>
      </w:r>
    </w:p>
    <w:p w:rsidR="009A2B27" w:rsidRPr="003C3B39" w:rsidP="003B6218" w14:paraId="6C90B8EC" w14:textId="77777777">
      <w:pPr>
        <w:pStyle w:val="NormalHanging12a"/>
        <w:widowControl/>
      </w:pPr>
      <w:r w:rsidRPr="003C3B39">
        <w:t>–</w:t>
      </w:r>
      <w:r w:rsidRPr="003C3B39">
        <w:tab/>
        <w:t>tekintettel az Európai Unió működéséről szóló szerződés 113. cikkére, amelynek megfelelően a Tanács konzultált a Parlamenttel (C10</w:t>
      </w:r>
      <w:r w:rsidRPr="003C3B39">
        <w:noBreakHyphen/>
        <w:t>0207/2025),</w:t>
      </w:r>
    </w:p>
    <w:p w:rsidR="009A2B27" w:rsidRPr="003C3B39" w:rsidP="003B6218" w14:paraId="071334BE" w14:textId="77777777">
      <w:pPr>
        <w:pStyle w:val="NormalHanging12a"/>
        <w:widowControl/>
      </w:pPr>
      <w:r w:rsidRPr="003C3B39">
        <w:t>–</w:t>
      </w:r>
      <w:r w:rsidRPr="003C3B39">
        <w:tab/>
        <w:t>tekintettel az olasz Képviselőház által a szubszidiaritás és az arányosság elvének alkalmazásáról szóló 2. jegyzőkönyv alapján előterjesztett indokolt véleményre, melyek szerint a jogalkotási aktus tervezete nem egyeztethető össze a szubszidiaritás elvével,</w:t>
      </w:r>
    </w:p>
    <w:p w:rsidR="009A2B27" w:rsidRPr="003C3B39" w:rsidP="003B6218" w14:paraId="06DB0C02" w14:textId="77777777">
      <w:pPr>
        <w:pStyle w:val="NormalHanging12a"/>
        <w:widowControl/>
      </w:pPr>
      <w:r w:rsidRPr="003C3B39">
        <w:t>–</w:t>
      </w:r>
      <w:r w:rsidRPr="003C3B39">
        <w:tab/>
        <w:t>tekintettel a jogi aktusok átdolgozási technikájának szervezettebb használatáról szóló, 2001. november 28-i intézményközi megállapodásra</w:t>
      </w:r>
      <w:r>
        <w:rPr>
          <w:rStyle w:val="FootnoteReference"/>
        </w:rPr>
        <w:footnoteReference w:id="2"/>
      </w:r>
      <w:r w:rsidRPr="003C3B39">
        <w:t>,</w:t>
      </w:r>
    </w:p>
    <w:p w:rsidR="009A2B27" w:rsidRPr="003C3B39" w:rsidP="003B6218" w14:paraId="1C6857EF" w14:textId="77777777">
      <w:pPr>
        <w:pStyle w:val="NormalHanging12a"/>
        <w:widowControl/>
      </w:pPr>
      <w:r w:rsidRPr="003C3B39">
        <w:t>–</w:t>
      </w:r>
      <w:r w:rsidRPr="003C3B39">
        <w:tab/>
        <w:t>tekintettel eljárási szabályzata 113. cikkének (3) bekezdése értelmében a Jogi Bizottság által az Gazdasági és Monetáris Bizottsághoz intézett, 2025. december 11-i levélre,</w:t>
      </w:r>
    </w:p>
    <w:p w:rsidR="009A2B27" w:rsidRPr="003C3B39" w:rsidP="003B6218" w14:paraId="6A022FEF" w14:textId="77777777">
      <w:pPr>
        <w:pStyle w:val="NormalHanging12a"/>
        <w:widowControl/>
      </w:pPr>
      <w:r w:rsidRPr="003C3B39">
        <w:t>–</w:t>
      </w:r>
      <w:r w:rsidRPr="003C3B39">
        <w:tab/>
        <w:t>tekintettel eljárási szabályzata 113. és 84. cikkére,</w:t>
      </w:r>
    </w:p>
    <w:p w:rsidR="009A2B27" w:rsidRPr="003C3B39" w:rsidP="003B6218" w14:paraId="70F5C1EE" w14:textId="77777777">
      <w:pPr>
        <w:pStyle w:val="NormalHanging12a"/>
        <w:widowControl/>
      </w:pPr>
      <w:r w:rsidRPr="003C3B39">
        <w:t>–</w:t>
      </w:r>
      <w:r w:rsidRPr="003C3B39">
        <w:tab/>
        <w:t>tekintettel a Gazdasági és Monetáris Bizottság jelentésére (A10-0161/2026),</w:t>
      </w:r>
    </w:p>
    <w:p w:rsidR="009A2B27" w:rsidRPr="003C3B39" w:rsidP="003B6218" w14:paraId="55508D31" w14:textId="2097CA04">
      <w:pPr>
        <w:pStyle w:val="NormalHanging12a"/>
        <w:widowControl/>
      </w:pPr>
      <w:r w:rsidRPr="003C3B39">
        <w:t>1.</w:t>
      </w:r>
      <w:r w:rsidRPr="003C3B39">
        <w:tab/>
      </w:r>
      <w:r w:rsidR="00354FF1">
        <w:t>e</w:t>
      </w:r>
      <w:r w:rsidRPr="00354FF1" w:rsidR="00354FF1">
        <w:t>lutasítja a Bizottság javaslatát</w:t>
      </w:r>
      <w:r w:rsidRPr="003C3B39">
        <w:t>;</w:t>
      </w:r>
    </w:p>
    <w:p w:rsidR="009A2B27" w:rsidRPr="003C3B39" w:rsidP="003B6218" w14:paraId="0E457B5A" w14:textId="7A2DAF00">
      <w:pPr>
        <w:pStyle w:val="NormalHanging12a"/>
        <w:widowControl/>
      </w:pPr>
      <w:r w:rsidRPr="003C3B39">
        <w:t>2.</w:t>
      </w:r>
      <w:r w:rsidRPr="003C3B39">
        <w:tab/>
      </w:r>
      <w:r w:rsidRPr="00354FF1" w:rsidR="00354FF1">
        <w:t>felhívja a Bizottságot, hogy vonja vissza javaslatát</w:t>
      </w:r>
      <w:r w:rsidRPr="003C3B39">
        <w:t>;</w:t>
      </w:r>
    </w:p>
    <w:p w:rsidR="009A2B27" w:rsidRPr="003C3B39" w:rsidP="003B6218" w14:paraId="4D7E4E05" w14:textId="4334C652">
      <w:pPr>
        <w:pStyle w:val="NormalHanging12a"/>
        <w:widowControl/>
      </w:pPr>
      <w:r>
        <w:t>3</w:t>
      </w:r>
      <w:r w:rsidRPr="003C3B39">
        <w:t>.</w:t>
      </w:r>
      <w:r w:rsidRPr="003C3B39">
        <w:tab/>
        <w:t>utasítja elnökét, hogy továbbítsa a Parlament álláspontját a Tanácsnak és a Bizottságnak, valamint a nemzeti parlamenteknek.</w:t>
      </w:r>
    </w:p>
    <w:p w:rsidR="00E365E1" w:rsidRPr="004C1FEB" w:rsidP="00B93B53" w14:paraId="2C41B12B" w14:textId="4D2BA611"/>
    <w:sectPr w:rsidSect="004C1F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C1FEB" w14:paraId="4E0EFEA5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C1FEB" w14:paraId="67E62B3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C1FEB" w14:paraId="10B367C6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93B53" w:rsidRPr="004C1FEB" w14:paraId="2352B427" w14:textId="77777777">
      <w:r w:rsidRPr="004C1FEB">
        <w:separator/>
      </w:r>
    </w:p>
  </w:footnote>
  <w:footnote w:type="continuationSeparator" w:id="1">
    <w:p w:rsidR="00B93B53" w:rsidRPr="004C1FEB" w14:paraId="4CEC29D9" w14:textId="77777777">
      <w:r w:rsidRPr="004C1FEB">
        <w:continuationSeparator/>
      </w:r>
    </w:p>
  </w:footnote>
  <w:footnote w:id="2">
    <w:p w:rsidR="009A2B27" w:rsidRPr="004C1FEB" w:rsidP="004C1FEB" w14:paraId="2235BFAB" w14:textId="48FA6B2E">
      <w:pPr>
        <w:pStyle w:val="FootnoteText"/>
        <w:ind w:left="567" w:hanging="567"/>
        <w:rPr>
          <w:sz w:val="24"/>
          <w:lang w:val="hu-HU"/>
        </w:rPr>
      </w:pPr>
      <w:r w:rsidRPr="004C1FEB">
        <w:rPr>
          <w:rStyle w:val="FootnoteReference"/>
          <w:sz w:val="24"/>
          <w:lang w:val="hu-HU"/>
        </w:rPr>
        <w:footnoteRef/>
      </w:r>
      <w:r w:rsidRPr="004C1FEB" w:rsidR="004C1FEB">
        <w:rPr>
          <w:sz w:val="24"/>
          <w:lang w:val="hu-HU"/>
        </w:rPr>
        <w:t xml:space="preserve"> </w:t>
      </w:r>
      <w:r w:rsidRPr="004C1FEB" w:rsidR="004C1FEB">
        <w:rPr>
          <w:sz w:val="24"/>
          <w:lang w:val="hu-HU"/>
        </w:rPr>
        <w:tab/>
      </w:r>
      <w:r w:rsidRPr="004C1FEB">
        <w:rPr>
          <w:sz w:val="24"/>
          <w:lang w:val="hu-HU"/>
        </w:rPr>
        <w:t>HL C 77., 2002.3.28., 1. 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C1FEB" w14:paraId="3EEC599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C1FEB" w14:paraId="6603323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C1FEB" w14:paraId="3A37E9D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88728306">
    <w:abstractNumId w:val="9"/>
  </w:num>
  <w:num w:numId="2" w16cid:durableId="1978607335">
    <w:abstractNumId w:val="9"/>
  </w:num>
  <w:num w:numId="3" w16cid:durableId="50467008">
    <w:abstractNumId w:val="7"/>
  </w:num>
  <w:num w:numId="4" w16cid:durableId="1093235753">
    <w:abstractNumId w:val="7"/>
  </w:num>
  <w:num w:numId="5" w16cid:durableId="942885185">
    <w:abstractNumId w:val="6"/>
  </w:num>
  <w:num w:numId="6" w16cid:durableId="1855536037">
    <w:abstractNumId w:val="6"/>
  </w:num>
  <w:num w:numId="7" w16cid:durableId="1055546704">
    <w:abstractNumId w:val="5"/>
  </w:num>
  <w:num w:numId="8" w16cid:durableId="1041512097">
    <w:abstractNumId w:val="5"/>
  </w:num>
  <w:num w:numId="9" w16cid:durableId="909851088">
    <w:abstractNumId w:val="4"/>
  </w:num>
  <w:num w:numId="10" w16cid:durableId="398408269">
    <w:abstractNumId w:val="4"/>
  </w:num>
  <w:num w:numId="11" w16cid:durableId="962348207">
    <w:abstractNumId w:val="8"/>
  </w:num>
  <w:num w:numId="12" w16cid:durableId="955913787">
    <w:abstractNumId w:val="8"/>
  </w:num>
  <w:num w:numId="13" w16cid:durableId="1362323489">
    <w:abstractNumId w:val="3"/>
  </w:num>
  <w:num w:numId="14" w16cid:durableId="2052073335">
    <w:abstractNumId w:val="3"/>
  </w:num>
  <w:num w:numId="15" w16cid:durableId="636692013">
    <w:abstractNumId w:val="2"/>
  </w:num>
  <w:num w:numId="16" w16cid:durableId="1714108997">
    <w:abstractNumId w:val="2"/>
  </w:num>
  <w:num w:numId="17" w16cid:durableId="1431582100">
    <w:abstractNumId w:val="1"/>
  </w:num>
  <w:num w:numId="18" w16cid:durableId="112020213">
    <w:abstractNumId w:val="1"/>
  </w:num>
  <w:num w:numId="19" w16cid:durableId="362559504">
    <w:abstractNumId w:val="0"/>
  </w:num>
  <w:num w:numId="20" w16cid:durableId="1298490132">
    <w:abstractNumId w:val="0"/>
  </w:num>
  <w:num w:numId="21" w16cid:durableId="1485899866">
    <w:abstractNumId w:val="9"/>
  </w:num>
  <w:num w:numId="22" w16cid:durableId="144513561">
    <w:abstractNumId w:val="7"/>
  </w:num>
  <w:num w:numId="23" w16cid:durableId="761338427">
    <w:abstractNumId w:val="6"/>
  </w:num>
  <w:num w:numId="24" w16cid:durableId="1992366246">
    <w:abstractNumId w:val="5"/>
  </w:num>
  <w:num w:numId="25" w16cid:durableId="1183519731">
    <w:abstractNumId w:val="4"/>
  </w:num>
  <w:num w:numId="26" w16cid:durableId="1543248139">
    <w:abstractNumId w:val="8"/>
  </w:num>
  <w:num w:numId="27" w16cid:durableId="963851925">
    <w:abstractNumId w:val="3"/>
  </w:num>
  <w:num w:numId="28" w16cid:durableId="980236377">
    <w:abstractNumId w:val="2"/>
  </w:num>
  <w:num w:numId="29" w16cid:durableId="330723828">
    <w:abstractNumId w:val="1"/>
  </w:num>
  <w:num w:numId="30" w16cid:durableId="1198472471">
    <w:abstractNumId w:val="0"/>
  </w:num>
  <w:num w:numId="31" w16cid:durableId="1928070714">
    <w:abstractNumId w:val="9"/>
  </w:num>
  <w:num w:numId="32" w16cid:durableId="1562523268">
    <w:abstractNumId w:val="7"/>
  </w:num>
  <w:num w:numId="33" w16cid:durableId="1158837671">
    <w:abstractNumId w:val="6"/>
  </w:num>
  <w:num w:numId="34" w16cid:durableId="1998145885">
    <w:abstractNumId w:val="5"/>
  </w:num>
  <w:num w:numId="35" w16cid:durableId="1312834853">
    <w:abstractNumId w:val="4"/>
  </w:num>
  <w:num w:numId="36" w16cid:durableId="1416396517">
    <w:abstractNumId w:val="8"/>
  </w:num>
  <w:num w:numId="37" w16cid:durableId="284702604">
    <w:abstractNumId w:val="3"/>
  </w:num>
  <w:num w:numId="38" w16cid:durableId="1842162076">
    <w:abstractNumId w:val="2"/>
  </w:num>
  <w:num w:numId="39" w16cid:durableId="548611355">
    <w:abstractNumId w:val="1"/>
  </w:num>
  <w:num w:numId="40" w16cid:durableId="1796750062">
    <w:abstractNumId w:val="0"/>
  </w:num>
  <w:num w:numId="41" w16cid:durableId="939067879">
    <w:abstractNumId w:val="10"/>
  </w:num>
  <w:num w:numId="42" w16cid:durableId="1537499008">
    <w:abstractNumId w:val="10"/>
  </w:num>
  <w:num w:numId="43" w16cid:durableId="297151259">
    <w:abstractNumId w:val="10"/>
  </w:num>
  <w:num w:numId="44" w16cid:durableId="17362723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B53"/>
    <w:rsid w:val="00002272"/>
    <w:rsid w:val="000532D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4FF1"/>
    <w:rsid w:val="00361C00"/>
    <w:rsid w:val="00395FA1"/>
    <w:rsid w:val="003B6218"/>
    <w:rsid w:val="003C3B39"/>
    <w:rsid w:val="003E15D4"/>
    <w:rsid w:val="00411CCE"/>
    <w:rsid w:val="0041666E"/>
    <w:rsid w:val="00420898"/>
    <w:rsid w:val="00421060"/>
    <w:rsid w:val="00471C19"/>
    <w:rsid w:val="004867E3"/>
    <w:rsid w:val="00494A28"/>
    <w:rsid w:val="004C0004"/>
    <w:rsid w:val="004C1FEB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7819"/>
    <w:rsid w:val="006631B6"/>
    <w:rsid w:val="00680577"/>
    <w:rsid w:val="006D079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6FC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2B27"/>
    <w:rsid w:val="00A1687D"/>
    <w:rsid w:val="00A43E52"/>
    <w:rsid w:val="00A4678D"/>
    <w:rsid w:val="00A778C7"/>
    <w:rsid w:val="00AB441E"/>
    <w:rsid w:val="00AB6293"/>
    <w:rsid w:val="00AC0713"/>
    <w:rsid w:val="00AD1BFC"/>
    <w:rsid w:val="00AE0928"/>
    <w:rsid w:val="00AF3B82"/>
    <w:rsid w:val="00B12E95"/>
    <w:rsid w:val="00B22876"/>
    <w:rsid w:val="00B558F0"/>
    <w:rsid w:val="00B93B5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68F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1/2026"/>
    <w:docVar w:name="dvlangue" w:val="HU"/>
    <w:docVar w:name="dvnumam" w:val="87"/>
    <w:docVar w:name="dvpe" w:val="784.398"/>
    <w:docVar w:name="dvrapporteur" w:val="Előadó: "/>
    <w:docVar w:name="dvtitre" w:val="Az Európai Parlament 2026.  ...-i jogalkotási állásfoglalása a dohánytermékekre és a dohányzáshoz kapcsolódó termékekre alkalmazott jövedéki adó szerkezetéről és adókulcsairól szóló tanácsi irányelvre irányuló javaslatról (átdolgozás)(COM(2025)0580 – C10-0207/2025 – 2025/0580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BC47974"/>
  <w15:chartTrackingRefBased/>
  <w15:docId w15:val="{60E72594-2381-4FEB-8FC1-F315967D6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A2B2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A2B2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A2B2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A2B2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A2B2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A2B27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semiHidden/>
    <w:rsid w:val="009A2B27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9A2B27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9A2B27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nhideWhenUsed/>
    <w:qFormat/>
    <w:rsid w:val="009A2B27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9A2B2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9A2B2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9A2B27"/>
    <w:pPr>
      <w:spacing w:after="240"/>
    </w:pPr>
  </w:style>
  <w:style w:type="paragraph" w:customStyle="1" w:styleId="TOCPage">
    <w:name w:val="TOC Page"/>
    <w:basedOn w:val="Normal"/>
    <w:next w:val="TOC1"/>
    <w:rsid w:val="009A2B27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9A2B27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A2B27"/>
    <w:pPr>
      <w:spacing w:after="240"/>
      <w:ind w:left="567" w:hanging="567"/>
    </w:pPr>
  </w:style>
  <w:style w:type="paragraph" w:customStyle="1" w:styleId="Normal6a">
    <w:name w:val="Normal6a"/>
    <w:basedOn w:val="Normal"/>
    <w:rsid w:val="009A2B27"/>
    <w:pPr>
      <w:spacing w:after="120"/>
    </w:pPr>
  </w:style>
  <w:style w:type="paragraph" w:customStyle="1" w:styleId="CoverNormal24a">
    <w:name w:val="CoverNormal24a"/>
    <w:basedOn w:val="Normal"/>
    <w:rsid w:val="009A2B27"/>
    <w:pPr>
      <w:spacing w:after="480"/>
      <w:ind w:left="1417"/>
    </w:pPr>
  </w:style>
  <w:style w:type="paragraph" w:customStyle="1" w:styleId="CoverNormal">
    <w:name w:val="CoverNormal"/>
    <w:basedOn w:val="Normal"/>
    <w:rsid w:val="009A2B27"/>
    <w:pPr>
      <w:ind w:left="1418"/>
    </w:pPr>
  </w:style>
  <w:style w:type="paragraph" w:customStyle="1" w:styleId="CoverReference">
    <w:name w:val="CoverReference"/>
    <w:basedOn w:val="Normal"/>
    <w:rsid w:val="009A2B27"/>
    <w:pPr>
      <w:spacing w:before="1080"/>
      <w:jc w:val="right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A2B27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9A2B27"/>
    <w:rPr>
      <w:b/>
      <w:sz w:val="24"/>
      <w:lang w:val="hu-HU"/>
    </w:rPr>
  </w:style>
  <w:style w:type="paragraph" w:customStyle="1" w:styleId="CoverDocType">
    <w:name w:val="CoverDocType"/>
    <w:basedOn w:val="Normal"/>
    <w:rsid w:val="009A2B2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A2B2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A2B27"/>
    <w:pPr>
      <w:spacing w:before="240" w:after="1200"/>
    </w:pPr>
  </w:style>
  <w:style w:type="paragraph" w:styleId="Header">
    <w:name w:val="header"/>
    <w:basedOn w:val="Normal"/>
    <w:link w:val="HeaderChar"/>
    <w:rsid w:val="009A2B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A2B27"/>
    <w:rPr>
      <w:sz w:val="24"/>
      <w:lang w:val="hu-HU"/>
    </w:rPr>
  </w:style>
  <w:style w:type="paragraph" w:customStyle="1" w:styleId="AnnexWPLogo">
    <w:name w:val="AnnexWPLogo"/>
    <w:basedOn w:val="Normal"/>
    <w:rsid w:val="009A2B27"/>
    <w:pPr>
      <w:spacing w:before="120" w:after="120"/>
    </w:pPr>
  </w:style>
  <w:style w:type="paragraph" w:customStyle="1" w:styleId="AnnexWPTabs">
    <w:name w:val="AnnexWPTabs"/>
    <w:basedOn w:val="Normal"/>
    <w:rsid w:val="009A2B27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9A2B27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9A2B27"/>
    <w:rPr>
      <w:smallCaps/>
      <w:sz w:val="20"/>
    </w:rPr>
  </w:style>
  <w:style w:type="paragraph" w:customStyle="1" w:styleId="AnnexWPDocType">
    <w:name w:val="AnnexWPDocType"/>
    <w:basedOn w:val="Normal"/>
    <w:rsid w:val="009A2B27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9A2B27"/>
    <w:pPr>
      <w:spacing w:before="480"/>
    </w:pPr>
    <w:rPr>
      <w:b/>
    </w:rPr>
  </w:style>
  <w:style w:type="paragraph" w:customStyle="1" w:styleId="AmJustText">
    <w:name w:val="AmJustText"/>
    <w:basedOn w:val="Normal"/>
    <w:rsid w:val="009A2B27"/>
    <w:pPr>
      <w:spacing w:after="240"/>
    </w:pPr>
    <w:rPr>
      <w:i/>
    </w:rPr>
  </w:style>
  <w:style w:type="paragraph" w:customStyle="1" w:styleId="AmCrossRef">
    <w:name w:val="AmCrossRef"/>
    <w:basedOn w:val="Normal"/>
    <w:rsid w:val="009A2B2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A2B27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9A2B2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A2B2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A2B2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A2B27"/>
    <w:pPr>
      <w:spacing w:before="240"/>
    </w:pPr>
    <w:rPr>
      <w:b/>
    </w:rPr>
  </w:style>
  <w:style w:type="paragraph" w:customStyle="1" w:styleId="EPBody">
    <w:name w:val="EPBody"/>
    <w:basedOn w:val="Normal"/>
    <w:rsid w:val="009A2B2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A2B2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A2B27"/>
    <w:pPr>
      <w:spacing w:before="480" w:after="240"/>
    </w:pPr>
  </w:style>
  <w:style w:type="paragraph" w:customStyle="1" w:styleId="Lgendesigne">
    <w:name w:val="Légende signe"/>
    <w:basedOn w:val="Normal"/>
    <w:rsid w:val="009A2B2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A2B2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A2B27"/>
    <w:rPr>
      <w:sz w:val="18"/>
    </w:rPr>
  </w:style>
  <w:style w:type="paragraph" w:customStyle="1" w:styleId="LetterDate">
    <w:name w:val="LetterDate"/>
    <w:basedOn w:val="Normal"/>
    <w:rsid w:val="009A2B27"/>
    <w:pPr>
      <w:spacing w:before="720" w:after="240"/>
    </w:pPr>
  </w:style>
  <w:style w:type="paragraph" w:customStyle="1" w:styleId="LetterSalutation">
    <w:name w:val="LetterSalutation"/>
    <w:basedOn w:val="Normal"/>
    <w:rsid w:val="009A2B27"/>
    <w:pPr>
      <w:spacing w:before="600" w:after="360"/>
    </w:pPr>
  </w:style>
  <w:style w:type="paragraph" w:customStyle="1" w:styleId="LetterSubject">
    <w:name w:val="LetterSubject"/>
    <w:basedOn w:val="Normal"/>
    <w:rsid w:val="009A2B27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9A2B27"/>
    <w:pPr>
      <w:spacing w:before="1320"/>
    </w:pPr>
  </w:style>
  <w:style w:type="paragraph" w:customStyle="1" w:styleId="msonormal">
    <w:name w:val="msonormal"/>
    <w:basedOn w:val="Normal"/>
    <w:rsid w:val="009A2B27"/>
    <w:pPr>
      <w:widowControl/>
      <w:spacing w:before="100" w:beforeAutospacing="1" w:after="100" w:afterAutospacing="1"/>
    </w:pPr>
    <w:rPr>
      <w:szCs w:val="24"/>
    </w:rPr>
  </w:style>
  <w:style w:type="character" w:customStyle="1" w:styleId="FooterChar">
    <w:name w:val="Footer Char"/>
    <w:basedOn w:val="DefaultParagraphFont"/>
    <w:link w:val="Footer"/>
    <w:rsid w:val="009A2B27"/>
    <w:rPr>
      <w:sz w:val="22"/>
    </w:rPr>
  </w:style>
  <w:style w:type="paragraph" w:styleId="Footer">
    <w:name w:val="footer"/>
    <w:link w:val="FooterChar"/>
    <w:unhideWhenUsed/>
    <w:rsid w:val="009A2B27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uiPriority w:val="99"/>
    <w:rsid w:val="009A2B27"/>
    <w:rPr>
      <w:sz w:val="24"/>
      <w:lang w:val="hu-HU"/>
    </w:rPr>
  </w:style>
  <w:style w:type="paragraph" w:styleId="BalloonText">
    <w:name w:val="Balloon Text"/>
    <w:basedOn w:val="Normal"/>
    <w:link w:val="BalloonTextChar"/>
    <w:unhideWhenUsed/>
    <w:rsid w:val="009A2B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A2B27"/>
    <w:rPr>
      <w:rFonts w:ascii="Segoe UI" w:hAnsi="Segoe UI" w:cs="Segoe UI"/>
      <w:sz w:val="18"/>
      <w:szCs w:val="18"/>
      <w:lang w:val="hu-HU"/>
    </w:rPr>
  </w:style>
  <w:style w:type="paragraph" w:customStyle="1" w:styleId="AMNumberTabs0">
    <w:name w:val="AMNumberTabs"/>
    <w:basedOn w:val="Normal"/>
    <w:rsid w:val="009A2B2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Left">
    <w:name w:val="Normal Left"/>
    <w:basedOn w:val="Normal"/>
    <w:rsid w:val="009A2B27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9A2B27"/>
    <w:rPr>
      <w:noProof/>
      <w:sz w:val="24"/>
    </w:rPr>
  </w:style>
  <w:style w:type="paragraph" w:customStyle="1" w:styleId="Normal12">
    <w:name w:val="Normal12"/>
    <w:basedOn w:val="Normal"/>
    <w:link w:val="Normal12Char"/>
    <w:rsid w:val="009A2B27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A2B2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A2B2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A2B27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A2B27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A2B27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9A2B27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9A2B27"/>
    <w:pPr>
      <w:spacing w:after="120"/>
    </w:pPr>
  </w:style>
  <w:style w:type="paragraph" w:customStyle="1" w:styleId="Normal12Italic">
    <w:name w:val="Normal12Italic"/>
    <w:basedOn w:val="Normal12"/>
    <w:rsid w:val="009A2B27"/>
    <w:rPr>
      <w:i/>
    </w:rPr>
  </w:style>
  <w:style w:type="paragraph" w:customStyle="1" w:styleId="JustificationTitle">
    <w:name w:val="JustificationTitle"/>
    <w:basedOn w:val="Normal"/>
    <w:next w:val="Normal12"/>
    <w:rsid w:val="009A2B27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A2B27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A2B27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9A2B27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9A2B27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Normal24a">
    <w:name w:val="Normal24a"/>
    <w:basedOn w:val="Normal"/>
    <w:rsid w:val="009A2B27"/>
    <w:pPr>
      <w:spacing w:after="480"/>
    </w:pPr>
  </w:style>
  <w:style w:type="paragraph" w:customStyle="1" w:styleId="NormalBoldCenter">
    <w:name w:val="NormalBoldCenter"/>
    <w:basedOn w:val="Normal"/>
    <w:rsid w:val="009A2B27"/>
    <w:pPr>
      <w:jc w:val="center"/>
    </w:pPr>
    <w:rPr>
      <w:b/>
    </w:rPr>
  </w:style>
  <w:style w:type="paragraph" w:customStyle="1" w:styleId="Footprint12b">
    <w:name w:val="Footprint12b"/>
    <w:basedOn w:val="Normal"/>
    <w:rsid w:val="009A2B27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9A2B27"/>
    <w:rPr>
      <w:szCs w:val="24"/>
    </w:rPr>
  </w:style>
  <w:style w:type="paragraph" w:customStyle="1" w:styleId="EntPE">
    <w:name w:val="EntPE"/>
    <w:basedOn w:val="Normal12"/>
    <w:rsid w:val="009A2B27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9A2B2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A2B27"/>
    <w:rPr>
      <w:sz w:val="24"/>
      <w:lang w:val="hu-HU"/>
    </w:rPr>
  </w:style>
  <w:style w:type="character" w:styleId="CommentReference">
    <w:name w:val="annotation reference"/>
    <w:basedOn w:val="DefaultParagraphFont"/>
    <w:rsid w:val="009A2B27"/>
    <w:rPr>
      <w:sz w:val="16"/>
      <w:szCs w:val="16"/>
    </w:rPr>
  </w:style>
  <w:style w:type="paragraph" w:styleId="CommentText">
    <w:name w:val="annotation text"/>
    <w:basedOn w:val="Normal"/>
    <w:link w:val="CommentTextChar"/>
    <w:rsid w:val="009A2B2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A2B27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A2B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A2B27"/>
    <w:rPr>
      <w:b/>
      <w:bCs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9A2B27"/>
    <w:rPr>
      <w:color w:val="605E5C"/>
      <w:shd w:val="clear" w:color="auto" w:fill="E1DFDD"/>
    </w:rPr>
  </w:style>
  <w:style w:type="paragraph" w:customStyle="1" w:styleId="RollCallVotes">
    <w:name w:val="RollCallVotes"/>
    <w:basedOn w:val="Normal"/>
    <w:rsid w:val="009A2B2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A2B2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A2B2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A2B27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9A2B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1632</Characters>
  <Application>Microsoft Office Word</Application>
  <DocSecurity>0</DocSecurity>
  <Lines>28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2026-06-17T13:15:00Z</dcterms:created>
  <dcterms:modified xsi:type="dcterms:W3CDTF">2026-06-17T13:15:00Z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A10-0161/2026</vt:lpwstr>
  </property>
  <property fmtid="{D5CDD505-2E9C-101B-9397-08002B2CF9AE}" pid="4" name="&lt;Type&gt;">
    <vt:lpwstr>RR</vt:lpwstr>
  </property>
</Properties>
</file>