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420054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EE6ED4" w:rsidP="0010095E" w14:paraId="69765864" w14:textId="77777777">
            <w:pPr>
              <w:pStyle w:val="EPName"/>
            </w:pPr>
            <w:r w:rsidRPr="00EE6ED4">
              <w:t>Parlamento europeo</w:t>
            </w:r>
          </w:p>
          <w:p w:rsidR="00751A4A" w:rsidRPr="00EE6ED4" w:rsidP="005F1B17" w14:paraId="7C29D3E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6ED4">
              <w:t>2024</w:t>
            </w:r>
            <w:r w:rsidRPr="00EE6ED4" w:rsidR="00817416">
              <w:t>-202</w:t>
            </w:r>
            <w:r w:rsidRPr="00EE6ED4">
              <w:t>9</w:t>
            </w:r>
          </w:p>
        </w:tc>
        <w:tc>
          <w:tcPr>
            <w:tcW w:w="2268" w:type="dxa"/>
          </w:tcPr>
          <w:p w:rsidR="00751A4A" w:rsidRPr="00EE6ED4" w:rsidP="0010095E" w14:paraId="6BB46F55" w14:textId="77777777">
            <w:pPr>
              <w:pStyle w:val="EPLogo"/>
            </w:pPr>
            <w:r w:rsidRPr="00EE6ED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6ED4" w:rsidP="004C5D52" w14:paraId="5B77D9FF" w14:textId="77777777">
      <w:pPr>
        <w:pStyle w:val="LineTop"/>
      </w:pPr>
    </w:p>
    <w:p w:rsidR="00680577" w:rsidRPr="00EE6ED4" w:rsidP="00680577" w14:paraId="1FF2FDFB" w14:textId="77777777">
      <w:pPr>
        <w:pStyle w:val="EPBodyTA1"/>
      </w:pPr>
      <w:r w:rsidRPr="00EE6ED4">
        <w:t>TESTI APPROVATI</w:t>
      </w:r>
    </w:p>
    <w:p w:rsidR="00D058B8" w:rsidRPr="00EE6ED4" w:rsidP="00D058B8" w14:paraId="480640B4" w14:textId="77777777">
      <w:pPr>
        <w:pStyle w:val="LineBottom"/>
      </w:pPr>
    </w:p>
    <w:p w:rsidR="008C7636" w:rsidRPr="00EE6ED4" w:rsidP="008C7636" w14:paraId="32ED0DE9" w14:textId="2434E48F">
      <w:pPr>
        <w:pStyle w:val="ATHeading1"/>
      </w:pPr>
      <w:bookmarkStart w:id="0" w:name="TANumber"/>
      <w:r w:rsidRPr="00EE6ED4">
        <w:t>P10_TA(2026)0</w:t>
      </w:r>
      <w:bookmarkEnd w:id="0"/>
      <w:r w:rsidRPr="00EE6ED4" w:rsidR="00E62FA5">
        <w:t>211</w:t>
      </w:r>
    </w:p>
    <w:p w:rsidR="008C7636" w:rsidRPr="00EE6ED4" w:rsidP="008C7636" w14:paraId="4B3B794A" w14:textId="77777777">
      <w:pPr>
        <w:pStyle w:val="ATHeading2"/>
      </w:pPr>
      <w:bookmarkStart w:id="1" w:name="title"/>
      <w:r w:rsidRPr="00EE6ED4">
        <w:t>Struttura e aliquote dell'accisa applicata al tabacco e ai prodotti correlati (rifusione)</w:t>
      </w:r>
      <w:bookmarkEnd w:id="1"/>
    </w:p>
    <w:p w:rsidR="008C7636" w:rsidRPr="00EE6ED4" w:rsidP="008C7636" w14:paraId="43A8D6F6" w14:textId="77777777">
      <w:pPr>
        <w:rPr>
          <w:i/>
          <w:vanish/>
        </w:rPr>
      </w:pPr>
      <w:r>
        <w:rPr>
          <w:i/>
        </w:rPr>
        <w:fldChar w:fldCharType="begin"/>
      </w:r>
      <w:r w:rsidRPr="00EE6ED4">
        <w:rPr>
          <w:i/>
        </w:rPr>
        <w:instrText xml:space="preserve"> TC"(</w:instrText>
      </w:r>
      <w:bookmarkStart w:id="2" w:name="DocNumber"/>
      <w:r w:rsidRPr="00EE6ED4">
        <w:rPr>
          <w:i/>
        </w:rPr>
        <w:instrText>A10-0161/2026</w:instrText>
      </w:r>
      <w:bookmarkEnd w:id="2"/>
      <w:r w:rsidRPr="00EE6ED4">
        <w:rPr>
          <w:i/>
        </w:rPr>
        <w:instrText xml:space="preserve"> - Relatore: Tomáš Kubín)"\l3 \n&gt; \* MERGEFORMAT </w:instrText>
      </w:r>
      <w:r>
        <w:rPr>
          <w:i/>
        </w:rPr>
        <w:fldChar w:fldCharType="end"/>
      </w:r>
    </w:p>
    <w:p w:rsidR="008C7636" w:rsidRPr="00EE6ED4" w:rsidP="008C7636" w14:paraId="3F4B755B" w14:textId="77777777">
      <w:pPr>
        <w:rPr>
          <w:vanish/>
        </w:rPr>
      </w:pPr>
      <w:bookmarkStart w:id="3" w:name="Commission"/>
      <w:r w:rsidRPr="00EE6ED4">
        <w:rPr>
          <w:vanish/>
        </w:rPr>
        <w:t>Commissione per i problemi economici e monetari</w:t>
      </w:r>
      <w:bookmarkEnd w:id="3"/>
    </w:p>
    <w:p w:rsidR="008C7636" w:rsidRPr="00EE6ED4" w:rsidP="008C7636" w14:paraId="4CE203AB" w14:textId="77777777">
      <w:pPr>
        <w:rPr>
          <w:vanish/>
        </w:rPr>
      </w:pPr>
      <w:bookmarkStart w:id="4" w:name="PE"/>
      <w:r w:rsidRPr="00EE6ED4">
        <w:rPr>
          <w:vanish/>
        </w:rPr>
        <w:t>PE784.398</w:t>
      </w:r>
      <w:bookmarkEnd w:id="4"/>
    </w:p>
    <w:p w:rsidR="008C7636" w:rsidRPr="00EE6ED4" w:rsidP="008C7636" w14:paraId="15B38845" w14:textId="1C30F79A">
      <w:pPr>
        <w:pStyle w:val="ATHeading3"/>
      </w:pPr>
      <w:bookmarkStart w:id="5" w:name="Sujet"/>
      <w:r w:rsidRPr="00EE6ED4">
        <w:t xml:space="preserve">Risoluzione legislativa del Parlamento europeo del </w:t>
      </w:r>
      <w:r w:rsidRPr="00EE6ED4" w:rsidR="00533110">
        <w:t>17</w:t>
      </w:r>
      <w:r w:rsidRPr="00EE6ED4">
        <w:t xml:space="preserve"> giugno 2026 sulla proposta di direttiva del Consiglio relativa alla struttura e alle aliquote dell'accisa applicata al tabacco e ai prodotti correlati (rifusione)</w:t>
      </w:r>
      <w:bookmarkEnd w:id="5"/>
      <w:r w:rsidRPr="00EE6ED4">
        <w:t xml:space="preserve"> </w:t>
      </w:r>
      <w:bookmarkStart w:id="6" w:name="References"/>
      <w:r w:rsidRPr="00EE6ED4">
        <w:t>(COM(2025)0580 – C10-0207/2025 – 2025/0580(CNS))</w:t>
      </w:r>
      <w:bookmarkEnd w:id="6"/>
    </w:p>
    <w:p w:rsidR="00823FB4" w:rsidRPr="00EE6ED4" w:rsidP="00823FB4" w14:paraId="53BA65BA" w14:textId="77777777">
      <w:pPr>
        <w:pStyle w:val="NormalBold"/>
      </w:pPr>
      <w:r w:rsidRPr="00EE6ED4">
        <w:t>(Procedura legislativa speciale – consultazione – rifusione)</w:t>
      </w:r>
    </w:p>
    <w:p w:rsidR="00823FB4" w:rsidRPr="00EE6ED4" w:rsidP="00823FB4" w14:paraId="30DD82FD" w14:textId="77777777">
      <w:pPr>
        <w:pStyle w:val="EPComma"/>
        <w:rPr>
          <w:i/>
          <w:iCs/>
        </w:rPr>
      </w:pPr>
      <w:r w:rsidRPr="00EE6ED4">
        <w:rPr>
          <w:i/>
          <w:iCs/>
        </w:rPr>
        <w:t>Il Parlamento europeo,</w:t>
      </w:r>
    </w:p>
    <w:p w:rsidR="00823FB4" w:rsidRPr="00EE6ED4" w:rsidP="00823FB4" w14:paraId="3CF6E566" w14:textId="77777777">
      <w:pPr>
        <w:pStyle w:val="NormalHanging12a"/>
      </w:pPr>
      <w:r w:rsidRPr="00EE6ED4">
        <w:t>–</w:t>
      </w:r>
      <w:r w:rsidRPr="00EE6ED4">
        <w:tab/>
        <w:t>vista la proposta della Commissione al Consiglio (COM(2025)0580),</w:t>
      </w:r>
    </w:p>
    <w:p w:rsidR="00823FB4" w:rsidRPr="00EE6ED4" w:rsidP="00823FB4" w14:paraId="66CB4A73" w14:textId="77777777">
      <w:pPr>
        <w:pStyle w:val="NormalHanging12a"/>
      </w:pPr>
      <w:r w:rsidRPr="00EE6ED4">
        <w:t>–</w:t>
      </w:r>
      <w:r w:rsidRPr="00EE6ED4">
        <w:tab/>
        <w:t>visto l'articolo 113 del trattato sul funzionamento dell'Unione europea, a norma del quale è stato consultato dal Consiglio (C10</w:t>
      </w:r>
      <w:r w:rsidRPr="00EE6ED4">
        <w:noBreakHyphen/>
        <w:t>0207/2025),</w:t>
      </w:r>
    </w:p>
    <w:p w:rsidR="00823FB4" w:rsidRPr="00EE6ED4" w:rsidP="00823FB4" w14:paraId="1FF41A29" w14:textId="77777777">
      <w:pPr>
        <w:pStyle w:val="NormalHanging12a"/>
      </w:pPr>
      <w:r w:rsidRPr="00EE6ED4">
        <w:t>–</w:t>
      </w:r>
      <w:r w:rsidRPr="00EE6ED4">
        <w:tab/>
        <w:t>visto il parere motivato inviato dalla Camera dei deputati italiana, nel quadro del protocollo n. 2 sull'applicazione dei principi di sussidiarietà e di proporzionalità, in cui si dichiara la mancata conformità del progetto di atto legislativo al principio di sussidiarietà,</w:t>
      </w:r>
    </w:p>
    <w:p w:rsidR="00823FB4" w:rsidRPr="00EE6ED4" w:rsidP="00823FB4" w14:paraId="729C5E73" w14:textId="77777777">
      <w:pPr>
        <w:pStyle w:val="NormalHanging12a"/>
      </w:pPr>
      <w:r w:rsidRPr="00EE6ED4">
        <w:t>–</w:t>
      </w:r>
      <w:r w:rsidRPr="00EE6ED4">
        <w:tab/>
        <w:t>visto l'accordo interistituzionale del 28 novembre 2001 ai fini di un ricorso più strutturato alla tecnica della rifusione degli atti normativi</w:t>
      </w:r>
      <w:r>
        <w:rPr>
          <w:rStyle w:val="FootnoteReference"/>
        </w:rPr>
        <w:footnoteReference w:id="2"/>
      </w:r>
      <w:r w:rsidRPr="00EE6ED4">
        <w:t>,</w:t>
      </w:r>
    </w:p>
    <w:p w:rsidR="00823FB4" w:rsidRPr="00EE6ED4" w:rsidP="00823FB4" w14:paraId="73E04D85" w14:textId="77777777">
      <w:pPr>
        <w:pStyle w:val="NormalHanging12a"/>
      </w:pPr>
      <w:r w:rsidRPr="00EE6ED4">
        <w:t>–</w:t>
      </w:r>
      <w:r w:rsidRPr="00EE6ED4">
        <w:tab/>
        <w:t>vista la lettera in data 11 dicembre 2025 della commissione giuridica alla commissione per i problemi economici e monetari a norma dell'articolo 113, paragrafo 3, del suo regolamento,</w:t>
      </w:r>
    </w:p>
    <w:p w:rsidR="00823FB4" w:rsidRPr="00EE6ED4" w:rsidP="00823FB4" w14:paraId="7F0AEF4F" w14:textId="77777777">
      <w:pPr>
        <w:pStyle w:val="NormalHanging12a"/>
      </w:pPr>
      <w:r w:rsidRPr="00EE6ED4">
        <w:t>–</w:t>
      </w:r>
      <w:r w:rsidRPr="00EE6ED4">
        <w:tab/>
        <w:t>visti gli articoli 113 e 84 del suo regolamento,</w:t>
      </w:r>
    </w:p>
    <w:p w:rsidR="00823FB4" w:rsidRPr="00EE6ED4" w:rsidP="00823FB4" w14:paraId="618B9D9D" w14:textId="77777777">
      <w:pPr>
        <w:pStyle w:val="NormalHanging12a"/>
      </w:pPr>
      <w:r w:rsidRPr="00EE6ED4">
        <w:t>–</w:t>
      </w:r>
      <w:r w:rsidRPr="00EE6ED4">
        <w:tab/>
        <w:t>vista la relazione della commissione per i problemi economici e monetari (A10-0161/2026),</w:t>
      </w:r>
    </w:p>
    <w:p w:rsidR="00823FB4" w:rsidRPr="00EE6ED4" w:rsidP="00823FB4" w14:paraId="2A2C880C" w14:textId="62B13E97">
      <w:pPr>
        <w:pStyle w:val="NormalHanging12a"/>
      </w:pPr>
      <w:r w:rsidRPr="00EE6ED4">
        <w:t>1.</w:t>
      </w:r>
      <w:r w:rsidRPr="00EE6ED4">
        <w:tab/>
      </w:r>
      <w:r w:rsidRPr="00EE6ED4" w:rsidR="00E62FA5">
        <w:t xml:space="preserve">respinge </w:t>
      </w:r>
      <w:r w:rsidRPr="00EE6ED4">
        <w:t>la proposta della Commissione;</w:t>
      </w:r>
    </w:p>
    <w:p w:rsidR="00823FB4" w:rsidRPr="00EE6ED4" w:rsidP="00823FB4" w14:paraId="096C0DC1" w14:textId="44BB1154">
      <w:pPr>
        <w:pStyle w:val="NormalHanging12a"/>
      </w:pPr>
      <w:r w:rsidRPr="00EE6ED4">
        <w:t>2.</w:t>
      </w:r>
      <w:r w:rsidRPr="00EE6ED4">
        <w:tab/>
        <w:t xml:space="preserve">invita la Commissione </w:t>
      </w:r>
      <w:r w:rsidRPr="00EE6ED4" w:rsidR="00E62FA5">
        <w:t>a ritirare la proposta</w:t>
      </w:r>
      <w:r w:rsidRPr="00EE6ED4">
        <w:t>;</w:t>
      </w:r>
    </w:p>
    <w:p w:rsidR="00E365E1" w:rsidRPr="00EE6ED4" w:rsidP="00E62FA5" w14:paraId="101CE8E3" w14:textId="46AE16C4">
      <w:pPr>
        <w:pStyle w:val="NormalHanging12a"/>
      </w:pPr>
      <w:r w:rsidRPr="00EE6ED4">
        <w:t>3</w:t>
      </w:r>
      <w:r w:rsidRPr="00EE6ED4" w:rsidR="00823FB4">
        <w:t>.</w:t>
      </w:r>
      <w:r w:rsidRPr="00EE6ED4" w:rsidR="00823FB4">
        <w:tab/>
        <w:t xml:space="preserve">incarica </w:t>
      </w:r>
      <w:r w:rsidRPr="00EE6ED4" w:rsidR="00533110">
        <w:t>la</w:t>
      </w:r>
      <w:r w:rsidRPr="00EE6ED4" w:rsidR="00823FB4">
        <w:t xml:space="preserve"> su</w:t>
      </w:r>
      <w:r w:rsidRPr="00EE6ED4" w:rsidR="00533110">
        <w:t>a</w:t>
      </w:r>
      <w:r w:rsidRPr="00EE6ED4" w:rsidR="00823FB4">
        <w:t xml:space="preserve"> Presidente di trasmettere la posizione del Parlamento al Consiglio e alla Commissione nonché ai parlamenti nazionali.</w:t>
      </w:r>
      <w:bookmarkStart w:id="7" w:name="_Hlk203234330"/>
      <w:bookmarkEnd w:id="7"/>
    </w:p>
    <w:sectPr w:rsidSect="00EB2D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B2D35" w14:paraId="3D3B3F8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B2D35" w14:paraId="3E66D2B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B2D35" w14:paraId="48AAC33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23E43" w:rsidRPr="00EB2D35" w14:paraId="5BFFB4FF" w14:textId="77777777">
      <w:r w:rsidRPr="00EB2D35">
        <w:separator/>
      </w:r>
    </w:p>
  </w:footnote>
  <w:footnote w:type="continuationSeparator" w:id="1">
    <w:p w:rsidR="00B23E43" w:rsidRPr="00EB2D35" w14:paraId="60D0FCB2" w14:textId="77777777">
      <w:r w:rsidRPr="00EB2D35">
        <w:continuationSeparator/>
      </w:r>
    </w:p>
  </w:footnote>
  <w:footnote w:id="2">
    <w:p w:rsidR="00823FB4" w:rsidRPr="00EB2D35" w:rsidP="00EB2D35" w14:paraId="35770870" w14:textId="05FC5010">
      <w:pPr>
        <w:pStyle w:val="FootnoteText"/>
        <w:ind w:left="567" w:hanging="567"/>
        <w:rPr>
          <w:sz w:val="24"/>
          <w:lang w:val="it-IT"/>
        </w:rPr>
      </w:pPr>
      <w:r w:rsidRPr="00EB2D35">
        <w:rPr>
          <w:rStyle w:val="FootnoteReference"/>
          <w:sz w:val="24"/>
          <w:lang w:val="it-IT"/>
        </w:rPr>
        <w:footnoteRef/>
      </w:r>
      <w:r w:rsidRPr="00EB2D35" w:rsidR="00EB2D35">
        <w:rPr>
          <w:sz w:val="24"/>
          <w:lang w:val="it-IT"/>
        </w:rPr>
        <w:t xml:space="preserve"> </w:t>
      </w:r>
      <w:r w:rsidRPr="00EB2D35" w:rsidR="00EB2D35">
        <w:rPr>
          <w:sz w:val="24"/>
          <w:lang w:val="it-IT"/>
        </w:rPr>
        <w:tab/>
      </w:r>
      <w:r w:rsidRPr="00EB2D35">
        <w:rPr>
          <w:sz w:val="24"/>
          <w:lang w:val="it-IT"/>
        </w:rPr>
        <w:t xml:space="preserve">GU </w:t>
      </w:r>
      <w:r w:rsidR="00931189">
        <w:rPr>
          <w:sz w:val="24"/>
          <w:lang w:val="it-IT"/>
        </w:rPr>
        <w:t>C</w:t>
      </w:r>
      <w:r w:rsidRPr="00EB2D35">
        <w:rPr>
          <w:sz w:val="24"/>
          <w:lang w:val="it-IT"/>
        </w:rPr>
        <w:t xml:space="preserve"> 77 del 28.3.2002, pag.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B2D35" w14:paraId="18147DE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B2D35" w14:paraId="4FCAE2A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B2D35" w14:paraId="5EB1117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0560339">
    <w:abstractNumId w:val="9"/>
  </w:num>
  <w:num w:numId="2" w16cid:durableId="730005747">
    <w:abstractNumId w:val="9"/>
  </w:num>
  <w:num w:numId="3" w16cid:durableId="806359136">
    <w:abstractNumId w:val="7"/>
  </w:num>
  <w:num w:numId="4" w16cid:durableId="1901551436">
    <w:abstractNumId w:val="7"/>
  </w:num>
  <w:num w:numId="5" w16cid:durableId="88621172">
    <w:abstractNumId w:val="6"/>
  </w:num>
  <w:num w:numId="6" w16cid:durableId="879826457">
    <w:abstractNumId w:val="6"/>
  </w:num>
  <w:num w:numId="7" w16cid:durableId="840850558">
    <w:abstractNumId w:val="5"/>
  </w:num>
  <w:num w:numId="8" w16cid:durableId="1359232548">
    <w:abstractNumId w:val="5"/>
  </w:num>
  <w:num w:numId="9" w16cid:durableId="1720742255">
    <w:abstractNumId w:val="4"/>
  </w:num>
  <w:num w:numId="10" w16cid:durableId="1401053269">
    <w:abstractNumId w:val="4"/>
  </w:num>
  <w:num w:numId="11" w16cid:durableId="1426683424">
    <w:abstractNumId w:val="8"/>
  </w:num>
  <w:num w:numId="12" w16cid:durableId="1596203385">
    <w:abstractNumId w:val="8"/>
  </w:num>
  <w:num w:numId="13" w16cid:durableId="2023162460">
    <w:abstractNumId w:val="3"/>
  </w:num>
  <w:num w:numId="14" w16cid:durableId="859316534">
    <w:abstractNumId w:val="3"/>
  </w:num>
  <w:num w:numId="15" w16cid:durableId="432822640">
    <w:abstractNumId w:val="2"/>
  </w:num>
  <w:num w:numId="16" w16cid:durableId="1161964956">
    <w:abstractNumId w:val="2"/>
  </w:num>
  <w:num w:numId="17" w16cid:durableId="507445431">
    <w:abstractNumId w:val="1"/>
  </w:num>
  <w:num w:numId="18" w16cid:durableId="915211192">
    <w:abstractNumId w:val="1"/>
  </w:num>
  <w:num w:numId="19" w16cid:durableId="922104836">
    <w:abstractNumId w:val="0"/>
  </w:num>
  <w:num w:numId="20" w16cid:durableId="1582376442">
    <w:abstractNumId w:val="0"/>
  </w:num>
  <w:num w:numId="21" w16cid:durableId="589394831">
    <w:abstractNumId w:val="9"/>
  </w:num>
  <w:num w:numId="22" w16cid:durableId="1446077247">
    <w:abstractNumId w:val="7"/>
  </w:num>
  <w:num w:numId="23" w16cid:durableId="472018109">
    <w:abstractNumId w:val="6"/>
  </w:num>
  <w:num w:numId="24" w16cid:durableId="352149008">
    <w:abstractNumId w:val="5"/>
  </w:num>
  <w:num w:numId="25" w16cid:durableId="1582911608">
    <w:abstractNumId w:val="4"/>
  </w:num>
  <w:num w:numId="26" w16cid:durableId="244581783">
    <w:abstractNumId w:val="8"/>
  </w:num>
  <w:num w:numId="27" w16cid:durableId="2137986033">
    <w:abstractNumId w:val="3"/>
  </w:num>
  <w:num w:numId="28" w16cid:durableId="1529105305">
    <w:abstractNumId w:val="2"/>
  </w:num>
  <w:num w:numId="29" w16cid:durableId="1908539746">
    <w:abstractNumId w:val="1"/>
  </w:num>
  <w:num w:numId="30" w16cid:durableId="1339885989">
    <w:abstractNumId w:val="0"/>
  </w:num>
  <w:num w:numId="31" w16cid:durableId="600992969">
    <w:abstractNumId w:val="9"/>
  </w:num>
  <w:num w:numId="32" w16cid:durableId="2123457126">
    <w:abstractNumId w:val="7"/>
  </w:num>
  <w:num w:numId="33" w16cid:durableId="1997101580">
    <w:abstractNumId w:val="6"/>
  </w:num>
  <w:num w:numId="34" w16cid:durableId="1266616639">
    <w:abstractNumId w:val="5"/>
  </w:num>
  <w:num w:numId="35" w16cid:durableId="503983721">
    <w:abstractNumId w:val="4"/>
  </w:num>
  <w:num w:numId="36" w16cid:durableId="1486166346">
    <w:abstractNumId w:val="8"/>
  </w:num>
  <w:num w:numId="37" w16cid:durableId="770468095">
    <w:abstractNumId w:val="3"/>
  </w:num>
  <w:num w:numId="38" w16cid:durableId="220140987">
    <w:abstractNumId w:val="2"/>
  </w:num>
  <w:num w:numId="39" w16cid:durableId="83572">
    <w:abstractNumId w:val="1"/>
  </w:num>
  <w:num w:numId="40" w16cid:durableId="619534419">
    <w:abstractNumId w:val="0"/>
  </w:num>
  <w:num w:numId="41" w16cid:durableId="319776878">
    <w:abstractNumId w:val="10"/>
  </w:num>
  <w:num w:numId="42" w16cid:durableId="625355811">
    <w:abstractNumId w:val="10"/>
  </w:num>
  <w:num w:numId="43" w16cid:durableId="525604051">
    <w:abstractNumId w:val="10"/>
  </w:num>
  <w:num w:numId="44" w16cid:durableId="4673554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3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0575"/>
    <w:rsid w:val="001F32AE"/>
    <w:rsid w:val="002767FF"/>
    <w:rsid w:val="002A1E19"/>
    <w:rsid w:val="002B18FE"/>
    <w:rsid w:val="002B5493"/>
    <w:rsid w:val="00343214"/>
    <w:rsid w:val="00361C00"/>
    <w:rsid w:val="0039454A"/>
    <w:rsid w:val="00395FA1"/>
    <w:rsid w:val="003B31A0"/>
    <w:rsid w:val="003B7FB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DEF"/>
    <w:rsid w:val="00533110"/>
    <w:rsid w:val="0054245A"/>
    <w:rsid w:val="00545827"/>
    <w:rsid w:val="00560270"/>
    <w:rsid w:val="005B44C6"/>
    <w:rsid w:val="005C2568"/>
    <w:rsid w:val="005F1B17"/>
    <w:rsid w:val="006037C0"/>
    <w:rsid w:val="00622503"/>
    <w:rsid w:val="006631B6"/>
    <w:rsid w:val="00680577"/>
    <w:rsid w:val="006F74FA"/>
    <w:rsid w:val="0072011E"/>
    <w:rsid w:val="00724E3C"/>
    <w:rsid w:val="00731ADD"/>
    <w:rsid w:val="00734777"/>
    <w:rsid w:val="00747932"/>
    <w:rsid w:val="00751A4A"/>
    <w:rsid w:val="00756632"/>
    <w:rsid w:val="00762C74"/>
    <w:rsid w:val="0078363F"/>
    <w:rsid w:val="00786EC0"/>
    <w:rsid w:val="007D1690"/>
    <w:rsid w:val="007E22AD"/>
    <w:rsid w:val="00817416"/>
    <w:rsid w:val="00823FB4"/>
    <w:rsid w:val="00842779"/>
    <w:rsid w:val="00865F67"/>
    <w:rsid w:val="00881A7B"/>
    <w:rsid w:val="008840E5"/>
    <w:rsid w:val="00887B3E"/>
    <w:rsid w:val="008C2AC6"/>
    <w:rsid w:val="008C7636"/>
    <w:rsid w:val="00930C23"/>
    <w:rsid w:val="00931189"/>
    <w:rsid w:val="0093193B"/>
    <w:rsid w:val="009509D8"/>
    <w:rsid w:val="00950B64"/>
    <w:rsid w:val="00981893"/>
    <w:rsid w:val="00A1687D"/>
    <w:rsid w:val="00A43CFE"/>
    <w:rsid w:val="00A43E52"/>
    <w:rsid w:val="00A4678D"/>
    <w:rsid w:val="00A778C7"/>
    <w:rsid w:val="00A86110"/>
    <w:rsid w:val="00AB441E"/>
    <w:rsid w:val="00AB6293"/>
    <w:rsid w:val="00AC63D0"/>
    <w:rsid w:val="00AE0928"/>
    <w:rsid w:val="00AE625D"/>
    <w:rsid w:val="00AF3B82"/>
    <w:rsid w:val="00B12E95"/>
    <w:rsid w:val="00B22876"/>
    <w:rsid w:val="00B23E43"/>
    <w:rsid w:val="00B42467"/>
    <w:rsid w:val="00B558F0"/>
    <w:rsid w:val="00BD48FE"/>
    <w:rsid w:val="00BD7BD8"/>
    <w:rsid w:val="00BE6ADC"/>
    <w:rsid w:val="00C05BFE"/>
    <w:rsid w:val="00C1182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2FA5"/>
    <w:rsid w:val="00E820A4"/>
    <w:rsid w:val="00EB006A"/>
    <w:rsid w:val="00EB2D35"/>
    <w:rsid w:val="00EB4772"/>
    <w:rsid w:val="00ED169E"/>
    <w:rsid w:val="00ED4235"/>
    <w:rsid w:val="00EE6ED4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IT"/>
    <w:docVar w:name="dvnumam" w:val="87"/>
    <w:docVar w:name="dvpe" w:val="784.398"/>
    <w:docVar w:name="dvrapporteur" w:val="Relatore: "/>
    <w:docVar w:name="dvstar" w:val="*"/>
    <w:docVar w:name="dvtitre" w:val="Risoluzione legislativa del Parlamento europeo del ... giugno 2026 sulla proposta di direttiva del Consiglio relativa alla struttura e alle aliquote dell'accisa applicata al tabacco e ai prodotti correlati (rifusione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5655BE8"/>
  <w15:chartTrackingRefBased/>
  <w15:docId w15:val="{C1757390-A2ED-4681-9C3A-BDDB57E6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23FB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23FB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23FB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23FB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23FB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23FB4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semiHidden/>
    <w:rsid w:val="00823FB4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823FB4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823FB4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nhideWhenUsed/>
    <w:qFormat/>
    <w:rsid w:val="00823FB4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823FB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823FB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823FB4"/>
    <w:pPr>
      <w:spacing w:after="240"/>
    </w:pPr>
  </w:style>
  <w:style w:type="paragraph" w:customStyle="1" w:styleId="TOCPage">
    <w:name w:val="TOC Page"/>
    <w:basedOn w:val="Normal"/>
    <w:next w:val="TOC1"/>
    <w:rsid w:val="00823FB4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823FB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23FB4"/>
    <w:pPr>
      <w:spacing w:after="240"/>
      <w:ind w:left="567" w:hanging="567"/>
    </w:pPr>
  </w:style>
  <w:style w:type="paragraph" w:customStyle="1" w:styleId="Normal6a">
    <w:name w:val="Normal6a"/>
    <w:basedOn w:val="Normal"/>
    <w:rsid w:val="00823FB4"/>
    <w:pPr>
      <w:spacing w:after="120"/>
    </w:pPr>
  </w:style>
  <w:style w:type="paragraph" w:customStyle="1" w:styleId="CoverNormal24a">
    <w:name w:val="CoverNormal24a"/>
    <w:basedOn w:val="Normal"/>
    <w:rsid w:val="00823FB4"/>
    <w:pPr>
      <w:spacing w:after="480"/>
      <w:ind w:left="1417"/>
    </w:pPr>
  </w:style>
  <w:style w:type="paragraph" w:customStyle="1" w:styleId="CoverNormal">
    <w:name w:val="CoverNormal"/>
    <w:basedOn w:val="Normal"/>
    <w:rsid w:val="00823FB4"/>
    <w:pPr>
      <w:ind w:left="1418"/>
    </w:pPr>
  </w:style>
  <w:style w:type="paragraph" w:customStyle="1" w:styleId="CoverReference">
    <w:name w:val="CoverReference"/>
    <w:basedOn w:val="Normal"/>
    <w:rsid w:val="00823FB4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23FB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23FB4"/>
    <w:rPr>
      <w:b/>
      <w:sz w:val="24"/>
      <w:lang w:val="it-IT"/>
    </w:rPr>
  </w:style>
  <w:style w:type="paragraph" w:customStyle="1" w:styleId="CoverDocType">
    <w:name w:val="CoverDocType"/>
    <w:basedOn w:val="Normal"/>
    <w:rsid w:val="00823FB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23FB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23FB4"/>
    <w:pPr>
      <w:spacing w:before="240" w:after="1200"/>
    </w:pPr>
  </w:style>
  <w:style w:type="paragraph" w:styleId="Header">
    <w:name w:val="header"/>
    <w:basedOn w:val="Normal"/>
    <w:link w:val="HeaderChar"/>
    <w:rsid w:val="00823F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23FB4"/>
    <w:rPr>
      <w:sz w:val="24"/>
      <w:lang w:val="it-IT"/>
    </w:rPr>
  </w:style>
  <w:style w:type="paragraph" w:customStyle="1" w:styleId="AnnexWPLogo">
    <w:name w:val="AnnexWPLogo"/>
    <w:basedOn w:val="Normal"/>
    <w:rsid w:val="00823FB4"/>
    <w:pPr>
      <w:spacing w:before="120" w:after="120"/>
    </w:pPr>
  </w:style>
  <w:style w:type="paragraph" w:customStyle="1" w:styleId="AnnexWPTabs">
    <w:name w:val="AnnexWPTabs"/>
    <w:basedOn w:val="Normal"/>
    <w:rsid w:val="00823FB4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823FB4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823FB4"/>
    <w:rPr>
      <w:smallCaps/>
      <w:sz w:val="20"/>
    </w:rPr>
  </w:style>
  <w:style w:type="paragraph" w:customStyle="1" w:styleId="AnnexWPDocType">
    <w:name w:val="AnnexWPDocType"/>
    <w:basedOn w:val="Normal"/>
    <w:rsid w:val="00823FB4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823FB4"/>
    <w:pPr>
      <w:spacing w:before="480"/>
    </w:pPr>
    <w:rPr>
      <w:b/>
    </w:rPr>
  </w:style>
  <w:style w:type="paragraph" w:customStyle="1" w:styleId="AmJustText">
    <w:name w:val="AmJustText"/>
    <w:basedOn w:val="Normal"/>
    <w:rsid w:val="00823FB4"/>
    <w:pPr>
      <w:spacing w:after="240"/>
    </w:pPr>
    <w:rPr>
      <w:i/>
    </w:rPr>
  </w:style>
  <w:style w:type="paragraph" w:customStyle="1" w:styleId="AmCrossRef">
    <w:name w:val="AmCrossRef"/>
    <w:basedOn w:val="Normal"/>
    <w:rsid w:val="00823FB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23FB4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823FB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23FB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23F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23FB4"/>
    <w:pPr>
      <w:spacing w:before="240"/>
    </w:pPr>
    <w:rPr>
      <w:b/>
    </w:rPr>
  </w:style>
  <w:style w:type="paragraph" w:customStyle="1" w:styleId="EPBody">
    <w:name w:val="EPBody"/>
    <w:basedOn w:val="Normal"/>
    <w:rsid w:val="00823FB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23F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23FB4"/>
    <w:pPr>
      <w:spacing w:before="480" w:after="240"/>
    </w:pPr>
  </w:style>
  <w:style w:type="paragraph" w:customStyle="1" w:styleId="Lgendesigne">
    <w:name w:val="Légende signe"/>
    <w:basedOn w:val="Normal"/>
    <w:rsid w:val="00823FB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23FB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23FB4"/>
    <w:rPr>
      <w:sz w:val="18"/>
    </w:rPr>
  </w:style>
  <w:style w:type="paragraph" w:customStyle="1" w:styleId="LetterDate">
    <w:name w:val="LetterDate"/>
    <w:basedOn w:val="Normal"/>
    <w:rsid w:val="00823FB4"/>
    <w:pPr>
      <w:spacing w:before="720" w:after="240"/>
    </w:pPr>
  </w:style>
  <w:style w:type="paragraph" w:customStyle="1" w:styleId="LetterSalutation">
    <w:name w:val="LetterSalutation"/>
    <w:basedOn w:val="Normal"/>
    <w:rsid w:val="00823FB4"/>
    <w:pPr>
      <w:spacing w:before="600" w:after="360"/>
    </w:pPr>
  </w:style>
  <w:style w:type="paragraph" w:customStyle="1" w:styleId="LetterSubject">
    <w:name w:val="LetterSubject"/>
    <w:basedOn w:val="Normal"/>
    <w:rsid w:val="00823FB4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823FB4"/>
    <w:pPr>
      <w:spacing w:before="1320"/>
    </w:pPr>
  </w:style>
  <w:style w:type="paragraph" w:customStyle="1" w:styleId="msonormal">
    <w:name w:val="msonormal"/>
    <w:basedOn w:val="Normal"/>
    <w:rsid w:val="00823FB4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823FB4"/>
    <w:rPr>
      <w:sz w:val="22"/>
    </w:rPr>
  </w:style>
  <w:style w:type="paragraph" w:styleId="Footer">
    <w:name w:val="footer"/>
    <w:link w:val="FooterChar"/>
    <w:unhideWhenUsed/>
    <w:rsid w:val="00823FB4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uiPriority w:val="99"/>
    <w:rsid w:val="00823FB4"/>
    <w:rPr>
      <w:sz w:val="24"/>
      <w:lang w:val="it-IT"/>
    </w:rPr>
  </w:style>
  <w:style w:type="paragraph" w:styleId="BalloonText">
    <w:name w:val="Balloon Text"/>
    <w:basedOn w:val="Normal"/>
    <w:link w:val="BalloonTextChar"/>
    <w:unhideWhenUsed/>
    <w:rsid w:val="00823F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3FB4"/>
    <w:rPr>
      <w:rFonts w:ascii="Segoe UI" w:hAnsi="Segoe UI" w:cs="Segoe UI"/>
      <w:sz w:val="18"/>
      <w:szCs w:val="18"/>
      <w:lang w:val="it-IT"/>
    </w:rPr>
  </w:style>
  <w:style w:type="paragraph" w:customStyle="1" w:styleId="AMNumberTabs0">
    <w:name w:val="AMNumberTabs"/>
    <w:basedOn w:val="Normal"/>
    <w:rsid w:val="00823F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823FB4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823FB4"/>
    <w:rPr>
      <w:noProof/>
      <w:sz w:val="24"/>
    </w:rPr>
  </w:style>
  <w:style w:type="paragraph" w:customStyle="1" w:styleId="Normal12">
    <w:name w:val="Normal12"/>
    <w:basedOn w:val="Normal"/>
    <w:link w:val="Normal12Char"/>
    <w:rsid w:val="00823FB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23FB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23FB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23FB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23FB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23FB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823FB4"/>
    <w:rPr>
      <w:sz w:val="24"/>
    </w:rPr>
  </w:style>
  <w:style w:type="paragraph" w:customStyle="1" w:styleId="Normal6">
    <w:name w:val="Normal6"/>
    <w:basedOn w:val="Normal"/>
    <w:link w:val="Normal6Char"/>
    <w:rsid w:val="00823FB4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823FB4"/>
    <w:rPr>
      <w:i/>
    </w:rPr>
  </w:style>
  <w:style w:type="paragraph" w:customStyle="1" w:styleId="JustificationTitle">
    <w:name w:val="JustificationTitle"/>
    <w:basedOn w:val="Normal"/>
    <w:next w:val="Normal12"/>
    <w:rsid w:val="00823FB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23FB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23FB4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823FB4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823FB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823FB4"/>
    <w:pPr>
      <w:spacing w:after="480"/>
    </w:pPr>
  </w:style>
  <w:style w:type="paragraph" w:customStyle="1" w:styleId="NormalBoldCenter">
    <w:name w:val="NormalBoldCenter"/>
    <w:basedOn w:val="Normal"/>
    <w:rsid w:val="00823FB4"/>
    <w:pPr>
      <w:jc w:val="center"/>
    </w:pPr>
    <w:rPr>
      <w:b/>
    </w:rPr>
  </w:style>
  <w:style w:type="paragraph" w:customStyle="1" w:styleId="Footprint12b">
    <w:name w:val="Footprint12b"/>
    <w:basedOn w:val="Normal"/>
    <w:rsid w:val="00823FB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823FB4"/>
    <w:rPr>
      <w:szCs w:val="24"/>
    </w:rPr>
  </w:style>
  <w:style w:type="paragraph" w:customStyle="1" w:styleId="EntPE">
    <w:name w:val="EntPE"/>
    <w:basedOn w:val="Normal12"/>
    <w:rsid w:val="00823FB4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823FB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23FB4"/>
    <w:rPr>
      <w:sz w:val="24"/>
      <w:lang w:val="it-IT"/>
    </w:rPr>
  </w:style>
  <w:style w:type="character" w:styleId="CommentReference">
    <w:name w:val="annotation reference"/>
    <w:basedOn w:val="DefaultParagraphFont"/>
    <w:rsid w:val="00823F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3F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3FB4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23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23FB4"/>
    <w:rPr>
      <w:b/>
      <w:bCs/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823FB4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823FB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23FB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23FB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23FB4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23FB4"/>
    <w:pPr>
      <w:widowControl/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23FB4"/>
    <w:rPr>
      <w:rFonts w:ascii="Arial" w:hAnsi="Arial" w:eastAsiaTheme="majorEastAsia" w:cs="Arial"/>
      <w:b/>
      <w:bCs/>
      <w:kern w:val="28"/>
      <w:sz w:val="32"/>
      <w:szCs w:val="32"/>
      <w:lang w:val="it-I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FB4"/>
    <w:pPr>
      <w:widowControl/>
      <w:spacing w:after="60"/>
      <w:jc w:val="center"/>
      <w:outlineLvl w:val="1"/>
    </w:pPr>
    <w:rPr>
      <w:rFonts w:ascii="Arial" w:hAnsi="Arial" w:eastAsiaTheme="majorEastAsia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23FB4"/>
    <w:rPr>
      <w:rFonts w:ascii="Arial" w:hAnsi="Arial" w:eastAsiaTheme="majorEastAsia" w:cs="Arial"/>
      <w:sz w:val="24"/>
      <w:szCs w:val="24"/>
      <w:lang w:val="it-IT" w:eastAsia="en-US"/>
    </w:rPr>
  </w:style>
  <w:style w:type="character" w:styleId="Strong">
    <w:name w:val="Strong"/>
    <w:basedOn w:val="DefaultParagraphFont"/>
    <w:uiPriority w:val="22"/>
    <w:qFormat/>
    <w:rsid w:val="00823FB4"/>
    <w:rPr>
      <w:b/>
      <w:bCs/>
    </w:rPr>
  </w:style>
  <w:style w:type="character" w:styleId="Emphasis">
    <w:name w:val="Emphasis"/>
    <w:basedOn w:val="DefaultParagraphFont"/>
    <w:uiPriority w:val="20"/>
    <w:qFormat/>
    <w:rsid w:val="00823FB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23FB4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823FB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23FB4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23FB4"/>
    <w:rPr>
      <w:rFonts w:eastAsiaTheme="minorHAnsi"/>
      <w:i/>
      <w:sz w:val="24"/>
      <w:szCs w:val="24"/>
      <w:lang w:val="it-I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FB4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FB4"/>
    <w:rPr>
      <w:rFonts w:eastAsiaTheme="minorHAnsi"/>
      <w:b/>
      <w:i/>
      <w:sz w:val="24"/>
      <w:szCs w:val="22"/>
      <w:lang w:val="it-IT" w:eastAsia="en-US"/>
    </w:rPr>
  </w:style>
  <w:style w:type="character" w:styleId="SubtleEmphasis">
    <w:name w:val="Subtle Emphasis"/>
    <w:uiPriority w:val="19"/>
    <w:qFormat/>
    <w:rsid w:val="00823FB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23FB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23FB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23FB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23FB4"/>
    <w:rPr>
      <w:rFonts w:asciiTheme="majorHAnsi" w:eastAsiaTheme="majorEastAsia" w:hAnsiTheme="majorHAnsi"/>
      <w:b/>
      <w:i/>
      <w:sz w:val="24"/>
      <w:szCs w:val="24"/>
    </w:rPr>
  </w:style>
  <w:style w:type="character" w:styleId="FollowedHyperlink">
    <w:name w:val="FollowedHyperlink"/>
    <w:basedOn w:val="DefaultParagraphFont"/>
    <w:unhideWhenUsed/>
    <w:rsid w:val="00823F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2026-10-19T08:50:00Z</dcterms:created>
  <dcterms:modified xsi:type="dcterms:W3CDTF">2026-10-19T08:50:00Z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P10_TA(2026)0211_</vt:lpwstr>
  </property>
  <property fmtid="{D5CDD505-2E9C-101B-9397-08002B2CF9AE}" pid="4" name="&lt;Type&gt;">
    <vt:lpwstr>RR</vt:lpwstr>
  </property>
</Properties>
</file>