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6999DC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1BE4" w:rsidP="0010095E" w14:paraId="47FF7F8D" w14:textId="1BD5BDEF">
            <w:pPr>
              <w:pStyle w:val="EPName"/>
            </w:pPr>
            <w:r w:rsidRPr="00481BE4">
              <w:t>Europos Parlamentas</w:t>
            </w:r>
          </w:p>
          <w:p w:rsidR="00751A4A" w:rsidRPr="00481BE4" w:rsidP="005F1B17" w14:paraId="2FCD310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1BE4">
              <w:t>2024</w:t>
            </w:r>
            <w:r w:rsidRPr="00481BE4" w:rsidR="00817416">
              <w:t>-202</w:t>
            </w:r>
            <w:r w:rsidRPr="00481BE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81BE4" w:rsidP="0010095E" w14:paraId="6DDE5CC3" w14:textId="77777777">
            <w:pPr>
              <w:pStyle w:val="EPLogo"/>
            </w:pPr>
            <w:r w:rsidRPr="00481BE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1BE4" w:rsidP="004C5D52" w14:paraId="4E46955D" w14:textId="77777777">
      <w:pPr>
        <w:pStyle w:val="LineTop"/>
      </w:pPr>
    </w:p>
    <w:p w:rsidR="00680577" w:rsidRPr="00481BE4" w:rsidP="00680577" w14:paraId="04DCE1DD" w14:textId="5DF1E35F">
      <w:pPr>
        <w:pStyle w:val="EPBodyTA1"/>
      </w:pPr>
      <w:r w:rsidRPr="00481BE4">
        <w:t>PRIIMTI TEKSTAI</w:t>
      </w:r>
    </w:p>
    <w:p w:rsidR="00D058B8" w:rsidRPr="00481BE4" w:rsidP="00D058B8" w14:paraId="28D17CEE" w14:textId="77777777">
      <w:pPr>
        <w:pStyle w:val="LineBottom"/>
      </w:pPr>
    </w:p>
    <w:p w:rsidR="00A4254F" w:rsidRPr="00481BE4" w:rsidP="00A4254F" w14:paraId="3D9E370A" w14:textId="7C26ED63">
      <w:pPr>
        <w:pStyle w:val="ATHeading1"/>
      </w:pPr>
      <w:bookmarkStart w:id="0" w:name="TANumber"/>
      <w:r w:rsidRPr="00481BE4">
        <w:t>P10_TA(2026)0</w:t>
      </w:r>
      <w:r w:rsidR="003724A2">
        <w:t>211</w:t>
      </w:r>
      <w:bookmarkEnd w:id="0"/>
    </w:p>
    <w:p w:rsidR="00A4254F" w:rsidRPr="00481BE4" w:rsidP="00A4254F" w14:paraId="15DD4669" w14:textId="77777777">
      <w:pPr>
        <w:pStyle w:val="ATHeading2"/>
      </w:pPr>
      <w:bookmarkStart w:id="1" w:name="title"/>
      <w:r w:rsidRPr="00481BE4">
        <w:t>Akcizų, taikomų tabakui ir su tabako gaminiais susijusiems gaminiams, struktūra ir tarifai (nauja redakcija)</w:t>
      </w:r>
      <w:bookmarkEnd w:id="1"/>
    </w:p>
    <w:p w:rsidR="00A4254F" w:rsidRPr="00481BE4" w:rsidP="00A4254F" w14:paraId="686E39AA" w14:textId="77777777">
      <w:pPr>
        <w:rPr>
          <w:i/>
          <w:vanish/>
        </w:rPr>
      </w:pPr>
      <w:r>
        <w:rPr>
          <w:i/>
        </w:rPr>
        <w:fldChar w:fldCharType="begin"/>
      </w:r>
      <w:r w:rsidRPr="00481BE4">
        <w:rPr>
          <w:i/>
        </w:rPr>
        <w:instrText xml:space="preserve"> TC"(</w:instrText>
      </w:r>
      <w:bookmarkStart w:id="2" w:name="DocNumber"/>
      <w:r w:rsidRPr="00481BE4">
        <w:rPr>
          <w:i/>
        </w:rPr>
        <w:instrText>A10-0161/2026</w:instrText>
      </w:r>
      <w:bookmarkEnd w:id="2"/>
      <w:r w:rsidRPr="00481BE4">
        <w:rPr>
          <w:i/>
        </w:rPr>
        <w:instrText xml:space="preserve"> - Pranešėjas: Tomáš Kubín)"\l3 \n&gt; \* MERGEFORMAT </w:instrText>
      </w:r>
      <w:r>
        <w:rPr>
          <w:i/>
        </w:rPr>
        <w:fldChar w:fldCharType="end"/>
      </w:r>
    </w:p>
    <w:p w:rsidR="00A4254F" w:rsidRPr="00481BE4" w:rsidP="00A4254F" w14:paraId="139016E7" w14:textId="77777777">
      <w:pPr>
        <w:rPr>
          <w:vanish/>
        </w:rPr>
      </w:pPr>
      <w:bookmarkStart w:id="3" w:name="Commission"/>
      <w:r w:rsidRPr="00481BE4">
        <w:rPr>
          <w:vanish/>
        </w:rPr>
        <w:t>Ekonomikos ir pinigų politikos komitetas</w:t>
      </w:r>
      <w:bookmarkEnd w:id="3"/>
    </w:p>
    <w:p w:rsidR="00A4254F" w:rsidRPr="00481BE4" w:rsidP="00A4254F" w14:paraId="4365B798" w14:textId="77777777">
      <w:pPr>
        <w:rPr>
          <w:vanish/>
        </w:rPr>
      </w:pPr>
      <w:bookmarkStart w:id="4" w:name="PE"/>
      <w:r w:rsidRPr="00481BE4">
        <w:rPr>
          <w:vanish/>
        </w:rPr>
        <w:t>PE784.398</w:t>
      </w:r>
      <w:bookmarkEnd w:id="4"/>
    </w:p>
    <w:p w:rsidR="00A4254F" w:rsidRPr="00481BE4" w:rsidP="00A4254F" w14:paraId="74DD26D9" w14:textId="047D295F">
      <w:pPr>
        <w:pStyle w:val="ATHeading3"/>
      </w:pPr>
      <w:bookmarkStart w:id="5" w:name="Sujet"/>
      <w:r w:rsidRPr="00481BE4">
        <w:t xml:space="preserve">2026 m. </w:t>
      </w:r>
      <w:r w:rsidR="00087012">
        <w:t>birželio</w:t>
      </w:r>
      <w:r w:rsidRPr="00481BE4" w:rsidR="00087012">
        <w:t xml:space="preserve"> </w:t>
      </w:r>
      <w:r w:rsidR="00087012">
        <w:t>17</w:t>
      </w:r>
      <w:r w:rsidRPr="00481BE4" w:rsidR="00087012">
        <w:t xml:space="preserve"> </w:t>
      </w:r>
      <w:r w:rsidRPr="00481BE4">
        <w:t>d. Europos Parlamento teisėkūros rezoliucija dėl pasiūlymo dėl Tarybos direktyvos dėl akcizų, taikomų tabakui ir su tabako gaminiais susijusiems gaminiams, struktūros ir tarifų (nauja redakcija)</w:t>
      </w:r>
      <w:bookmarkEnd w:id="5"/>
      <w:r w:rsidRPr="00481BE4">
        <w:t xml:space="preserve"> </w:t>
      </w:r>
      <w:bookmarkStart w:id="6" w:name="References"/>
      <w:r w:rsidRPr="00481BE4">
        <w:t>(COM(2025)0580 – C10-0207/2025 – 2025/0580(CNS))</w:t>
      </w:r>
      <w:bookmarkEnd w:id="6"/>
    </w:p>
    <w:p w:rsidR="00F30564" w:rsidRPr="00481BE4" w:rsidP="00F30564" w14:paraId="3807F7C7" w14:textId="77777777">
      <w:pPr>
        <w:pStyle w:val="NormalBold"/>
      </w:pPr>
      <w:r w:rsidRPr="00481BE4">
        <w:t>(Speciali teisėkūros procedūra: konsultavimasis – nauja redakcija)</w:t>
      </w:r>
    </w:p>
    <w:p w:rsidR="00F30564" w:rsidRPr="00481BE4" w:rsidP="00F30564" w14:paraId="24B963D6" w14:textId="77777777">
      <w:pPr>
        <w:pStyle w:val="EPComma"/>
      </w:pPr>
      <w:r w:rsidRPr="00481BE4">
        <w:rPr>
          <w:i/>
        </w:rPr>
        <w:t>Europos Parlamentas</w:t>
      </w:r>
      <w:r w:rsidRPr="00481BE4">
        <w:t>,</w:t>
      </w:r>
    </w:p>
    <w:p w:rsidR="00F30564" w:rsidRPr="00481BE4" w:rsidP="00F30564" w14:paraId="7737DAB6" w14:textId="77777777">
      <w:pPr>
        <w:pStyle w:val="NormalHanging12a"/>
      </w:pPr>
      <w:r w:rsidRPr="00481BE4">
        <w:t>–</w:t>
      </w:r>
      <w:r w:rsidRPr="00481BE4">
        <w:tab/>
        <w:t>atsižvelgdamas į Komisijos pasiūlymą Tarybai (COM(2025)0580),</w:t>
      </w:r>
    </w:p>
    <w:p w:rsidR="00F30564" w:rsidRPr="00481BE4" w:rsidP="00F30564" w14:paraId="34CE6D62" w14:textId="77777777">
      <w:pPr>
        <w:pStyle w:val="NormalHanging12a"/>
      </w:pPr>
      <w:r w:rsidRPr="00481BE4">
        <w:t>–</w:t>
      </w:r>
      <w:r w:rsidRPr="00481BE4">
        <w:tab/>
        <w:t>atsižvelgdamas į Sutarties dėl Europos Sąjungos veikimo 113 straipsnį, pagal kurį Taryba kreipėsi į Parlamentą dėl konsultacijos (C10</w:t>
      </w:r>
      <w:r w:rsidRPr="00481BE4">
        <w:noBreakHyphen/>
        <w:t>0207/2025),</w:t>
      </w:r>
    </w:p>
    <w:p w:rsidR="00F30564" w:rsidRPr="00481BE4" w:rsidP="00F30564" w14:paraId="6E47066A" w14:textId="77777777">
      <w:pPr>
        <w:pStyle w:val="NormalHanging12a"/>
      </w:pPr>
      <w:r w:rsidRPr="00481BE4">
        <w:t>–</w:t>
      </w:r>
      <w:r w:rsidRPr="00481BE4">
        <w:tab/>
        <w:t>atsižvelgdamas į Italijos Respublikos Deputatų Rūmų pagal Protokolą Nr. 2 dėl subsidiarumo ir proporcingumo principų taikymo pateiktą pagrįstą nuomonę, kurioje tvirtinama, kad teisėkūros procedūra priimamo akto projektas neatitinka subsidiarumo principo,</w:t>
      </w:r>
    </w:p>
    <w:p w:rsidR="00F30564" w:rsidRPr="00481BE4" w:rsidP="00F30564" w14:paraId="35CE0B17" w14:textId="77777777">
      <w:pPr>
        <w:pStyle w:val="NormalHanging12a"/>
      </w:pPr>
      <w:r w:rsidRPr="00481BE4">
        <w:t>–</w:t>
      </w:r>
      <w:r w:rsidRPr="00481BE4">
        <w:tab/>
        <w:t>atsižvelgdamas į 2001 m. lapkričio 28 d. Tarpinstitucinį susitarimą dėl sistemingesnio teisės aktų pakeitimo metodo naudojimo</w:t>
      </w:r>
      <w:r>
        <w:rPr>
          <w:rStyle w:val="FootnoteReference"/>
        </w:rPr>
        <w:footnoteReference w:id="2"/>
      </w:r>
      <w:r w:rsidRPr="00481BE4">
        <w:t>,</w:t>
      </w:r>
    </w:p>
    <w:p w:rsidR="00F30564" w:rsidRPr="00481BE4" w:rsidP="00F30564" w14:paraId="3C8C517D" w14:textId="77777777">
      <w:pPr>
        <w:pStyle w:val="NormalHanging12a"/>
      </w:pPr>
      <w:r w:rsidRPr="00481BE4">
        <w:t>–</w:t>
      </w:r>
      <w:r w:rsidRPr="00481BE4">
        <w:tab/>
        <w:t>atsižvelgdamas į 2025 m. gruodžio 11 d. Teisės reikalų komiteto laišką Ekonomikos ir pinigų politikos komitetui vadovaujantis Darbo tvarkos taisyklių 113 straipsnio 3 dalimi,</w:t>
      </w:r>
    </w:p>
    <w:p w:rsidR="00F30564" w:rsidRPr="00481BE4" w:rsidP="00F30564" w14:paraId="6E1F03F8" w14:textId="77777777">
      <w:pPr>
        <w:pStyle w:val="NormalHanging12a"/>
      </w:pPr>
      <w:r w:rsidRPr="00481BE4">
        <w:t>–</w:t>
      </w:r>
      <w:r w:rsidRPr="00481BE4">
        <w:tab/>
        <w:t>atsižvelgdamas į Darbo tvarkos taisyklių 113 ir 84 straipsnius,</w:t>
      </w:r>
    </w:p>
    <w:p w:rsidR="00F30564" w:rsidRPr="00481BE4" w:rsidP="00F30564" w14:paraId="36E83FF3" w14:textId="77777777">
      <w:pPr>
        <w:pStyle w:val="NormalHanging12a"/>
      </w:pPr>
      <w:r w:rsidRPr="00481BE4">
        <w:t>–</w:t>
      </w:r>
      <w:r w:rsidRPr="00481BE4">
        <w:tab/>
        <w:t>atsižvelgdamas į Ekonomikos ir pinigų politikos komiteto pranešimą (A10-0161/2026),</w:t>
      </w:r>
    </w:p>
    <w:p w:rsidR="00F30564" w:rsidRPr="00481BE4" w:rsidP="00F30564" w14:paraId="5D285B62" w14:textId="28F89894">
      <w:pPr>
        <w:pStyle w:val="NormalHanging12a"/>
      </w:pPr>
      <w:r w:rsidRPr="00481BE4">
        <w:t>1.</w:t>
      </w:r>
      <w:r w:rsidRPr="00481BE4">
        <w:tab/>
      </w:r>
      <w:r w:rsidR="005B4563">
        <w:t>atmeta</w:t>
      </w:r>
      <w:r w:rsidRPr="00481BE4" w:rsidR="005B4563">
        <w:t xml:space="preserve"> </w:t>
      </w:r>
      <w:r w:rsidRPr="00481BE4">
        <w:t>Komisijos pasiūlym</w:t>
      </w:r>
      <w:r w:rsidR="005B4563">
        <w:t>ą</w:t>
      </w:r>
      <w:r w:rsidRPr="00481BE4">
        <w:t>;</w:t>
      </w:r>
    </w:p>
    <w:p w:rsidR="00F30564" w:rsidRPr="00481BE4" w:rsidP="00F30564" w14:paraId="7046A853" w14:textId="64022514">
      <w:pPr>
        <w:pStyle w:val="NormalHanging12a"/>
      </w:pPr>
      <w:r w:rsidRPr="00481BE4">
        <w:t>2.</w:t>
      </w:r>
      <w:r w:rsidRPr="00481BE4">
        <w:tab/>
        <w:t xml:space="preserve">ragina Komisiją </w:t>
      </w:r>
      <w:r w:rsidR="005B4563">
        <w:t>atsiimti</w:t>
      </w:r>
      <w:r w:rsidRPr="00481BE4">
        <w:t xml:space="preserve"> savo pasiūlymą;</w:t>
      </w:r>
    </w:p>
    <w:p w:rsidR="00E365E1" w:rsidRPr="00481BE4" w:rsidP="00ED5B82" w14:paraId="0B1E4FA6" w14:textId="638E6EC3">
      <w:pPr>
        <w:pStyle w:val="NormalHanging12a"/>
      </w:pPr>
      <w:r w:rsidRPr="00481BE4">
        <w:t>3.</w:t>
      </w:r>
      <w:r w:rsidRPr="00481BE4">
        <w:tab/>
        <w:t xml:space="preserve">paveda Pirmininkei perduoti Parlamento poziciją Tarybai, Komisijai ir nacionaliniams </w:t>
      </w:r>
      <w:r w:rsidRPr="00481BE4">
        <w:t>parlamentams.</w:t>
      </w:r>
      <w:bookmarkStart w:id="7" w:name="textend"/>
      <w:bookmarkEnd w:id="7"/>
    </w:p>
    <w:sectPr w:rsidSect="00481B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81BE4" w14:paraId="487FBF0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81BE4" w14:paraId="127542C5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81BE4" w14:paraId="7901043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4254F" w:rsidRPr="00481BE4" w14:paraId="5419E2B6" w14:textId="77777777">
      <w:r w:rsidRPr="00481BE4">
        <w:separator/>
      </w:r>
    </w:p>
  </w:footnote>
  <w:footnote w:type="continuationSeparator" w:id="1">
    <w:p w:rsidR="00A4254F" w:rsidRPr="00481BE4" w14:paraId="2EB9671E" w14:textId="77777777">
      <w:r w:rsidRPr="00481BE4">
        <w:continuationSeparator/>
      </w:r>
    </w:p>
  </w:footnote>
  <w:footnote w:id="2">
    <w:p w:rsidR="00F30564" w:rsidRPr="00481BE4" w:rsidP="00481BE4" w14:paraId="4FE6BFAA" w14:textId="1A9F553D">
      <w:pPr>
        <w:pStyle w:val="FootnoteText"/>
        <w:ind w:left="567" w:hanging="567"/>
        <w:rPr>
          <w:sz w:val="24"/>
          <w:lang w:val="lt-LT"/>
        </w:rPr>
      </w:pPr>
      <w:r w:rsidRPr="00481BE4">
        <w:rPr>
          <w:rStyle w:val="FootnoteReference"/>
          <w:sz w:val="24"/>
          <w:lang w:val="lt-LT"/>
        </w:rPr>
        <w:footnoteRef/>
      </w:r>
      <w:r w:rsidRPr="00481BE4" w:rsidR="00481BE4">
        <w:rPr>
          <w:sz w:val="24"/>
          <w:lang w:val="lt-LT"/>
        </w:rPr>
        <w:t xml:space="preserve"> </w:t>
      </w:r>
      <w:r w:rsidRPr="00481BE4" w:rsidR="00481BE4">
        <w:rPr>
          <w:sz w:val="24"/>
          <w:lang w:val="lt-LT"/>
        </w:rPr>
        <w:tab/>
      </w:r>
      <w:r w:rsidRPr="00481BE4">
        <w:rPr>
          <w:sz w:val="24"/>
          <w:lang w:val="lt-LT"/>
        </w:rPr>
        <w:t>OL C 77, 2002 3 28, p.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81BE4" w14:paraId="6847749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037EE" w:rsidP="005037EE" w14:paraId="0E8AE73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481BE4" w14:paraId="0BBA1DC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67407457">
    <w:abstractNumId w:val="9"/>
  </w:num>
  <w:num w:numId="2" w16cid:durableId="1560508809">
    <w:abstractNumId w:val="9"/>
  </w:num>
  <w:num w:numId="3" w16cid:durableId="1689597063">
    <w:abstractNumId w:val="7"/>
  </w:num>
  <w:num w:numId="4" w16cid:durableId="1759907055">
    <w:abstractNumId w:val="7"/>
  </w:num>
  <w:num w:numId="5" w16cid:durableId="1669408448">
    <w:abstractNumId w:val="6"/>
  </w:num>
  <w:num w:numId="6" w16cid:durableId="228418199">
    <w:abstractNumId w:val="6"/>
  </w:num>
  <w:num w:numId="7" w16cid:durableId="734935773">
    <w:abstractNumId w:val="5"/>
  </w:num>
  <w:num w:numId="8" w16cid:durableId="792407431">
    <w:abstractNumId w:val="5"/>
  </w:num>
  <w:num w:numId="9" w16cid:durableId="1212576178">
    <w:abstractNumId w:val="4"/>
  </w:num>
  <w:num w:numId="10" w16cid:durableId="1551334591">
    <w:abstractNumId w:val="4"/>
  </w:num>
  <w:num w:numId="11" w16cid:durableId="349142298">
    <w:abstractNumId w:val="8"/>
  </w:num>
  <w:num w:numId="12" w16cid:durableId="1421365682">
    <w:abstractNumId w:val="8"/>
  </w:num>
  <w:num w:numId="13" w16cid:durableId="1955553417">
    <w:abstractNumId w:val="3"/>
  </w:num>
  <w:num w:numId="14" w16cid:durableId="339353836">
    <w:abstractNumId w:val="3"/>
  </w:num>
  <w:num w:numId="15" w16cid:durableId="1045179478">
    <w:abstractNumId w:val="2"/>
  </w:num>
  <w:num w:numId="16" w16cid:durableId="60299478">
    <w:abstractNumId w:val="2"/>
  </w:num>
  <w:num w:numId="17" w16cid:durableId="1796951114">
    <w:abstractNumId w:val="1"/>
  </w:num>
  <w:num w:numId="18" w16cid:durableId="581989870">
    <w:abstractNumId w:val="1"/>
  </w:num>
  <w:num w:numId="19" w16cid:durableId="2128548904">
    <w:abstractNumId w:val="0"/>
  </w:num>
  <w:num w:numId="20" w16cid:durableId="834999645">
    <w:abstractNumId w:val="0"/>
  </w:num>
  <w:num w:numId="21" w16cid:durableId="623733388">
    <w:abstractNumId w:val="9"/>
  </w:num>
  <w:num w:numId="22" w16cid:durableId="844318611">
    <w:abstractNumId w:val="7"/>
  </w:num>
  <w:num w:numId="23" w16cid:durableId="1217397620">
    <w:abstractNumId w:val="6"/>
  </w:num>
  <w:num w:numId="24" w16cid:durableId="141124557">
    <w:abstractNumId w:val="5"/>
  </w:num>
  <w:num w:numId="25" w16cid:durableId="38208883">
    <w:abstractNumId w:val="4"/>
  </w:num>
  <w:num w:numId="26" w16cid:durableId="1139347313">
    <w:abstractNumId w:val="8"/>
  </w:num>
  <w:num w:numId="27" w16cid:durableId="639532365">
    <w:abstractNumId w:val="3"/>
  </w:num>
  <w:num w:numId="28" w16cid:durableId="1838106166">
    <w:abstractNumId w:val="2"/>
  </w:num>
  <w:num w:numId="29" w16cid:durableId="1639067411">
    <w:abstractNumId w:val="1"/>
  </w:num>
  <w:num w:numId="30" w16cid:durableId="219754071">
    <w:abstractNumId w:val="0"/>
  </w:num>
  <w:num w:numId="31" w16cid:durableId="363360733">
    <w:abstractNumId w:val="9"/>
  </w:num>
  <w:num w:numId="32" w16cid:durableId="1085611210">
    <w:abstractNumId w:val="7"/>
  </w:num>
  <w:num w:numId="33" w16cid:durableId="2136025669">
    <w:abstractNumId w:val="6"/>
  </w:num>
  <w:num w:numId="34" w16cid:durableId="1061906390">
    <w:abstractNumId w:val="5"/>
  </w:num>
  <w:num w:numId="35" w16cid:durableId="1725566038">
    <w:abstractNumId w:val="4"/>
  </w:num>
  <w:num w:numId="36" w16cid:durableId="888415166">
    <w:abstractNumId w:val="8"/>
  </w:num>
  <w:num w:numId="37" w16cid:durableId="1012151645">
    <w:abstractNumId w:val="3"/>
  </w:num>
  <w:num w:numId="38" w16cid:durableId="525752808">
    <w:abstractNumId w:val="2"/>
  </w:num>
  <w:num w:numId="39" w16cid:durableId="1765029015">
    <w:abstractNumId w:val="1"/>
  </w:num>
  <w:num w:numId="40" w16cid:durableId="1388996889">
    <w:abstractNumId w:val="0"/>
  </w:num>
  <w:num w:numId="41" w16cid:durableId="2144808923">
    <w:abstractNumId w:val="10"/>
  </w:num>
  <w:num w:numId="42" w16cid:durableId="2040814293">
    <w:abstractNumId w:val="10"/>
  </w:num>
  <w:num w:numId="43" w16cid:durableId="854536742">
    <w:abstractNumId w:val="10"/>
  </w:num>
  <w:num w:numId="44" w16cid:durableId="21018305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54F"/>
    <w:rsid w:val="00002272"/>
    <w:rsid w:val="00064002"/>
    <w:rsid w:val="000677B9"/>
    <w:rsid w:val="000831BA"/>
    <w:rsid w:val="00087012"/>
    <w:rsid w:val="000A42CC"/>
    <w:rsid w:val="000E7DD9"/>
    <w:rsid w:val="0010095E"/>
    <w:rsid w:val="00125B37"/>
    <w:rsid w:val="00187494"/>
    <w:rsid w:val="00194495"/>
    <w:rsid w:val="001F32AE"/>
    <w:rsid w:val="002767FF"/>
    <w:rsid w:val="002B18FE"/>
    <w:rsid w:val="002B5493"/>
    <w:rsid w:val="0031042D"/>
    <w:rsid w:val="00343214"/>
    <w:rsid w:val="00361C00"/>
    <w:rsid w:val="003724A2"/>
    <w:rsid w:val="00395FA1"/>
    <w:rsid w:val="003E15D4"/>
    <w:rsid w:val="00411CCE"/>
    <w:rsid w:val="0041666E"/>
    <w:rsid w:val="00420130"/>
    <w:rsid w:val="00421060"/>
    <w:rsid w:val="00471C19"/>
    <w:rsid w:val="00481BE4"/>
    <w:rsid w:val="004867E3"/>
    <w:rsid w:val="00494A28"/>
    <w:rsid w:val="004C0004"/>
    <w:rsid w:val="004C5D52"/>
    <w:rsid w:val="005037EE"/>
    <w:rsid w:val="0050519A"/>
    <w:rsid w:val="005072A1"/>
    <w:rsid w:val="00514517"/>
    <w:rsid w:val="00537DF3"/>
    <w:rsid w:val="00545827"/>
    <w:rsid w:val="00560270"/>
    <w:rsid w:val="005B456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254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DAA"/>
    <w:rsid w:val="00E20643"/>
    <w:rsid w:val="00E365E1"/>
    <w:rsid w:val="00E820A4"/>
    <w:rsid w:val="00EB006A"/>
    <w:rsid w:val="00EB4772"/>
    <w:rsid w:val="00ED169E"/>
    <w:rsid w:val="00ED4235"/>
    <w:rsid w:val="00ED5B82"/>
    <w:rsid w:val="00F04346"/>
    <w:rsid w:val="00F075DC"/>
    <w:rsid w:val="00F149E9"/>
    <w:rsid w:val="00F30564"/>
    <w:rsid w:val="00F5134D"/>
    <w:rsid w:val="00F60B29"/>
    <w:rsid w:val="00F74202"/>
    <w:rsid w:val="00F87713"/>
    <w:rsid w:val="00FB4360"/>
    <w:rsid w:val="00FD0C70"/>
  </w:rsids>
  <w:docVars>
    <w:docVar w:name="dvdocse" w:val="A10-0161/2026"/>
    <w:docVar w:name="dvlangue" w:val="LT"/>
    <w:docVar w:name="dvnumam" w:val="87"/>
    <w:docVar w:name="dvpe" w:val="784.398"/>
    <w:docVar w:name="dvrapporteur" w:val="Pranešėjas: "/>
    <w:docVar w:name="dvstar" w:val="*"/>
    <w:docVar w:name="dvtitre" w:val="2026 m. ... ... d. Europos Parlamento teisėkūros rezoliucija dėl pasiūlymo dėl Tarybos direktyvos dėl akcizų, taikomų tabakui ir su tabako gaminiais susijusiems gaminiams, struktūros ir tarifų (nauja redakcija)(COM(2025)0580 – C10-0207/2025 – 2025/0580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A7B563D"/>
  <w15:chartTrackingRefBased/>
  <w15:docId w15:val="{00BAE8EC-E77C-4E8C-A6A8-D78E8C0D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3056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3056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3056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3056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3056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30564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F30564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F30564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F30564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nhideWhenUsed/>
    <w:qFormat/>
    <w:rsid w:val="00F30564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F3056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F3056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F30564"/>
    <w:pPr>
      <w:spacing w:after="240"/>
    </w:pPr>
  </w:style>
  <w:style w:type="paragraph" w:customStyle="1" w:styleId="TOCPage">
    <w:name w:val="TOC Page"/>
    <w:basedOn w:val="Normal"/>
    <w:next w:val="TOC1"/>
    <w:rsid w:val="00F30564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F30564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F30564"/>
    <w:pPr>
      <w:spacing w:after="240"/>
      <w:ind w:left="567" w:hanging="567"/>
    </w:pPr>
  </w:style>
  <w:style w:type="paragraph" w:customStyle="1" w:styleId="Normal6a">
    <w:name w:val="Normal6a"/>
    <w:basedOn w:val="Normal"/>
    <w:rsid w:val="00F30564"/>
    <w:pPr>
      <w:spacing w:after="120"/>
    </w:pPr>
  </w:style>
  <w:style w:type="paragraph" w:customStyle="1" w:styleId="CoverNormal24a">
    <w:name w:val="CoverNormal24a"/>
    <w:basedOn w:val="Normal"/>
    <w:rsid w:val="00F30564"/>
    <w:pPr>
      <w:spacing w:after="480"/>
      <w:ind w:left="1417"/>
    </w:pPr>
  </w:style>
  <w:style w:type="paragraph" w:customStyle="1" w:styleId="CoverNormal">
    <w:name w:val="CoverNormal"/>
    <w:basedOn w:val="Normal"/>
    <w:rsid w:val="00F30564"/>
    <w:pPr>
      <w:ind w:left="1418"/>
    </w:pPr>
  </w:style>
  <w:style w:type="paragraph" w:customStyle="1" w:styleId="CoverReference">
    <w:name w:val="CoverReference"/>
    <w:basedOn w:val="Normal"/>
    <w:rsid w:val="00F30564"/>
    <w:pPr>
      <w:spacing w:before="1080"/>
      <w:jc w:val="right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3056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30564"/>
    <w:rPr>
      <w:b/>
      <w:sz w:val="24"/>
      <w:lang w:val="lt-LT"/>
    </w:rPr>
  </w:style>
  <w:style w:type="paragraph" w:customStyle="1" w:styleId="CoverDocType">
    <w:name w:val="CoverDocType"/>
    <w:basedOn w:val="Normal"/>
    <w:rsid w:val="00F3056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3056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30564"/>
    <w:pPr>
      <w:spacing w:before="240" w:after="1200"/>
    </w:pPr>
  </w:style>
  <w:style w:type="paragraph" w:styleId="Header">
    <w:name w:val="header"/>
    <w:basedOn w:val="Normal"/>
    <w:link w:val="HeaderChar"/>
    <w:rsid w:val="00F305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30564"/>
    <w:rPr>
      <w:sz w:val="24"/>
      <w:lang w:val="lt-LT"/>
    </w:rPr>
  </w:style>
  <w:style w:type="paragraph" w:customStyle="1" w:styleId="AnnexWPLogo">
    <w:name w:val="AnnexWPLogo"/>
    <w:basedOn w:val="Normal"/>
    <w:rsid w:val="00F30564"/>
    <w:pPr>
      <w:spacing w:before="120" w:after="120"/>
    </w:pPr>
  </w:style>
  <w:style w:type="paragraph" w:customStyle="1" w:styleId="AnnexWPTabs">
    <w:name w:val="AnnexWPTabs"/>
    <w:basedOn w:val="Normal"/>
    <w:rsid w:val="00F30564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F30564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F30564"/>
    <w:rPr>
      <w:smallCaps/>
      <w:sz w:val="20"/>
    </w:rPr>
  </w:style>
  <w:style w:type="paragraph" w:customStyle="1" w:styleId="AnnexWPDocType">
    <w:name w:val="AnnexWPDocType"/>
    <w:basedOn w:val="Normal"/>
    <w:rsid w:val="00F30564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F30564"/>
    <w:pPr>
      <w:spacing w:before="480"/>
    </w:pPr>
    <w:rPr>
      <w:b/>
    </w:rPr>
  </w:style>
  <w:style w:type="paragraph" w:customStyle="1" w:styleId="AmJustText">
    <w:name w:val="AmJustText"/>
    <w:basedOn w:val="Normal"/>
    <w:rsid w:val="00F30564"/>
    <w:pPr>
      <w:spacing w:after="240"/>
    </w:pPr>
    <w:rPr>
      <w:i/>
    </w:rPr>
  </w:style>
  <w:style w:type="paragraph" w:customStyle="1" w:styleId="AmCrossRef">
    <w:name w:val="AmCrossRef"/>
    <w:basedOn w:val="Normal"/>
    <w:rsid w:val="00F3056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30564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F3056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3056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3056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30564"/>
    <w:pPr>
      <w:spacing w:before="240"/>
    </w:pPr>
    <w:rPr>
      <w:b/>
    </w:rPr>
  </w:style>
  <w:style w:type="paragraph" w:customStyle="1" w:styleId="EPBody">
    <w:name w:val="EPBody"/>
    <w:basedOn w:val="Normal"/>
    <w:rsid w:val="00F3056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3056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30564"/>
    <w:pPr>
      <w:spacing w:before="480" w:after="240"/>
    </w:pPr>
  </w:style>
  <w:style w:type="paragraph" w:customStyle="1" w:styleId="Lgendesigne">
    <w:name w:val="Légende signe"/>
    <w:basedOn w:val="Normal"/>
    <w:rsid w:val="00F3056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3056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30564"/>
    <w:rPr>
      <w:sz w:val="18"/>
    </w:rPr>
  </w:style>
  <w:style w:type="paragraph" w:customStyle="1" w:styleId="LetterDate">
    <w:name w:val="LetterDate"/>
    <w:basedOn w:val="Normal"/>
    <w:rsid w:val="00F30564"/>
    <w:pPr>
      <w:spacing w:before="720" w:after="240"/>
    </w:pPr>
  </w:style>
  <w:style w:type="paragraph" w:customStyle="1" w:styleId="LetterSalutation">
    <w:name w:val="LetterSalutation"/>
    <w:basedOn w:val="Normal"/>
    <w:rsid w:val="00F30564"/>
    <w:pPr>
      <w:spacing w:before="600" w:after="360"/>
    </w:pPr>
  </w:style>
  <w:style w:type="paragraph" w:customStyle="1" w:styleId="LetterSubject">
    <w:name w:val="LetterSubject"/>
    <w:basedOn w:val="Normal"/>
    <w:rsid w:val="00F30564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F30564"/>
    <w:pPr>
      <w:spacing w:before="1320"/>
    </w:pPr>
  </w:style>
  <w:style w:type="paragraph" w:customStyle="1" w:styleId="msonormal">
    <w:name w:val="msonormal"/>
    <w:basedOn w:val="Normal"/>
    <w:rsid w:val="00F30564"/>
    <w:pPr>
      <w:widowControl/>
      <w:spacing w:before="100" w:beforeAutospacing="1" w:after="100" w:afterAutospacing="1"/>
    </w:pPr>
    <w:rPr>
      <w:szCs w:val="24"/>
    </w:rPr>
  </w:style>
  <w:style w:type="character" w:customStyle="1" w:styleId="FooterChar">
    <w:name w:val="Footer Char"/>
    <w:basedOn w:val="DefaultParagraphFont"/>
    <w:link w:val="Footer"/>
    <w:rsid w:val="00F30564"/>
    <w:rPr>
      <w:sz w:val="22"/>
    </w:rPr>
  </w:style>
  <w:style w:type="paragraph" w:styleId="Footer">
    <w:name w:val="footer"/>
    <w:link w:val="FooterChar"/>
    <w:unhideWhenUsed/>
    <w:rsid w:val="00F30564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uiPriority w:val="99"/>
    <w:rsid w:val="00F30564"/>
    <w:rPr>
      <w:sz w:val="24"/>
      <w:lang w:val="lt-LT"/>
    </w:rPr>
  </w:style>
  <w:style w:type="paragraph" w:styleId="BalloonText">
    <w:name w:val="Balloon Text"/>
    <w:basedOn w:val="Normal"/>
    <w:link w:val="BalloonTextChar"/>
    <w:unhideWhenUsed/>
    <w:rsid w:val="00F3056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30564"/>
    <w:rPr>
      <w:rFonts w:ascii="Segoe UI" w:hAnsi="Segoe UI" w:cs="Segoe UI"/>
      <w:sz w:val="18"/>
      <w:szCs w:val="18"/>
      <w:lang w:val="lt-LT"/>
    </w:rPr>
  </w:style>
  <w:style w:type="paragraph" w:customStyle="1" w:styleId="AMNumberTabs0">
    <w:name w:val="AMNumberTabs"/>
    <w:basedOn w:val="Normal"/>
    <w:rsid w:val="00F3056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Left">
    <w:name w:val="Normal Left"/>
    <w:basedOn w:val="Normal"/>
    <w:rsid w:val="00F30564"/>
    <w:pPr>
      <w:widowControl/>
      <w:spacing w:before="120" w:after="120"/>
    </w:pPr>
    <w:rPr>
      <w:rFonts w:eastAsia="Calibri"/>
      <w:szCs w:val="22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F30564"/>
    <w:rPr>
      <w:noProof/>
      <w:sz w:val="24"/>
    </w:rPr>
  </w:style>
  <w:style w:type="paragraph" w:customStyle="1" w:styleId="Normal12">
    <w:name w:val="Normal12"/>
    <w:basedOn w:val="Normal"/>
    <w:link w:val="Normal12Char"/>
    <w:rsid w:val="00F3056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3056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3056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3056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3056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3056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30564"/>
    <w:rPr>
      <w:sz w:val="24"/>
    </w:rPr>
  </w:style>
  <w:style w:type="paragraph" w:customStyle="1" w:styleId="Normal6">
    <w:name w:val="Normal6"/>
    <w:basedOn w:val="Normal"/>
    <w:link w:val="Normal6Char"/>
    <w:rsid w:val="00F30564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F30564"/>
    <w:rPr>
      <w:i/>
    </w:rPr>
  </w:style>
  <w:style w:type="paragraph" w:customStyle="1" w:styleId="JustificationTitle">
    <w:name w:val="JustificationTitle"/>
    <w:basedOn w:val="Normal"/>
    <w:next w:val="Normal12"/>
    <w:rsid w:val="00F3056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3056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30564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F30564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F3056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Normal24a">
    <w:name w:val="Normal24a"/>
    <w:basedOn w:val="Normal"/>
    <w:rsid w:val="00F30564"/>
    <w:pPr>
      <w:spacing w:after="480"/>
    </w:pPr>
  </w:style>
  <w:style w:type="paragraph" w:customStyle="1" w:styleId="NormalBoldCenter">
    <w:name w:val="NormalBoldCenter"/>
    <w:basedOn w:val="Normal"/>
    <w:rsid w:val="00F30564"/>
    <w:pPr>
      <w:jc w:val="center"/>
    </w:pPr>
    <w:rPr>
      <w:b/>
    </w:rPr>
  </w:style>
  <w:style w:type="paragraph" w:customStyle="1" w:styleId="Footprint12b">
    <w:name w:val="Footprint12b"/>
    <w:basedOn w:val="Normal"/>
    <w:rsid w:val="00F3056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30564"/>
    <w:rPr>
      <w:szCs w:val="24"/>
    </w:rPr>
  </w:style>
  <w:style w:type="paragraph" w:customStyle="1" w:styleId="EntPE">
    <w:name w:val="EntPE"/>
    <w:basedOn w:val="Normal12"/>
    <w:rsid w:val="00F30564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F30564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30564"/>
    <w:rPr>
      <w:sz w:val="24"/>
      <w:lang w:val="lt-LT"/>
    </w:rPr>
  </w:style>
  <w:style w:type="character" w:styleId="CommentReference">
    <w:name w:val="annotation reference"/>
    <w:basedOn w:val="DefaultParagraphFont"/>
    <w:rsid w:val="00F3056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056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30564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305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30564"/>
    <w:rPr>
      <w:b/>
      <w:bCs/>
      <w:lang w:val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F30564"/>
    <w:rPr>
      <w:color w:val="605E5C"/>
      <w:shd w:val="clear" w:color="auto" w:fill="E1DFDD"/>
    </w:rPr>
  </w:style>
  <w:style w:type="paragraph" w:customStyle="1" w:styleId="RollCallVotes">
    <w:name w:val="RollCallVotes"/>
    <w:basedOn w:val="Normal"/>
    <w:rsid w:val="00F3056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3056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3056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30564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F305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2026-06-17T13:13:00Z</dcterms:created>
  <dcterms:modified xsi:type="dcterms:W3CDTF">2026-06-17T13:13:00Z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A10-0161/2026</vt:lpwstr>
  </property>
  <property fmtid="{D5CDD505-2E9C-101B-9397-08002B2CF9AE}" pid="4" name="&lt;Type&gt;">
    <vt:lpwstr>RR</vt:lpwstr>
  </property>
</Properties>
</file>