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2B60D5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00CC" w:rsidP="0010095E" w14:paraId="0F0E0AC9" w14:textId="77777777">
            <w:pPr>
              <w:pStyle w:val="EPName"/>
            </w:pPr>
            <w:r w:rsidRPr="004400CC">
              <w:t>Eiropas Parlaments</w:t>
            </w:r>
          </w:p>
          <w:p w:rsidR="00751A4A" w:rsidRPr="004400CC" w:rsidP="005F1B17" w14:paraId="28C0867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00CC">
              <w:t>2024</w:t>
            </w:r>
            <w:r w:rsidRPr="004400CC" w:rsidR="00817416">
              <w:t>-202</w:t>
            </w:r>
            <w:r w:rsidRPr="004400C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400CC" w:rsidP="0010095E" w14:paraId="7CF3DEC4" w14:textId="77777777">
            <w:pPr>
              <w:pStyle w:val="EPLogo"/>
            </w:pPr>
            <w:r w:rsidRPr="004400C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00CC" w:rsidP="004C5D52" w14:paraId="0D2AEAD3" w14:textId="77777777">
      <w:pPr>
        <w:pStyle w:val="LineTop"/>
      </w:pPr>
    </w:p>
    <w:p w:rsidR="00680577" w:rsidRPr="004400CC" w:rsidP="00680577" w14:paraId="427F4BD0" w14:textId="77777777">
      <w:pPr>
        <w:pStyle w:val="EPBodyTA1"/>
      </w:pPr>
      <w:r w:rsidRPr="004400CC">
        <w:t>PIEŅEMTIE TEKSTI</w:t>
      </w:r>
    </w:p>
    <w:p w:rsidR="00D058B8" w:rsidRPr="004400CC" w:rsidP="00D058B8" w14:paraId="288C3604" w14:textId="77777777">
      <w:pPr>
        <w:pStyle w:val="LineBottom"/>
      </w:pPr>
    </w:p>
    <w:p w:rsidR="007C1C80" w:rsidRPr="004400CC" w:rsidP="007C1C80" w14:paraId="26010DEC" w14:textId="2BAE6452">
      <w:pPr>
        <w:pStyle w:val="ATHeading1"/>
      </w:pPr>
      <w:bookmarkStart w:id="0" w:name="TANumber"/>
      <w:r w:rsidRPr="004400CC">
        <w:t>P10_TA(2026)0</w:t>
      </w:r>
      <w:bookmarkEnd w:id="0"/>
      <w:r w:rsidR="00D513A4">
        <w:t>211</w:t>
      </w:r>
    </w:p>
    <w:p w:rsidR="007C1C80" w:rsidRPr="004400CC" w:rsidP="007C1C80" w14:paraId="7203E2AE" w14:textId="4FAE9B81">
      <w:pPr>
        <w:pStyle w:val="ATHeading2"/>
      </w:pPr>
      <w:bookmarkStart w:id="1" w:name="title"/>
      <w:r w:rsidRPr="004400CC">
        <w:t>Tabakai un ar tabaku saistītiem izstrādājumiem piemērotā akcīzes nodokļa struktūra un likmes (pārstrādāta</w:t>
      </w:r>
      <w:r w:rsidR="006F3AB5">
        <w:t xml:space="preserve"> </w:t>
      </w:r>
      <w:r w:rsidRPr="004400CC">
        <w:t>redakcija)</w:t>
      </w:r>
      <w:bookmarkEnd w:id="1"/>
    </w:p>
    <w:p w:rsidR="007C1C80" w:rsidRPr="004400CC" w:rsidP="007C1C80" w14:paraId="1A1C10F1" w14:textId="77777777">
      <w:pPr>
        <w:rPr>
          <w:i/>
          <w:vanish/>
        </w:rPr>
      </w:pPr>
      <w:r>
        <w:rPr>
          <w:i/>
        </w:rPr>
        <w:fldChar w:fldCharType="begin"/>
      </w:r>
      <w:r w:rsidRPr="004400CC">
        <w:rPr>
          <w:i/>
        </w:rPr>
        <w:instrText xml:space="preserve"> TC"(</w:instrText>
      </w:r>
      <w:bookmarkStart w:id="2" w:name="DocNumber"/>
      <w:r w:rsidRPr="004400CC">
        <w:rPr>
          <w:i/>
        </w:rPr>
        <w:instrText>A10-0161/2026</w:instrText>
      </w:r>
      <w:bookmarkEnd w:id="2"/>
      <w:r w:rsidRPr="004400CC">
        <w:rPr>
          <w:i/>
        </w:rPr>
        <w:instrText xml:space="preserve"> - Referents: </w:instrText>
      </w:r>
      <w:r w:rsidRPr="004400CC">
        <w:rPr>
          <w:i/>
        </w:rPr>
        <w:instrText>Tomáš</w:instrText>
      </w:r>
      <w:r w:rsidRPr="004400CC">
        <w:rPr>
          <w:i/>
        </w:rPr>
        <w:instrText xml:space="preserve"> </w:instrText>
      </w:r>
      <w:r w:rsidRPr="004400CC">
        <w:rPr>
          <w:i/>
        </w:rPr>
        <w:instrText>Kubín</w:instrText>
      </w:r>
      <w:r w:rsidRPr="004400C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C1C80" w:rsidRPr="004400CC" w:rsidP="007C1C80" w14:paraId="41C2BE66" w14:textId="77777777">
      <w:pPr>
        <w:rPr>
          <w:vanish/>
        </w:rPr>
      </w:pPr>
      <w:bookmarkStart w:id="3" w:name="Commission"/>
      <w:r w:rsidRPr="004400CC">
        <w:rPr>
          <w:vanish/>
        </w:rPr>
        <w:t>Ekonomikas un monetārā komiteja</w:t>
      </w:r>
      <w:bookmarkEnd w:id="3"/>
    </w:p>
    <w:p w:rsidR="007C1C80" w:rsidRPr="004400CC" w:rsidP="007C1C80" w14:paraId="670F2884" w14:textId="77777777">
      <w:pPr>
        <w:rPr>
          <w:vanish/>
        </w:rPr>
      </w:pPr>
      <w:bookmarkStart w:id="4" w:name="PE"/>
      <w:r w:rsidRPr="004400CC">
        <w:rPr>
          <w:vanish/>
        </w:rPr>
        <w:t>PE784.398</w:t>
      </w:r>
      <w:bookmarkEnd w:id="4"/>
    </w:p>
    <w:p w:rsidR="007C1C80" w:rsidRPr="004400CC" w:rsidP="007C1C80" w14:paraId="4B924B82" w14:textId="2C994886">
      <w:pPr>
        <w:pStyle w:val="ATHeading3"/>
      </w:pPr>
      <w:bookmarkStart w:id="5" w:name="Sujet"/>
      <w:r w:rsidRPr="004400CC">
        <w:t xml:space="preserve">Eiropas Parlamenta 2026. gada </w:t>
      </w:r>
      <w:r w:rsidR="00034CC9">
        <w:t>1</w:t>
      </w:r>
      <w:r w:rsidR="00145DCF">
        <w:t>7</w:t>
      </w:r>
      <w:r w:rsidRPr="004400CC">
        <w:t xml:space="preserve">. </w:t>
      </w:r>
      <w:r w:rsidR="006F3AB5">
        <w:t>jūnija</w:t>
      </w:r>
      <w:r w:rsidRPr="004400CC">
        <w:t xml:space="preserve"> normatīvā rezolūcija par priekšlikumu Padomes direktīvai par tabakai un ar tabaku saistītiem izstrādājumiem piemērotā akcīzes nodokļa struktūru un likmēm (pārstrādāta redakcija)</w:t>
      </w:r>
      <w:bookmarkEnd w:id="5"/>
      <w:r w:rsidRPr="004400CC">
        <w:t xml:space="preserve"> </w:t>
      </w:r>
      <w:bookmarkStart w:id="6" w:name="References"/>
      <w:r w:rsidRPr="004400CC">
        <w:t>(COM(2025)0580 – C10-0207/2025 – 2025/0580(CNS))</w:t>
      </w:r>
      <w:bookmarkEnd w:id="6"/>
    </w:p>
    <w:p w:rsidR="00552917" w:rsidRPr="004400CC" w:rsidP="00552917" w14:paraId="717F3D42" w14:textId="77777777">
      <w:pPr>
        <w:pStyle w:val="NormalBold"/>
      </w:pPr>
      <w:r w:rsidRPr="004400CC">
        <w:t>(Īpašā likumdošanas procedūra — apspriešanās — pārstrādāšana)</w:t>
      </w:r>
    </w:p>
    <w:p w:rsidR="00552917" w:rsidRPr="004400CC" w:rsidP="00552917" w14:paraId="395E0709" w14:textId="77777777">
      <w:pPr>
        <w:pStyle w:val="EPComma"/>
      </w:pPr>
      <w:r w:rsidRPr="004400CC">
        <w:rPr>
          <w:i/>
        </w:rPr>
        <w:t>Eiropas Parlaments,</w:t>
      </w:r>
    </w:p>
    <w:p w:rsidR="00552917" w:rsidRPr="004400CC" w:rsidP="00552917" w14:paraId="6740BA0F" w14:textId="77777777">
      <w:pPr>
        <w:pStyle w:val="NormalHanging12a"/>
      </w:pPr>
      <w:r w:rsidRPr="004400CC">
        <w:t>–</w:t>
      </w:r>
      <w:r w:rsidRPr="004400CC">
        <w:tab/>
        <w:t>ņemot vērā Komisijas priekšlikumu Padomei (COM(2025)0580),</w:t>
      </w:r>
    </w:p>
    <w:p w:rsidR="00552917" w:rsidRPr="004400CC" w:rsidP="00552917" w14:paraId="392ED0D4" w14:textId="77777777">
      <w:pPr>
        <w:pStyle w:val="NormalHanging12a"/>
      </w:pPr>
      <w:r w:rsidRPr="004400CC">
        <w:t>–</w:t>
      </w:r>
      <w:r w:rsidRPr="004400CC">
        <w:tab/>
        <w:t>ņemot vērā Līguma par Eiropas Savienības darbību 113. pantu, saskaņā ar kuru Padome ar to ir apspriedusies (C10</w:t>
      </w:r>
      <w:r w:rsidRPr="004400CC">
        <w:noBreakHyphen/>
        <w:t>0207/2025),</w:t>
      </w:r>
    </w:p>
    <w:p w:rsidR="00552917" w:rsidRPr="004400CC" w:rsidP="00552917" w14:paraId="540E26C3" w14:textId="77777777">
      <w:pPr>
        <w:pStyle w:val="NormalHanging12a"/>
      </w:pPr>
      <w:r w:rsidRPr="004400CC">
        <w:t>–</w:t>
      </w:r>
      <w:r w:rsidRPr="004400CC">
        <w:tab/>
        <w:t>ņemot vērā pamatoto atzinumu, kuru saskaņā ar Protokolu Nr. 2 par subsidiaritātes principa un proporcionalitātes principa piemērošanu iesniegusi Itālijas parlamenta Deputātu palāta un kurā norādīts, ka leģislatīvā akta projekts neatbilst subsidiaritātes principam,</w:t>
      </w:r>
    </w:p>
    <w:p w:rsidR="00552917" w:rsidRPr="004400CC" w:rsidP="00552917" w14:paraId="3DF1E733" w14:textId="77777777">
      <w:pPr>
        <w:pStyle w:val="NormalHanging12a"/>
      </w:pPr>
      <w:r w:rsidRPr="004400CC">
        <w:t>–</w:t>
      </w:r>
      <w:r w:rsidRPr="004400CC">
        <w:tab/>
        <w:t>ņemot vērā Iestāžu 2001. gada 28. novembra nolīgumu par tiesību aktu pārstrādāšanas tehnikas strukturētāku izmantošanu</w:t>
      </w:r>
      <w:r>
        <w:rPr>
          <w:rStyle w:val="FootnoteReference"/>
        </w:rPr>
        <w:footnoteReference w:id="2"/>
      </w:r>
      <w:r w:rsidRPr="004400CC">
        <w:t>,</w:t>
      </w:r>
    </w:p>
    <w:p w:rsidR="00552917" w:rsidRPr="004400CC" w:rsidP="00552917" w14:paraId="043F59A3" w14:textId="77777777">
      <w:pPr>
        <w:pStyle w:val="NormalHanging12a"/>
      </w:pPr>
      <w:r w:rsidRPr="004400CC">
        <w:t>–</w:t>
      </w:r>
      <w:r w:rsidRPr="004400CC">
        <w:tab/>
        <w:t>ņemot vērā Juridiskās komitejas 2025. gada 11. decembra vēstuli Ekonomikas un monetārajai komitejai, kura nosūtīta saskaņā ar Reglamenta 113. panta 3. punktu,</w:t>
      </w:r>
    </w:p>
    <w:p w:rsidR="00552917" w:rsidRPr="004400CC" w:rsidP="00552917" w14:paraId="0D5E67FB" w14:textId="77777777">
      <w:pPr>
        <w:pStyle w:val="NormalHanging12a"/>
      </w:pPr>
      <w:r w:rsidRPr="004400CC">
        <w:t>–</w:t>
      </w:r>
      <w:r w:rsidRPr="004400CC">
        <w:tab/>
        <w:t>ņemot vērā Reglamenta 113. un 84. pantu,</w:t>
      </w:r>
    </w:p>
    <w:p w:rsidR="00552917" w:rsidRPr="004400CC" w:rsidP="00552917" w14:paraId="79C7D0A3" w14:textId="77777777">
      <w:pPr>
        <w:pStyle w:val="NormalHanging12a"/>
      </w:pPr>
      <w:r w:rsidRPr="004400CC">
        <w:t>–</w:t>
      </w:r>
      <w:r w:rsidRPr="004400CC">
        <w:tab/>
        <w:t>ņemot vērā Ekonomikas un monetārās komitejas ziņojumu (A10-0161/2026),</w:t>
      </w:r>
    </w:p>
    <w:p w:rsidR="00552917" w:rsidRPr="004400CC" w:rsidP="00552917" w14:paraId="564D7B1A" w14:textId="22A188DE">
      <w:pPr>
        <w:pStyle w:val="NormalHanging12a"/>
      </w:pPr>
      <w:r w:rsidRPr="004400CC">
        <w:t>1.</w:t>
      </w:r>
      <w:r w:rsidRPr="004400CC">
        <w:tab/>
      </w:r>
      <w:r w:rsidR="002E4029">
        <w:t>noraida</w:t>
      </w:r>
      <w:r w:rsidRPr="004400CC">
        <w:t xml:space="preserve"> Komisijas priekšlikumu;</w:t>
      </w:r>
    </w:p>
    <w:p w:rsidR="00552917" w:rsidRPr="004400CC" w:rsidP="00552917" w14:paraId="7578666A" w14:textId="2A0C728F">
      <w:pPr>
        <w:pStyle w:val="NormalHanging12a"/>
      </w:pPr>
      <w:r w:rsidRPr="004400CC">
        <w:t>2.</w:t>
      </w:r>
      <w:r w:rsidRPr="004400CC">
        <w:tab/>
        <w:t xml:space="preserve">aicina Komisiju </w:t>
      </w:r>
      <w:r w:rsidR="002E4029">
        <w:t>atsaukt savu priekšlikumu</w:t>
      </w:r>
      <w:r w:rsidRPr="004400CC">
        <w:t>;</w:t>
      </w:r>
    </w:p>
    <w:p w:rsidR="00552917" w:rsidP="00552917" w14:paraId="17A98EC0" w14:textId="6FAE1B1D">
      <w:pPr>
        <w:pStyle w:val="NormalHanging12a"/>
      </w:pPr>
      <w:r>
        <w:t>3</w:t>
      </w:r>
      <w:r w:rsidRPr="004400CC">
        <w:t>.</w:t>
      </w:r>
      <w:r w:rsidRPr="004400CC">
        <w:tab/>
        <w:t>uzdod priekšsēdētājai Parlamenta nostāju nosūtīt Padomei</w:t>
      </w:r>
      <w:r>
        <w:t xml:space="preserve">, </w:t>
      </w:r>
      <w:r w:rsidRPr="004400CC">
        <w:t>Komisijai</w:t>
      </w:r>
      <w:r>
        <w:t xml:space="preserve"> un </w:t>
      </w:r>
      <w:r w:rsidRPr="004400CC">
        <w:t>dalībvalstu parlamentiem.</w:t>
      </w:r>
    </w:p>
    <w:p w:rsidR="00E365E1" w:rsidRPr="004400CC" w:rsidP="002E4029" w14:paraId="43249FCF" w14:textId="46AC05E1">
      <w:pPr>
        <w:pStyle w:val="NormalHanging12a"/>
      </w:pPr>
    </w:p>
    <w:sectPr w:rsidSect="004400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0CC" w14:paraId="4ABEC99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0CC" w14:paraId="6157173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0CC" w14:paraId="3B740D8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C1C80" w:rsidRPr="004400CC" w14:paraId="1F173B3D" w14:textId="77777777">
      <w:r w:rsidRPr="004400CC">
        <w:separator/>
      </w:r>
    </w:p>
  </w:footnote>
  <w:footnote w:type="continuationSeparator" w:id="1">
    <w:p w:rsidR="007C1C80" w:rsidRPr="004400CC" w14:paraId="482EC5D5" w14:textId="77777777">
      <w:r w:rsidRPr="004400CC">
        <w:continuationSeparator/>
      </w:r>
    </w:p>
  </w:footnote>
  <w:footnote w:id="2">
    <w:p w:rsidR="00552917" w:rsidRPr="004400CC" w:rsidP="004400CC" w14:paraId="18722238" w14:textId="3B185D51">
      <w:pPr>
        <w:pStyle w:val="FootnoteText"/>
        <w:ind w:left="567" w:hanging="567"/>
        <w:rPr>
          <w:sz w:val="24"/>
          <w:lang w:val="lv-LV"/>
        </w:rPr>
      </w:pPr>
      <w:r w:rsidRPr="004400CC">
        <w:rPr>
          <w:rStyle w:val="FootnoteReference"/>
          <w:sz w:val="24"/>
          <w:lang w:val="lv-LV"/>
        </w:rPr>
        <w:footnoteRef/>
      </w:r>
      <w:r w:rsidRPr="004400CC" w:rsidR="004400CC">
        <w:rPr>
          <w:sz w:val="24"/>
          <w:lang w:val="lv-LV"/>
        </w:rPr>
        <w:t xml:space="preserve"> </w:t>
      </w:r>
      <w:r w:rsidRPr="004400CC" w:rsidR="004400CC">
        <w:rPr>
          <w:sz w:val="24"/>
          <w:lang w:val="lv-LV"/>
        </w:rPr>
        <w:tab/>
      </w:r>
      <w:r w:rsidRPr="004400CC">
        <w:rPr>
          <w:sz w:val="24"/>
          <w:lang w:val="lv-LV"/>
        </w:rPr>
        <w:t>OV C 77, 28.3.2002., 1. lpp.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0CC" w14:paraId="73A8448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0CC" w14:paraId="4BE5D1E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0CC" w14:paraId="6A4D163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9453069">
    <w:abstractNumId w:val="9"/>
  </w:num>
  <w:num w:numId="2" w16cid:durableId="65225815">
    <w:abstractNumId w:val="9"/>
  </w:num>
  <w:num w:numId="3" w16cid:durableId="1114792159">
    <w:abstractNumId w:val="7"/>
  </w:num>
  <w:num w:numId="4" w16cid:durableId="256212345">
    <w:abstractNumId w:val="7"/>
  </w:num>
  <w:num w:numId="5" w16cid:durableId="473328468">
    <w:abstractNumId w:val="6"/>
  </w:num>
  <w:num w:numId="6" w16cid:durableId="771557518">
    <w:abstractNumId w:val="6"/>
  </w:num>
  <w:num w:numId="7" w16cid:durableId="159544057">
    <w:abstractNumId w:val="5"/>
  </w:num>
  <w:num w:numId="8" w16cid:durableId="1384599022">
    <w:abstractNumId w:val="5"/>
  </w:num>
  <w:num w:numId="9" w16cid:durableId="2098667934">
    <w:abstractNumId w:val="4"/>
  </w:num>
  <w:num w:numId="10" w16cid:durableId="740368617">
    <w:abstractNumId w:val="4"/>
  </w:num>
  <w:num w:numId="11" w16cid:durableId="960763884">
    <w:abstractNumId w:val="8"/>
  </w:num>
  <w:num w:numId="12" w16cid:durableId="1435593536">
    <w:abstractNumId w:val="8"/>
  </w:num>
  <w:num w:numId="13" w16cid:durableId="379323235">
    <w:abstractNumId w:val="3"/>
  </w:num>
  <w:num w:numId="14" w16cid:durableId="1717385202">
    <w:abstractNumId w:val="3"/>
  </w:num>
  <w:num w:numId="15" w16cid:durableId="1774397210">
    <w:abstractNumId w:val="2"/>
  </w:num>
  <w:num w:numId="16" w16cid:durableId="1798259386">
    <w:abstractNumId w:val="2"/>
  </w:num>
  <w:num w:numId="17" w16cid:durableId="1664045772">
    <w:abstractNumId w:val="1"/>
  </w:num>
  <w:num w:numId="18" w16cid:durableId="935207587">
    <w:abstractNumId w:val="1"/>
  </w:num>
  <w:num w:numId="19" w16cid:durableId="31418054">
    <w:abstractNumId w:val="0"/>
  </w:num>
  <w:num w:numId="20" w16cid:durableId="1356269083">
    <w:abstractNumId w:val="0"/>
  </w:num>
  <w:num w:numId="21" w16cid:durableId="1675642034">
    <w:abstractNumId w:val="9"/>
  </w:num>
  <w:num w:numId="22" w16cid:durableId="357123876">
    <w:abstractNumId w:val="7"/>
  </w:num>
  <w:num w:numId="23" w16cid:durableId="1108816719">
    <w:abstractNumId w:val="6"/>
  </w:num>
  <w:num w:numId="24" w16cid:durableId="278148426">
    <w:abstractNumId w:val="5"/>
  </w:num>
  <w:num w:numId="25" w16cid:durableId="151485783">
    <w:abstractNumId w:val="4"/>
  </w:num>
  <w:num w:numId="26" w16cid:durableId="653682131">
    <w:abstractNumId w:val="8"/>
  </w:num>
  <w:num w:numId="27" w16cid:durableId="1144540716">
    <w:abstractNumId w:val="3"/>
  </w:num>
  <w:num w:numId="28" w16cid:durableId="1561020168">
    <w:abstractNumId w:val="2"/>
  </w:num>
  <w:num w:numId="29" w16cid:durableId="1379892569">
    <w:abstractNumId w:val="1"/>
  </w:num>
  <w:num w:numId="30" w16cid:durableId="1926725597">
    <w:abstractNumId w:val="0"/>
  </w:num>
  <w:num w:numId="31" w16cid:durableId="402487317">
    <w:abstractNumId w:val="9"/>
  </w:num>
  <w:num w:numId="32" w16cid:durableId="17241271">
    <w:abstractNumId w:val="7"/>
  </w:num>
  <w:num w:numId="33" w16cid:durableId="861186">
    <w:abstractNumId w:val="6"/>
  </w:num>
  <w:num w:numId="34" w16cid:durableId="794061197">
    <w:abstractNumId w:val="5"/>
  </w:num>
  <w:num w:numId="35" w16cid:durableId="640110406">
    <w:abstractNumId w:val="4"/>
  </w:num>
  <w:num w:numId="36" w16cid:durableId="1542666565">
    <w:abstractNumId w:val="8"/>
  </w:num>
  <w:num w:numId="37" w16cid:durableId="1812213180">
    <w:abstractNumId w:val="3"/>
  </w:num>
  <w:num w:numId="38" w16cid:durableId="684013477">
    <w:abstractNumId w:val="2"/>
  </w:num>
  <w:num w:numId="39" w16cid:durableId="493225966">
    <w:abstractNumId w:val="1"/>
  </w:num>
  <w:num w:numId="40" w16cid:durableId="1591507554">
    <w:abstractNumId w:val="0"/>
  </w:num>
  <w:num w:numId="41" w16cid:durableId="1792241116">
    <w:abstractNumId w:val="10"/>
  </w:num>
  <w:num w:numId="42" w16cid:durableId="1827932701">
    <w:abstractNumId w:val="10"/>
  </w:num>
  <w:num w:numId="43" w16cid:durableId="1674916351">
    <w:abstractNumId w:val="10"/>
  </w:num>
  <w:num w:numId="44" w16cid:durableId="13047784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80"/>
    <w:rsid w:val="00002272"/>
    <w:rsid w:val="00034CC9"/>
    <w:rsid w:val="000564A4"/>
    <w:rsid w:val="00064002"/>
    <w:rsid w:val="000677B9"/>
    <w:rsid w:val="000831BA"/>
    <w:rsid w:val="000A42CC"/>
    <w:rsid w:val="000E7DD9"/>
    <w:rsid w:val="0010095E"/>
    <w:rsid w:val="00125B37"/>
    <w:rsid w:val="00145DCF"/>
    <w:rsid w:val="00187494"/>
    <w:rsid w:val="001F32AE"/>
    <w:rsid w:val="002767FF"/>
    <w:rsid w:val="002B18FE"/>
    <w:rsid w:val="002B5493"/>
    <w:rsid w:val="002E4029"/>
    <w:rsid w:val="00343214"/>
    <w:rsid w:val="00361C00"/>
    <w:rsid w:val="00395FA1"/>
    <w:rsid w:val="003E15D4"/>
    <w:rsid w:val="00411CCE"/>
    <w:rsid w:val="0041666E"/>
    <w:rsid w:val="00421060"/>
    <w:rsid w:val="004400C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EDB"/>
    <w:rsid w:val="00552917"/>
    <w:rsid w:val="00560270"/>
    <w:rsid w:val="005C2568"/>
    <w:rsid w:val="005F1B17"/>
    <w:rsid w:val="006037C0"/>
    <w:rsid w:val="006631B6"/>
    <w:rsid w:val="00680577"/>
    <w:rsid w:val="006F3AB5"/>
    <w:rsid w:val="006F74FA"/>
    <w:rsid w:val="00731ADD"/>
    <w:rsid w:val="00734777"/>
    <w:rsid w:val="00747932"/>
    <w:rsid w:val="00751A4A"/>
    <w:rsid w:val="00756632"/>
    <w:rsid w:val="00762C74"/>
    <w:rsid w:val="00786EC0"/>
    <w:rsid w:val="007C1C8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F7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3A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96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LV"/>
    <w:docVar w:name="dvnumam" w:val="87"/>
    <w:docVar w:name="dvpe" w:val="784.398"/>
    <w:docVar w:name="dvrapporteur" w:val="Referents: "/>
    <w:docVar w:name="dvstar" w:val="*"/>
    <w:docVar w:name="dvtitre" w:val="Eiropas Parlamenta 2026. gada XX. XXX normatīvā rezolūcija par priekšlikumu Padomes direktīvai par tabakai un ar tabaku saistītiem izstrādājumiem piemērotā akcīzes nodokļa struktūru un likmēm (pārstrādāta redakcija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72A5FA"/>
  <w15:chartTrackingRefBased/>
  <w15:docId w15:val="{DBC8CBBB-3F05-4B81-82D0-484A205D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5291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5291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5291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5291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5291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52917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semiHidden/>
    <w:rsid w:val="00552917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552917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552917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nhideWhenUsed/>
    <w:qFormat/>
    <w:rsid w:val="00552917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5529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5529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52917"/>
    <w:pPr>
      <w:spacing w:after="240"/>
    </w:pPr>
  </w:style>
  <w:style w:type="paragraph" w:customStyle="1" w:styleId="TOCPage">
    <w:name w:val="TOC Page"/>
    <w:basedOn w:val="Normal"/>
    <w:next w:val="TOC1"/>
    <w:rsid w:val="00552917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55291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52917"/>
    <w:pPr>
      <w:spacing w:after="240"/>
      <w:ind w:left="567" w:hanging="567"/>
    </w:pPr>
  </w:style>
  <w:style w:type="paragraph" w:customStyle="1" w:styleId="Normal6a">
    <w:name w:val="Normal6a"/>
    <w:basedOn w:val="Normal"/>
    <w:rsid w:val="00552917"/>
    <w:pPr>
      <w:spacing w:after="120"/>
    </w:pPr>
  </w:style>
  <w:style w:type="paragraph" w:customStyle="1" w:styleId="CoverNormal24a">
    <w:name w:val="CoverNormal24a"/>
    <w:basedOn w:val="Normal"/>
    <w:rsid w:val="00552917"/>
    <w:pPr>
      <w:spacing w:after="480"/>
      <w:ind w:left="1417"/>
    </w:pPr>
  </w:style>
  <w:style w:type="paragraph" w:customStyle="1" w:styleId="CoverNormal">
    <w:name w:val="CoverNormal"/>
    <w:basedOn w:val="Normal"/>
    <w:rsid w:val="00552917"/>
    <w:pPr>
      <w:ind w:left="1418"/>
    </w:pPr>
  </w:style>
  <w:style w:type="paragraph" w:customStyle="1" w:styleId="CoverReference">
    <w:name w:val="CoverReference"/>
    <w:basedOn w:val="Normal"/>
    <w:rsid w:val="00552917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5291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52917"/>
    <w:rPr>
      <w:b/>
      <w:sz w:val="24"/>
      <w:lang w:val="lv-LV"/>
    </w:rPr>
  </w:style>
  <w:style w:type="paragraph" w:customStyle="1" w:styleId="CoverDocType">
    <w:name w:val="CoverDocType"/>
    <w:basedOn w:val="Normal"/>
    <w:rsid w:val="0055291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5291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52917"/>
    <w:pPr>
      <w:spacing w:before="240" w:after="1200"/>
    </w:pPr>
  </w:style>
  <w:style w:type="paragraph" w:styleId="Header">
    <w:name w:val="header"/>
    <w:basedOn w:val="Normal"/>
    <w:link w:val="HeaderChar"/>
    <w:rsid w:val="005529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2917"/>
    <w:rPr>
      <w:sz w:val="24"/>
      <w:lang w:val="lv-LV"/>
    </w:rPr>
  </w:style>
  <w:style w:type="paragraph" w:customStyle="1" w:styleId="AnnexWPLogo">
    <w:name w:val="AnnexWPLogo"/>
    <w:basedOn w:val="Normal"/>
    <w:rsid w:val="00552917"/>
    <w:pPr>
      <w:spacing w:before="120" w:after="120"/>
    </w:pPr>
  </w:style>
  <w:style w:type="paragraph" w:customStyle="1" w:styleId="AnnexWPTabs">
    <w:name w:val="AnnexWPTabs"/>
    <w:basedOn w:val="Normal"/>
    <w:rsid w:val="00552917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552917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552917"/>
    <w:rPr>
      <w:smallCaps/>
      <w:sz w:val="20"/>
    </w:rPr>
  </w:style>
  <w:style w:type="paragraph" w:customStyle="1" w:styleId="AnnexWPDocType">
    <w:name w:val="AnnexWPDocType"/>
    <w:basedOn w:val="Normal"/>
    <w:rsid w:val="00552917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552917"/>
    <w:pPr>
      <w:spacing w:before="480"/>
    </w:pPr>
    <w:rPr>
      <w:b/>
    </w:rPr>
  </w:style>
  <w:style w:type="paragraph" w:customStyle="1" w:styleId="AmJustText">
    <w:name w:val="AmJustText"/>
    <w:basedOn w:val="Normal"/>
    <w:rsid w:val="00552917"/>
    <w:pPr>
      <w:spacing w:after="240"/>
    </w:pPr>
    <w:rPr>
      <w:i/>
    </w:rPr>
  </w:style>
  <w:style w:type="paragraph" w:customStyle="1" w:styleId="AmCrossRef">
    <w:name w:val="AmCrossRef"/>
    <w:basedOn w:val="Normal"/>
    <w:rsid w:val="0055291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52917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55291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5291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529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52917"/>
    <w:pPr>
      <w:spacing w:before="240"/>
    </w:pPr>
    <w:rPr>
      <w:b/>
    </w:rPr>
  </w:style>
  <w:style w:type="paragraph" w:customStyle="1" w:styleId="EPBody">
    <w:name w:val="EPBody"/>
    <w:basedOn w:val="Normal"/>
    <w:rsid w:val="0055291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529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52917"/>
    <w:pPr>
      <w:spacing w:before="480" w:after="240"/>
    </w:pPr>
  </w:style>
  <w:style w:type="paragraph" w:customStyle="1" w:styleId="Lgendesigne">
    <w:name w:val="Légende signe"/>
    <w:basedOn w:val="Normal"/>
    <w:rsid w:val="0055291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5291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52917"/>
    <w:rPr>
      <w:sz w:val="18"/>
    </w:rPr>
  </w:style>
  <w:style w:type="paragraph" w:customStyle="1" w:styleId="LetterDate">
    <w:name w:val="LetterDate"/>
    <w:basedOn w:val="Normal"/>
    <w:rsid w:val="00552917"/>
    <w:pPr>
      <w:spacing w:before="720" w:after="240"/>
    </w:pPr>
  </w:style>
  <w:style w:type="paragraph" w:customStyle="1" w:styleId="LetterSalutation">
    <w:name w:val="LetterSalutation"/>
    <w:basedOn w:val="Normal"/>
    <w:rsid w:val="00552917"/>
    <w:pPr>
      <w:spacing w:before="600" w:after="360"/>
    </w:pPr>
  </w:style>
  <w:style w:type="paragraph" w:customStyle="1" w:styleId="LetterSubject">
    <w:name w:val="LetterSubject"/>
    <w:basedOn w:val="Normal"/>
    <w:rsid w:val="0055291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52917"/>
    <w:pPr>
      <w:spacing w:before="1320"/>
    </w:pPr>
  </w:style>
  <w:style w:type="paragraph" w:customStyle="1" w:styleId="msonormal">
    <w:name w:val="msonormal"/>
    <w:basedOn w:val="Normal"/>
    <w:rsid w:val="00552917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552917"/>
    <w:rPr>
      <w:sz w:val="22"/>
    </w:rPr>
  </w:style>
  <w:style w:type="paragraph" w:styleId="Footer">
    <w:name w:val="footer"/>
    <w:link w:val="FooterChar"/>
    <w:unhideWhenUsed/>
    <w:rsid w:val="0055291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552917"/>
    <w:rPr>
      <w:sz w:val="24"/>
      <w:lang w:val="lv-LV"/>
    </w:rPr>
  </w:style>
  <w:style w:type="paragraph" w:styleId="BalloonText">
    <w:name w:val="Balloon Text"/>
    <w:basedOn w:val="Normal"/>
    <w:link w:val="BalloonTextChar"/>
    <w:unhideWhenUsed/>
    <w:rsid w:val="005529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2917"/>
    <w:rPr>
      <w:rFonts w:ascii="Segoe UI" w:hAnsi="Segoe UI" w:cs="Segoe UI"/>
      <w:sz w:val="18"/>
      <w:szCs w:val="18"/>
      <w:lang w:val="lv-LV"/>
    </w:rPr>
  </w:style>
  <w:style w:type="paragraph" w:customStyle="1" w:styleId="AMNumberTabs0">
    <w:name w:val="AMNumberTabs"/>
    <w:basedOn w:val="Normal"/>
    <w:rsid w:val="005529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552917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552917"/>
    <w:rPr>
      <w:noProof/>
      <w:sz w:val="24"/>
    </w:rPr>
  </w:style>
  <w:style w:type="paragraph" w:customStyle="1" w:styleId="Normal12">
    <w:name w:val="Normal12"/>
    <w:basedOn w:val="Normal"/>
    <w:link w:val="Normal12Char"/>
    <w:rsid w:val="0055291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5291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5291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5291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5291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5291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52917"/>
    <w:rPr>
      <w:sz w:val="24"/>
    </w:rPr>
  </w:style>
  <w:style w:type="paragraph" w:customStyle="1" w:styleId="Normal6">
    <w:name w:val="Normal6"/>
    <w:basedOn w:val="Normal"/>
    <w:link w:val="Normal6Char"/>
    <w:rsid w:val="00552917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552917"/>
    <w:rPr>
      <w:i/>
    </w:rPr>
  </w:style>
  <w:style w:type="paragraph" w:customStyle="1" w:styleId="JustificationTitle">
    <w:name w:val="JustificationTitle"/>
    <w:basedOn w:val="Normal"/>
    <w:next w:val="Normal12"/>
    <w:rsid w:val="0055291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5291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52917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55291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5291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552917"/>
    <w:pPr>
      <w:spacing w:after="480"/>
    </w:pPr>
  </w:style>
  <w:style w:type="paragraph" w:customStyle="1" w:styleId="NormalBoldCenter">
    <w:name w:val="NormalBoldCenter"/>
    <w:basedOn w:val="Normal"/>
    <w:rsid w:val="00552917"/>
    <w:pPr>
      <w:jc w:val="center"/>
    </w:pPr>
    <w:rPr>
      <w:b/>
    </w:rPr>
  </w:style>
  <w:style w:type="paragraph" w:customStyle="1" w:styleId="Footprint12b">
    <w:name w:val="Footprint12b"/>
    <w:basedOn w:val="Normal"/>
    <w:rsid w:val="0055291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52917"/>
    <w:rPr>
      <w:szCs w:val="24"/>
    </w:rPr>
  </w:style>
  <w:style w:type="paragraph" w:customStyle="1" w:styleId="EntPE">
    <w:name w:val="EntPE"/>
    <w:basedOn w:val="Normal12"/>
    <w:rsid w:val="00552917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55291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52917"/>
    <w:rPr>
      <w:sz w:val="24"/>
      <w:lang w:val="lv-LV"/>
    </w:rPr>
  </w:style>
  <w:style w:type="character" w:styleId="CommentReference">
    <w:name w:val="annotation reference"/>
    <w:basedOn w:val="DefaultParagraphFont"/>
    <w:rsid w:val="005529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29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2917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52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2917"/>
    <w:rPr>
      <w:b/>
      <w:bCs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552917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55291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5291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5291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52917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5529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1497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2026-06-17T14:37:00Z</dcterms:created>
  <dcterms:modified xsi:type="dcterms:W3CDTF">2026-06-17T14:37:00Z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