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325394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FE7195" w:rsidP="0010095E" w14:paraId="3537964F" w14:textId="77777777">
            <w:pPr>
              <w:pStyle w:val="EPName"/>
            </w:pPr>
            <w:r w:rsidRPr="00FE7195">
              <w:t>Parlament Europejski</w:t>
            </w:r>
          </w:p>
          <w:p w:rsidR="00751A4A" w:rsidRPr="00FE7195" w:rsidP="005F1B17" w14:paraId="308E19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195">
              <w:t>2024</w:t>
            </w:r>
            <w:r w:rsidRPr="00FE7195" w:rsidR="00817416">
              <w:t>-202</w:t>
            </w:r>
            <w:r w:rsidRPr="00FE7195">
              <w:t>9</w:t>
            </w:r>
          </w:p>
        </w:tc>
        <w:tc>
          <w:tcPr>
            <w:tcW w:w="2268" w:type="dxa"/>
          </w:tcPr>
          <w:p w:rsidR="00751A4A" w:rsidRPr="00FE7195" w:rsidP="0010095E" w14:paraId="5685B95E" w14:textId="77777777">
            <w:pPr>
              <w:pStyle w:val="EPLogo"/>
            </w:pPr>
            <w:r w:rsidRPr="00FE719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7195" w:rsidP="004C5D52" w14:paraId="2613CC89" w14:textId="77777777">
      <w:pPr>
        <w:pStyle w:val="LineTop"/>
      </w:pPr>
    </w:p>
    <w:p w:rsidR="00680577" w:rsidRPr="00FE7195" w:rsidP="00680577" w14:paraId="609A78E3" w14:textId="77777777">
      <w:pPr>
        <w:pStyle w:val="EPBodyTA1"/>
      </w:pPr>
      <w:r w:rsidRPr="00FE7195">
        <w:t>TEKSTY PRZYJĘTE</w:t>
      </w:r>
    </w:p>
    <w:p w:rsidR="00D058B8" w:rsidRPr="00FE7195" w:rsidP="00D058B8" w14:paraId="211C837E" w14:textId="77777777">
      <w:pPr>
        <w:pStyle w:val="LineBottom"/>
      </w:pPr>
    </w:p>
    <w:p w:rsidR="00AF7DBB" w:rsidRPr="00FE7195" w:rsidP="00AF7DBB" w14:paraId="5DED493F" w14:textId="24024F04">
      <w:pPr>
        <w:pStyle w:val="ATHeading1"/>
      </w:pPr>
      <w:bookmarkStart w:id="0" w:name="TANumber"/>
      <w:r w:rsidRPr="00FE7195">
        <w:t>P10_TA(2026)0</w:t>
      </w:r>
      <w:bookmarkEnd w:id="0"/>
      <w:r w:rsidR="00A85F4C">
        <w:t>211</w:t>
      </w:r>
    </w:p>
    <w:p w:rsidR="00AF7DBB" w:rsidRPr="00FE7195" w:rsidP="00AF7DBB" w14:paraId="731FD2DF" w14:textId="77777777">
      <w:pPr>
        <w:pStyle w:val="ATHeading2"/>
      </w:pPr>
      <w:bookmarkStart w:id="1" w:name="title"/>
      <w:r w:rsidRPr="00FE7195">
        <w:t>Struktura oraz stawki akcyzy stosowane do tytoniu i substytucyjnych wyrobów tytoniowych (wersja przekształcona)</w:t>
      </w:r>
      <w:bookmarkEnd w:id="1"/>
    </w:p>
    <w:p w:rsidR="00AF7DBB" w:rsidRPr="00FE7195" w:rsidP="00AF7DBB" w14:paraId="26E99ED0" w14:textId="77777777">
      <w:pPr>
        <w:rPr>
          <w:i/>
          <w:vanish/>
        </w:rPr>
      </w:pPr>
      <w:r>
        <w:rPr>
          <w:i/>
        </w:rPr>
        <w:fldChar w:fldCharType="begin"/>
      </w:r>
      <w:r w:rsidRPr="00FE7195">
        <w:rPr>
          <w:i/>
        </w:rPr>
        <w:instrText xml:space="preserve"> TC"(</w:instrText>
      </w:r>
      <w:bookmarkStart w:id="2" w:name="DocNumber"/>
      <w:r w:rsidRPr="00FE7195">
        <w:rPr>
          <w:i/>
        </w:rPr>
        <w:instrText>A10-0161/2026</w:instrText>
      </w:r>
      <w:bookmarkEnd w:id="2"/>
      <w:r w:rsidRPr="00FE7195">
        <w:rPr>
          <w:i/>
        </w:rPr>
        <w:instrText xml:space="preserve"> - Sprawozdawca: Tomáš Kubín)"\l3 \n&gt; \* MERGEFORMAT </w:instrText>
      </w:r>
      <w:r>
        <w:rPr>
          <w:i/>
        </w:rPr>
        <w:fldChar w:fldCharType="end"/>
      </w:r>
    </w:p>
    <w:p w:rsidR="00AF7DBB" w:rsidRPr="00FE7195" w:rsidP="00AF7DBB" w14:paraId="6B7E5752" w14:textId="77777777">
      <w:pPr>
        <w:rPr>
          <w:vanish/>
        </w:rPr>
      </w:pPr>
      <w:bookmarkStart w:id="3" w:name="Commission"/>
      <w:r w:rsidRPr="00FE7195">
        <w:rPr>
          <w:vanish/>
        </w:rPr>
        <w:t>Komisja Gospodarcza i Monetarna</w:t>
      </w:r>
      <w:bookmarkEnd w:id="3"/>
    </w:p>
    <w:p w:rsidR="00AF7DBB" w:rsidRPr="00FE7195" w:rsidP="00AF7DBB" w14:paraId="68E8C2BF" w14:textId="77777777">
      <w:pPr>
        <w:rPr>
          <w:vanish/>
        </w:rPr>
      </w:pPr>
      <w:bookmarkStart w:id="4" w:name="PE"/>
      <w:r w:rsidRPr="00FE7195">
        <w:rPr>
          <w:vanish/>
        </w:rPr>
        <w:t>PE784.398</w:t>
      </w:r>
      <w:bookmarkEnd w:id="4"/>
    </w:p>
    <w:p w:rsidR="00AF7DBB" w:rsidRPr="00FE7195" w:rsidP="00AF7DBB" w14:paraId="44841132" w14:textId="286BED7E">
      <w:pPr>
        <w:pStyle w:val="ATHeading3"/>
      </w:pPr>
      <w:bookmarkStart w:id="5" w:name="Sujet"/>
      <w:r w:rsidRPr="00FE7195">
        <w:t xml:space="preserve">Rezolucja ustawodawcza Parlamentu Europejskiego z dnia </w:t>
      </w:r>
      <w:r w:rsidR="00896C7F">
        <w:t>17 czerwca</w:t>
      </w:r>
      <w:r w:rsidRPr="00FE7195">
        <w:t xml:space="preserve"> 2026 r. w sprawie wniosku dotyczącego dyrektywy Rady w sprawie struktury oraz stawek akcyzy stosowanych do tytoniu i substytucyjnych wyrobów tytoniowych (wersja przekształcona)</w:t>
      </w:r>
      <w:bookmarkEnd w:id="5"/>
      <w:r w:rsidRPr="00FE7195">
        <w:t xml:space="preserve"> </w:t>
      </w:r>
      <w:bookmarkStart w:id="6" w:name="References"/>
      <w:r w:rsidRPr="00FE7195">
        <w:t>(COM(2025)0580 – C10-0207/2025 – 2025/0580(CNS))</w:t>
      </w:r>
      <w:bookmarkEnd w:id="6"/>
    </w:p>
    <w:p w:rsidR="00C10247" w:rsidRPr="00FE7195" w:rsidP="00C10247" w14:paraId="6663DFD1" w14:textId="77777777">
      <w:pPr>
        <w:pStyle w:val="NormalBold"/>
      </w:pPr>
      <w:r w:rsidRPr="00FE7195">
        <w:t>(Specjalna procedura ustawodawcza – konsultacja – przekształcenie)</w:t>
      </w:r>
    </w:p>
    <w:p w:rsidR="00C10247" w:rsidRPr="00FE7195" w:rsidP="00C10247" w14:paraId="208E3403" w14:textId="77777777">
      <w:pPr>
        <w:pStyle w:val="EPComma"/>
      </w:pPr>
      <w:r w:rsidRPr="00FE7195">
        <w:rPr>
          <w:i/>
        </w:rPr>
        <w:t>Parlament Europejski</w:t>
      </w:r>
      <w:r w:rsidRPr="00FE7195">
        <w:t>,</w:t>
      </w:r>
    </w:p>
    <w:p w:rsidR="00C10247" w:rsidRPr="00FE7195" w:rsidP="00C10247" w14:paraId="0A6E1DD3" w14:textId="77777777">
      <w:pPr>
        <w:pStyle w:val="NormalHanging12a"/>
      </w:pPr>
      <w:r w:rsidRPr="00FE7195">
        <w:t>–</w:t>
      </w:r>
      <w:r w:rsidRPr="00FE7195">
        <w:tab/>
        <w:t>uwzględniając wniosek Komisji przedstawiony Radzie (COM(2025)0580),</w:t>
      </w:r>
    </w:p>
    <w:p w:rsidR="00C10247" w:rsidRPr="00FE7195" w:rsidP="00C10247" w14:paraId="3D7AED1D" w14:textId="77777777">
      <w:pPr>
        <w:pStyle w:val="NormalHanging12a"/>
      </w:pPr>
      <w:r w:rsidRPr="00FE7195">
        <w:t>–</w:t>
      </w:r>
      <w:r w:rsidRPr="00FE7195">
        <w:tab/>
        <w:t>uwzględniając art. 113 Traktatu o funkcjonowaniu Unii Europejskiej, na mocy którego Rada skonsultowała się z Parlamentem (C10</w:t>
      </w:r>
      <w:r w:rsidRPr="00FE7195">
        <w:noBreakHyphen/>
        <w:t>0207/2025),</w:t>
      </w:r>
    </w:p>
    <w:p w:rsidR="00C10247" w:rsidRPr="00FE7195" w:rsidP="00C10247" w14:paraId="2FE733A0" w14:textId="77777777">
      <w:pPr>
        <w:pStyle w:val="NormalHanging12a"/>
      </w:pPr>
      <w:r w:rsidRPr="00FE7195">
        <w:t>–</w:t>
      </w:r>
      <w:r w:rsidRPr="00FE7195">
        <w:tab/>
        <w:t>uwzględniając uzasadnioną opinię przedstawioną – na mocy Protokołu nr 2 w sprawie stosowania zasad pomocniczości i proporcjonalności – przez włoską Izbę Deputowanych, w której stwierdzono, że projekt aktu ustawodawczego nie jest zgodny z zasadą pomocniczości,</w:t>
      </w:r>
    </w:p>
    <w:p w:rsidR="00C10247" w:rsidRPr="00FE7195" w:rsidP="00C10247" w14:paraId="53B43C8B" w14:textId="26C3961C">
      <w:pPr>
        <w:pStyle w:val="NormalHanging12a"/>
      </w:pPr>
      <w:r w:rsidRPr="00FE7195">
        <w:t>–</w:t>
      </w:r>
      <w:r w:rsidRPr="00FE7195">
        <w:tab/>
        <w:t xml:space="preserve">uwzględniając Porozumienie międzyinstytucjonalne z </w:t>
      </w:r>
      <w:r w:rsidR="0068218D">
        <w:t xml:space="preserve">dnia </w:t>
      </w:r>
      <w:r w:rsidRPr="00FE7195">
        <w:t>28 listopada 2001 r. w sprawie bardziej uporządkowanego wykorzystania techniki przekształcania aktów prawnych</w:t>
      </w:r>
      <w:r>
        <w:rPr>
          <w:rStyle w:val="FootnoteReference"/>
        </w:rPr>
        <w:footnoteReference w:id="2"/>
      </w:r>
      <w:r w:rsidRPr="00FE7195">
        <w:t>,</w:t>
      </w:r>
    </w:p>
    <w:p w:rsidR="00C10247" w:rsidRPr="00FE7195" w:rsidP="00C10247" w14:paraId="44837BE9" w14:textId="3A89549D">
      <w:pPr>
        <w:pStyle w:val="NormalHanging12a"/>
      </w:pPr>
      <w:r w:rsidRPr="00FE7195">
        <w:t>–</w:t>
      </w:r>
      <w:r w:rsidRPr="00FE7195">
        <w:tab/>
        <w:t>uwzględniając pismo Komisji Prawnej z</w:t>
      </w:r>
      <w:r w:rsidR="0068218D">
        <w:t xml:space="preserve"> dnia</w:t>
      </w:r>
      <w:r w:rsidRPr="00FE7195">
        <w:t xml:space="preserve"> 11 grudnia 2025 r. skierowane do Komisji Gospodarczej i Monetarnej zgodnie z art. 113 ust. 3 Regulaminu,</w:t>
      </w:r>
    </w:p>
    <w:p w:rsidR="00C10247" w:rsidRPr="00FE7195" w:rsidP="00C10247" w14:paraId="03356434" w14:textId="77777777">
      <w:pPr>
        <w:pStyle w:val="NormalHanging12a"/>
      </w:pPr>
      <w:r w:rsidRPr="00FE7195">
        <w:t>–</w:t>
      </w:r>
      <w:r w:rsidRPr="00FE7195">
        <w:tab/>
        <w:t>uwzględniając art. 113 i 84 Regulaminu,</w:t>
      </w:r>
    </w:p>
    <w:p w:rsidR="00C10247" w:rsidRPr="00FE7195" w:rsidP="00C10247" w14:paraId="3251C81A" w14:textId="77777777">
      <w:pPr>
        <w:pStyle w:val="NormalHanging12a"/>
      </w:pPr>
      <w:r w:rsidRPr="00FE7195">
        <w:t>–</w:t>
      </w:r>
      <w:r w:rsidRPr="00FE7195">
        <w:tab/>
        <w:t>uwzględniając sprawozdanie Komisji Gospodarczej i Monetarnej (A10-0161/2026),</w:t>
      </w:r>
    </w:p>
    <w:p w:rsidR="00C10247" w:rsidRPr="00FE7195" w:rsidP="00C10247" w14:paraId="06D58AAA" w14:textId="7DA466AF">
      <w:pPr>
        <w:pStyle w:val="NormalHanging12a"/>
      </w:pPr>
      <w:r w:rsidRPr="00FE7195">
        <w:t>1.</w:t>
      </w:r>
      <w:r w:rsidRPr="00FE7195">
        <w:tab/>
      </w:r>
      <w:r w:rsidR="009A5796">
        <w:t>odrzuca</w:t>
      </w:r>
      <w:r w:rsidRPr="00FE7195">
        <w:t xml:space="preserve"> wniosek Komisji;</w:t>
      </w:r>
    </w:p>
    <w:p w:rsidR="00C10247" w:rsidRPr="00FE7195" w:rsidP="00C10247" w14:paraId="493553F4" w14:textId="79B01E4B">
      <w:pPr>
        <w:pStyle w:val="NormalHanging12a"/>
      </w:pPr>
      <w:r w:rsidRPr="00FE7195">
        <w:t>2.</w:t>
      </w:r>
      <w:r w:rsidRPr="00FE7195">
        <w:tab/>
        <w:t xml:space="preserve">zwraca się do Komisji o </w:t>
      </w:r>
      <w:r w:rsidR="009A5796">
        <w:t>wycofanie</w:t>
      </w:r>
      <w:r w:rsidRPr="00FE7195">
        <w:t xml:space="preserve"> wniosku;</w:t>
      </w:r>
    </w:p>
    <w:p w:rsidR="00C10247" w:rsidRPr="00FE7195" w:rsidP="00C10247" w14:paraId="585A648C" w14:textId="3B1846FA">
      <w:pPr>
        <w:pStyle w:val="NormalHanging12a"/>
      </w:pPr>
      <w:r>
        <w:t>3</w:t>
      </w:r>
      <w:r w:rsidRPr="00FE7195">
        <w:t>.</w:t>
      </w:r>
      <w:r w:rsidRPr="00FE7195">
        <w:tab/>
        <w:t>zobowiązuje swoją przewodniczącą do przekazania stanowiska Parlamentu Radzie i Komisji oraz parlamentom narodowym.</w:t>
      </w:r>
    </w:p>
    <w:sectPr w:rsidSect="00FE71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5233E04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3FA4DF2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35027C7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87689" w:rsidRPr="00FE7195" w14:paraId="2E3A7E80" w14:textId="77777777">
      <w:r w:rsidRPr="00FE7195">
        <w:separator/>
      </w:r>
    </w:p>
  </w:footnote>
  <w:footnote w:type="continuationSeparator" w:id="1">
    <w:p w:rsidR="00D87689" w:rsidRPr="00FE7195" w14:paraId="334A3801" w14:textId="77777777">
      <w:r w:rsidRPr="00FE7195">
        <w:continuationSeparator/>
      </w:r>
    </w:p>
  </w:footnote>
  <w:footnote w:id="2">
    <w:p w:rsidR="00C10247" w:rsidRPr="00FE7195" w:rsidP="00FE7195" w14:paraId="333301B3" w14:textId="20C8D013">
      <w:pPr>
        <w:pStyle w:val="FootnoteText"/>
        <w:ind w:left="567" w:hanging="567"/>
        <w:rPr>
          <w:sz w:val="24"/>
          <w:lang w:val="pl-PL"/>
        </w:rPr>
      </w:pPr>
      <w:r w:rsidRPr="00FE7195">
        <w:rPr>
          <w:rStyle w:val="FootnoteReference"/>
          <w:sz w:val="24"/>
          <w:lang w:val="pl-PL"/>
        </w:rPr>
        <w:footnoteRef/>
      </w:r>
      <w:r w:rsidRPr="00FE7195" w:rsidR="00FE7195">
        <w:rPr>
          <w:sz w:val="24"/>
          <w:lang w:val="pl-PL"/>
        </w:rPr>
        <w:t xml:space="preserve"> </w:t>
      </w:r>
      <w:r w:rsidRPr="00FE7195" w:rsidR="00FE7195">
        <w:rPr>
          <w:sz w:val="24"/>
          <w:lang w:val="pl-PL"/>
        </w:rPr>
        <w:tab/>
      </w:r>
      <w:r w:rsidRPr="00FE7195">
        <w:rPr>
          <w:sz w:val="24"/>
          <w:lang w:val="pl-PL"/>
        </w:rPr>
        <w:t>Dz.U. C 77 z 28.3.2002,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06346E2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700E524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7195" w14:paraId="7289850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2055310">
    <w:abstractNumId w:val="9"/>
  </w:num>
  <w:num w:numId="2" w16cid:durableId="716390433">
    <w:abstractNumId w:val="9"/>
  </w:num>
  <w:num w:numId="3" w16cid:durableId="1495878391">
    <w:abstractNumId w:val="7"/>
  </w:num>
  <w:num w:numId="4" w16cid:durableId="1940067102">
    <w:abstractNumId w:val="7"/>
  </w:num>
  <w:num w:numId="5" w16cid:durableId="194582379">
    <w:abstractNumId w:val="6"/>
  </w:num>
  <w:num w:numId="6" w16cid:durableId="1951011029">
    <w:abstractNumId w:val="6"/>
  </w:num>
  <w:num w:numId="7" w16cid:durableId="1391003447">
    <w:abstractNumId w:val="5"/>
  </w:num>
  <w:num w:numId="8" w16cid:durableId="1053584093">
    <w:abstractNumId w:val="5"/>
  </w:num>
  <w:num w:numId="9" w16cid:durableId="1947615535">
    <w:abstractNumId w:val="4"/>
  </w:num>
  <w:num w:numId="10" w16cid:durableId="590048957">
    <w:abstractNumId w:val="4"/>
  </w:num>
  <w:num w:numId="11" w16cid:durableId="682167645">
    <w:abstractNumId w:val="8"/>
  </w:num>
  <w:num w:numId="12" w16cid:durableId="914820084">
    <w:abstractNumId w:val="8"/>
  </w:num>
  <w:num w:numId="13" w16cid:durableId="1363364955">
    <w:abstractNumId w:val="3"/>
  </w:num>
  <w:num w:numId="14" w16cid:durableId="353927121">
    <w:abstractNumId w:val="3"/>
  </w:num>
  <w:num w:numId="15" w16cid:durableId="1806925653">
    <w:abstractNumId w:val="2"/>
  </w:num>
  <w:num w:numId="16" w16cid:durableId="719137175">
    <w:abstractNumId w:val="2"/>
  </w:num>
  <w:num w:numId="17" w16cid:durableId="131872850">
    <w:abstractNumId w:val="1"/>
  </w:num>
  <w:num w:numId="18" w16cid:durableId="710618316">
    <w:abstractNumId w:val="1"/>
  </w:num>
  <w:num w:numId="19" w16cid:durableId="1161891792">
    <w:abstractNumId w:val="0"/>
  </w:num>
  <w:num w:numId="20" w16cid:durableId="1153912212">
    <w:abstractNumId w:val="0"/>
  </w:num>
  <w:num w:numId="21" w16cid:durableId="1637106758">
    <w:abstractNumId w:val="9"/>
  </w:num>
  <w:num w:numId="22" w16cid:durableId="640699304">
    <w:abstractNumId w:val="7"/>
  </w:num>
  <w:num w:numId="23" w16cid:durableId="1617175358">
    <w:abstractNumId w:val="6"/>
  </w:num>
  <w:num w:numId="24" w16cid:durableId="217938748">
    <w:abstractNumId w:val="5"/>
  </w:num>
  <w:num w:numId="25" w16cid:durableId="1103451959">
    <w:abstractNumId w:val="4"/>
  </w:num>
  <w:num w:numId="26" w16cid:durableId="1037435179">
    <w:abstractNumId w:val="8"/>
  </w:num>
  <w:num w:numId="27" w16cid:durableId="1600673405">
    <w:abstractNumId w:val="3"/>
  </w:num>
  <w:num w:numId="28" w16cid:durableId="109397996">
    <w:abstractNumId w:val="2"/>
  </w:num>
  <w:num w:numId="29" w16cid:durableId="936599283">
    <w:abstractNumId w:val="1"/>
  </w:num>
  <w:num w:numId="30" w16cid:durableId="352077849">
    <w:abstractNumId w:val="0"/>
  </w:num>
  <w:num w:numId="31" w16cid:durableId="119765713">
    <w:abstractNumId w:val="9"/>
  </w:num>
  <w:num w:numId="32" w16cid:durableId="1921520239">
    <w:abstractNumId w:val="7"/>
  </w:num>
  <w:num w:numId="33" w16cid:durableId="1792825652">
    <w:abstractNumId w:val="6"/>
  </w:num>
  <w:num w:numId="34" w16cid:durableId="1586261965">
    <w:abstractNumId w:val="5"/>
  </w:num>
  <w:num w:numId="35" w16cid:durableId="144667122">
    <w:abstractNumId w:val="4"/>
  </w:num>
  <w:num w:numId="36" w16cid:durableId="586424276">
    <w:abstractNumId w:val="8"/>
  </w:num>
  <w:num w:numId="37" w16cid:durableId="766462208">
    <w:abstractNumId w:val="3"/>
  </w:num>
  <w:num w:numId="38" w16cid:durableId="38824312">
    <w:abstractNumId w:val="2"/>
  </w:num>
  <w:num w:numId="39" w16cid:durableId="540020413">
    <w:abstractNumId w:val="1"/>
  </w:num>
  <w:num w:numId="40" w16cid:durableId="344788775">
    <w:abstractNumId w:val="0"/>
  </w:num>
  <w:num w:numId="41" w16cid:durableId="2088578251">
    <w:abstractNumId w:val="10"/>
  </w:num>
  <w:num w:numId="42" w16cid:durableId="1857160310">
    <w:abstractNumId w:val="10"/>
  </w:num>
  <w:num w:numId="43" w16cid:durableId="1019047182">
    <w:abstractNumId w:val="10"/>
  </w:num>
  <w:num w:numId="44" w16cid:durableId="41753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BB"/>
    <w:rsid w:val="00002272"/>
    <w:rsid w:val="00016F77"/>
    <w:rsid w:val="00064002"/>
    <w:rsid w:val="000677B9"/>
    <w:rsid w:val="000831BA"/>
    <w:rsid w:val="000A42CC"/>
    <w:rsid w:val="000E7DD9"/>
    <w:rsid w:val="0010095E"/>
    <w:rsid w:val="00125B37"/>
    <w:rsid w:val="00187494"/>
    <w:rsid w:val="001C3285"/>
    <w:rsid w:val="001D6BA6"/>
    <w:rsid w:val="001F32AE"/>
    <w:rsid w:val="002767FF"/>
    <w:rsid w:val="002B18FE"/>
    <w:rsid w:val="002B5493"/>
    <w:rsid w:val="0030244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18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061"/>
    <w:rsid w:val="00817416"/>
    <w:rsid w:val="00842779"/>
    <w:rsid w:val="00865F67"/>
    <w:rsid w:val="00881A7B"/>
    <w:rsid w:val="008840E5"/>
    <w:rsid w:val="00887B3E"/>
    <w:rsid w:val="00896C7F"/>
    <w:rsid w:val="008C2AC6"/>
    <w:rsid w:val="00930C23"/>
    <w:rsid w:val="0093193B"/>
    <w:rsid w:val="009509D8"/>
    <w:rsid w:val="00950B64"/>
    <w:rsid w:val="00981893"/>
    <w:rsid w:val="009A5796"/>
    <w:rsid w:val="00A1687D"/>
    <w:rsid w:val="00A43E52"/>
    <w:rsid w:val="00A4678D"/>
    <w:rsid w:val="00A778C7"/>
    <w:rsid w:val="00A85F4C"/>
    <w:rsid w:val="00AB441E"/>
    <w:rsid w:val="00AB6293"/>
    <w:rsid w:val="00AE0928"/>
    <w:rsid w:val="00AF3B82"/>
    <w:rsid w:val="00AF7DBB"/>
    <w:rsid w:val="00B12E95"/>
    <w:rsid w:val="00B22876"/>
    <w:rsid w:val="00B558F0"/>
    <w:rsid w:val="00BD48FE"/>
    <w:rsid w:val="00BD7BD8"/>
    <w:rsid w:val="00BE6ADC"/>
    <w:rsid w:val="00C05BFE"/>
    <w:rsid w:val="00C1024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689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195"/>
  </w:rsids>
  <w:docVars>
    <w:docVar w:name="dvdocse" w:val="A10-0161/2026"/>
    <w:docVar w:name="dvlangue" w:val="PL"/>
    <w:docVar w:name="dvnumam" w:val="0"/>
    <w:docVar w:name="dvpe" w:val="784.398"/>
    <w:docVar w:name="dvrapporteur" w:val="Sprawozdawca: "/>
    <w:docVar w:name="dvstar" w:val="*"/>
    <w:docVar w:name="dvtitre" w:val="Rezolucja ustawodawcza Parlamentu Europejskiego z dnia  2026 r. w sprawie wniosku dotyczącego dyrektywy Rady w sprawie struktury oraz stawek akcyzy stosowanych do tytoniu i substytucyjnych wyrobów tytoniowych (wersja przekształcona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11DFC5"/>
  <w15:chartTrackingRefBased/>
  <w15:docId w15:val="{F5BE6064-B1C2-4ED9-B994-0E63E82D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1024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1024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1024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1024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1024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10247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C10247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10247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10247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C10247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C102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C102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10247"/>
    <w:pPr>
      <w:spacing w:after="240"/>
    </w:pPr>
  </w:style>
  <w:style w:type="paragraph" w:customStyle="1" w:styleId="TOCPage">
    <w:name w:val="TOC Page"/>
    <w:basedOn w:val="Normal"/>
    <w:next w:val="TOC1"/>
    <w:rsid w:val="00C10247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C1024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10247"/>
    <w:pPr>
      <w:spacing w:after="240"/>
      <w:ind w:left="567" w:hanging="567"/>
    </w:pPr>
  </w:style>
  <w:style w:type="paragraph" w:customStyle="1" w:styleId="Normal6a">
    <w:name w:val="Normal6a"/>
    <w:basedOn w:val="Normal"/>
    <w:rsid w:val="00C10247"/>
    <w:pPr>
      <w:spacing w:after="120"/>
    </w:pPr>
  </w:style>
  <w:style w:type="paragraph" w:customStyle="1" w:styleId="CoverNormal24a">
    <w:name w:val="CoverNormal24a"/>
    <w:basedOn w:val="Normal"/>
    <w:rsid w:val="00C10247"/>
    <w:pPr>
      <w:spacing w:after="480"/>
      <w:ind w:left="1417"/>
    </w:pPr>
  </w:style>
  <w:style w:type="paragraph" w:customStyle="1" w:styleId="CoverNormal">
    <w:name w:val="CoverNormal"/>
    <w:basedOn w:val="Normal"/>
    <w:rsid w:val="00C10247"/>
    <w:pPr>
      <w:ind w:left="1418"/>
    </w:pPr>
  </w:style>
  <w:style w:type="paragraph" w:customStyle="1" w:styleId="CoverReference">
    <w:name w:val="CoverReference"/>
    <w:basedOn w:val="Normal"/>
    <w:rsid w:val="00C10247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1024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10247"/>
    <w:rPr>
      <w:b/>
      <w:sz w:val="24"/>
      <w:lang w:val="pl-PL"/>
    </w:rPr>
  </w:style>
  <w:style w:type="paragraph" w:customStyle="1" w:styleId="CoverDocType">
    <w:name w:val="CoverDocType"/>
    <w:basedOn w:val="Normal"/>
    <w:rsid w:val="00C1024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024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0247"/>
    <w:pPr>
      <w:spacing w:before="240" w:after="1200"/>
    </w:pPr>
  </w:style>
  <w:style w:type="paragraph" w:styleId="Header">
    <w:name w:val="header"/>
    <w:basedOn w:val="Normal"/>
    <w:link w:val="HeaderChar"/>
    <w:rsid w:val="00C102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10247"/>
    <w:rPr>
      <w:sz w:val="24"/>
      <w:lang w:val="pl-PL"/>
    </w:rPr>
  </w:style>
  <w:style w:type="paragraph" w:customStyle="1" w:styleId="AnnexWPLogo">
    <w:name w:val="AnnexWPLogo"/>
    <w:basedOn w:val="Normal"/>
    <w:rsid w:val="00C10247"/>
    <w:pPr>
      <w:spacing w:before="120" w:after="120"/>
    </w:pPr>
  </w:style>
  <w:style w:type="paragraph" w:customStyle="1" w:styleId="AnnexWPTabs">
    <w:name w:val="AnnexWPTabs"/>
    <w:basedOn w:val="Normal"/>
    <w:rsid w:val="00C10247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C10247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C10247"/>
    <w:rPr>
      <w:smallCaps/>
      <w:sz w:val="20"/>
    </w:rPr>
  </w:style>
  <w:style w:type="paragraph" w:customStyle="1" w:styleId="AnnexWPDocType">
    <w:name w:val="AnnexWPDocType"/>
    <w:basedOn w:val="Normal"/>
    <w:rsid w:val="00C10247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C10247"/>
    <w:pPr>
      <w:spacing w:before="480"/>
    </w:pPr>
    <w:rPr>
      <w:b/>
    </w:rPr>
  </w:style>
  <w:style w:type="paragraph" w:customStyle="1" w:styleId="AmJustText">
    <w:name w:val="AmJustText"/>
    <w:basedOn w:val="Normal"/>
    <w:rsid w:val="00C10247"/>
    <w:pPr>
      <w:spacing w:after="240"/>
    </w:pPr>
    <w:rPr>
      <w:i/>
    </w:rPr>
  </w:style>
  <w:style w:type="paragraph" w:customStyle="1" w:styleId="AmCrossRef">
    <w:name w:val="AmCrossRef"/>
    <w:basedOn w:val="Normal"/>
    <w:rsid w:val="00C1024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024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1024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024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02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0247"/>
    <w:pPr>
      <w:spacing w:before="240"/>
    </w:pPr>
    <w:rPr>
      <w:b/>
    </w:rPr>
  </w:style>
  <w:style w:type="paragraph" w:customStyle="1" w:styleId="EPBody">
    <w:name w:val="EPBody"/>
    <w:basedOn w:val="Normal"/>
    <w:rsid w:val="00C1024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02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0247"/>
    <w:pPr>
      <w:spacing w:before="480" w:after="240"/>
    </w:pPr>
  </w:style>
  <w:style w:type="paragraph" w:customStyle="1" w:styleId="Lgendesigne">
    <w:name w:val="Légende signe"/>
    <w:basedOn w:val="Normal"/>
    <w:rsid w:val="00C1024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024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0247"/>
    <w:rPr>
      <w:sz w:val="18"/>
    </w:rPr>
  </w:style>
  <w:style w:type="paragraph" w:customStyle="1" w:styleId="LetterDate">
    <w:name w:val="LetterDate"/>
    <w:basedOn w:val="Normal"/>
    <w:rsid w:val="00C10247"/>
    <w:pPr>
      <w:spacing w:before="720" w:after="240"/>
    </w:pPr>
  </w:style>
  <w:style w:type="paragraph" w:customStyle="1" w:styleId="LetterSalutation">
    <w:name w:val="LetterSalutation"/>
    <w:basedOn w:val="Normal"/>
    <w:rsid w:val="00C10247"/>
    <w:pPr>
      <w:spacing w:before="600" w:after="360"/>
    </w:pPr>
  </w:style>
  <w:style w:type="paragraph" w:customStyle="1" w:styleId="LetterSubject">
    <w:name w:val="LetterSubject"/>
    <w:basedOn w:val="Normal"/>
    <w:rsid w:val="00C1024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10247"/>
    <w:pPr>
      <w:spacing w:before="1320"/>
    </w:pPr>
  </w:style>
  <w:style w:type="paragraph" w:customStyle="1" w:styleId="msonormal">
    <w:name w:val="msonormal"/>
    <w:basedOn w:val="Normal"/>
    <w:rsid w:val="00C10247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C10247"/>
    <w:rPr>
      <w:sz w:val="22"/>
    </w:rPr>
  </w:style>
  <w:style w:type="paragraph" w:styleId="Footer">
    <w:name w:val="footer"/>
    <w:link w:val="FooterChar"/>
    <w:unhideWhenUsed/>
    <w:rsid w:val="00C1024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C10247"/>
    <w:rPr>
      <w:sz w:val="24"/>
      <w:lang w:val="pl-PL"/>
    </w:rPr>
  </w:style>
  <w:style w:type="paragraph" w:styleId="BalloonText">
    <w:name w:val="Balloon Text"/>
    <w:basedOn w:val="Normal"/>
    <w:link w:val="BalloonTextChar"/>
    <w:unhideWhenUsed/>
    <w:rsid w:val="00C102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0247"/>
    <w:rPr>
      <w:rFonts w:ascii="Segoe UI" w:hAnsi="Segoe UI" w:cs="Segoe UI"/>
      <w:sz w:val="18"/>
      <w:szCs w:val="18"/>
      <w:lang w:val="pl-PL"/>
    </w:rPr>
  </w:style>
  <w:style w:type="paragraph" w:customStyle="1" w:styleId="AMNumberTabs0">
    <w:name w:val="AMNumberTabs"/>
    <w:basedOn w:val="Normal"/>
    <w:rsid w:val="00C102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C10247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C1024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C1024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1024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1024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1024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1024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1024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1024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10247"/>
    <w:pPr>
      <w:spacing w:after="120"/>
    </w:pPr>
  </w:style>
  <w:style w:type="paragraph" w:customStyle="1" w:styleId="Normal12Italic">
    <w:name w:val="Normal12Italic"/>
    <w:basedOn w:val="Normal12"/>
    <w:rsid w:val="00C10247"/>
    <w:rPr>
      <w:i/>
    </w:rPr>
  </w:style>
  <w:style w:type="paragraph" w:customStyle="1" w:styleId="JustificationTitle">
    <w:name w:val="JustificationTitle"/>
    <w:basedOn w:val="Normal"/>
    <w:next w:val="Normal12"/>
    <w:rsid w:val="00C1024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1024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10247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C1024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1024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C10247"/>
    <w:pPr>
      <w:spacing w:after="480"/>
    </w:pPr>
  </w:style>
  <w:style w:type="paragraph" w:customStyle="1" w:styleId="NormalBoldCenter">
    <w:name w:val="NormalBoldCenter"/>
    <w:basedOn w:val="Normal"/>
    <w:rsid w:val="00C10247"/>
    <w:pPr>
      <w:jc w:val="center"/>
    </w:pPr>
    <w:rPr>
      <w:b/>
    </w:rPr>
  </w:style>
  <w:style w:type="paragraph" w:customStyle="1" w:styleId="Footprint12b">
    <w:name w:val="Footprint12b"/>
    <w:basedOn w:val="Normal"/>
    <w:rsid w:val="00C1024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10247"/>
    <w:rPr>
      <w:szCs w:val="24"/>
    </w:rPr>
  </w:style>
  <w:style w:type="paragraph" w:customStyle="1" w:styleId="EntPE">
    <w:name w:val="EntPE"/>
    <w:basedOn w:val="Normal12"/>
    <w:rsid w:val="00C10247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C1024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10247"/>
    <w:rPr>
      <w:sz w:val="24"/>
      <w:lang w:val="pl-PL"/>
    </w:rPr>
  </w:style>
  <w:style w:type="character" w:styleId="CommentReference">
    <w:name w:val="annotation reference"/>
    <w:basedOn w:val="DefaultParagraphFont"/>
    <w:rsid w:val="00C102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24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0247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102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247"/>
    <w:rPr>
      <w:b/>
      <w:bCs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C10247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C1024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024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024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0247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2026-10-20T12:16:00Z</dcterms:created>
  <dcterms:modified xsi:type="dcterms:W3CDTF">2026-10-20T12:16:00Z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P10_TA(2026)0211_</vt:lpwstr>
  </property>
  <property fmtid="{D5CDD505-2E9C-101B-9397-08002B2CF9AE}" pid="4" name="&lt;Type&gt;">
    <vt:lpwstr>RR</vt:lpwstr>
  </property>
</Properties>
</file>