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FEEEB60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56458" w:rsidP="0010095E" w14:paraId="47C30E9E" w14:textId="77777777">
            <w:pPr>
              <w:pStyle w:val="EPName"/>
            </w:pPr>
            <w:r w:rsidRPr="00056458">
              <w:t xml:space="preserve">Parlamento </w:t>
            </w:r>
            <w:r w:rsidRPr="00056458">
              <w:t>Europeu</w:t>
            </w:r>
          </w:p>
          <w:p w:rsidR="00751A4A" w:rsidRPr="00056458" w:rsidP="005F1B17" w14:paraId="211495F9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56458">
              <w:t>2024</w:t>
            </w:r>
            <w:r w:rsidRPr="00056458" w:rsidR="00817416">
              <w:t>-202</w:t>
            </w:r>
            <w:r w:rsidRPr="0005645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56458" w:rsidP="0010095E" w14:paraId="2DCA2B61" w14:textId="77777777">
            <w:pPr>
              <w:pStyle w:val="EPLogo"/>
            </w:pPr>
            <w:r w:rsidRPr="00056458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56458" w:rsidP="004C5D52" w14:paraId="4BC8921F" w14:textId="77777777">
      <w:pPr>
        <w:pStyle w:val="LineTop"/>
      </w:pPr>
    </w:p>
    <w:p w:rsidR="00680577" w:rsidRPr="00056458" w:rsidP="00680577" w14:paraId="689A9DB4" w14:textId="77777777">
      <w:pPr>
        <w:pStyle w:val="EPBodyTA1"/>
      </w:pPr>
      <w:r w:rsidRPr="00056458">
        <w:t>TEXTOS APROVADOS</w:t>
      </w:r>
    </w:p>
    <w:p w:rsidR="00D058B8" w:rsidRPr="00056458" w:rsidP="00D058B8" w14:paraId="0EA0F88E" w14:textId="77777777">
      <w:pPr>
        <w:pStyle w:val="LineBottom"/>
      </w:pPr>
    </w:p>
    <w:p w:rsidR="000A5A8A" w:rsidRPr="00056458" w:rsidP="000A5A8A" w14:paraId="506C2438" w14:textId="278D8080">
      <w:pPr>
        <w:pStyle w:val="ATHeading1"/>
      </w:pPr>
      <w:bookmarkStart w:id="0" w:name="TANumber"/>
      <w:r w:rsidRPr="00056458">
        <w:t>P10_TA(2026)0</w:t>
      </w:r>
      <w:r w:rsidR="00ED4501">
        <w:t>211</w:t>
      </w:r>
      <w:bookmarkEnd w:id="0"/>
    </w:p>
    <w:p w:rsidR="000A5A8A" w:rsidRPr="00056458" w:rsidP="000A5A8A" w14:paraId="5FB660DE" w14:textId="77777777">
      <w:pPr>
        <w:pStyle w:val="ATHeading2"/>
      </w:pPr>
      <w:bookmarkStart w:id="1" w:name="title"/>
      <w:r w:rsidRPr="00056458">
        <w:t>Estrutura e taxas dos impostos especiais sobre o consumo de tabaco e produtos relacionados com o tabaco (reformulação)</w:t>
      </w:r>
      <w:bookmarkEnd w:id="1"/>
    </w:p>
    <w:p w:rsidR="000A5A8A" w:rsidRPr="00056458" w:rsidP="000A5A8A" w14:paraId="72AF0D65" w14:textId="77777777">
      <w:pPr>
        <w:rPr>
          <w:i/>
          <w:vanish/>
        </w:rPr>
      </w:pPr>
      <w:r>
        <w:rPr>
          <w:i/>
        </w:rPr>
        <w:fldChar w:fldCharType="begin"/>
      </w:r>
      <w:r w:rsidRPr="00056458">
        <w:rPr>
          <w:i/>
        </w:rPr>
        <w:instrText xml:space="preserve"> TC"(</w:instrText>
      </w:r>
      <w:bookmarkStart w:id="2" w:name="DocNumber"/>
      <w:r w:rsidRPr="00056458">
        <w:rPr>
          <w:i/>
        </w:rPr>
        <w:instrText>A10-0161/2026</w:instrText>
      </w:r>
      <w:bookmarkEnd w:id="2"/>
      <w:r w:rsidRPr="00056458">
        <w:rPr>
          <w:i/>
        </w:rPr>
        <w:instrText xml:space="preserve"> - Relator: </w:instrText>
      </w:r>
      <w:r w:rsidRPr="00056458">
        <w:rPr>
          <w:i/>
        </w:rPr>
        <w:instrText>Tomáš</w:instrText>
      </w:r>
      <w:r w:rsidRPr="00056458">
        <w:rPr>
          <w:i/>
        </w:rPr>
        <w:instrText xml:space="preserve"> </w:instrText>
      </w:r>
      <w:r w:rsidRPr="00056458">
        <w:rPr>
          <w:i/>
        </w:rPr>
        <w:instrText>Kubín</w:instrText>
      </w:r>
      <w:r w:rsidRPr="00056458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0A5A8A" w:rsidRPr="00056458" w:rsidP="000A5A8A" w14:paraId="40A1D959" w14:textId="77777777">
      <w:pPr>
        <w:rPr>
          <w:vanish/>
        </w:rPr>
      </w:pPr>
      <w:bookmarkStart w:id="3" w:name="Commission"/>
      <w:r w:rsidRPr="00056458">
        <w:rPr>
          <w:vanish/>
        </w:rPr>
        <w:t>Comissão dos Assuntos Económicos e Monetários</w:t>
      </w:r>
      <w:bookmarkEnd w:id="3"/>
    </w:p>
    <w:p w:rsidR="000A5A8A" w:rsidRPr="00056458" w:rsidP="000A5A8A" w14:paraId="1C1BF656" w14:textId="77777777">
      <w:pPr>
        <w:rPr>
          <w:vanish/>
        </w:rPr>
      </w:pPr>
      <w:bookmarkStart w:id="4" w:name="PE"/>
      <w:r w:rsidRPr="00056458">
        <w:rPr>
          <w:vanish/>
        </w:rPr>
        <w:t>PE784.398</w:t>
      </w:r>
      <w:bookmarkEnd w:id="4"/>
    </w:p>
    <w:p w:rsidR="000A5A8A" w:rsidRPr="00056458" w:rsidP="000A5A8A" w14:paraId="05043213" w14:textId="1C1B5A74">
      <w:pPr>
        <w:pStyle w:val="ATHeading3"/>
      </w:pPr>
      <w:bookmarkStart w:id="5" w:name="Sujet"/>
      <w:r w:rsidRPr="00056458">
        <w:t xml:space="preserve">Resolução legislativa do Parlamento Europeu, de </w:t>
      </w:r>
      <w:r w:rsidR="00056458">
        <w:t>17</w:t>
      </w:r>
      <w:r w:rsidRPr="00056458">
        <w:t xml:space="preserve"> de </w:t>
      </w:r>
      <w:r w:rsidR="00056458">
        <w:t>junho</w:t>
      </w:r>
      <w:r w:rsidRPr="00056458">
        <w:t xml:space="preserve"> de 2026, sobre a proposta de diretiva do Conselho relativa à estrutura e taxas dos impostos especiais sobre o consumo de tabaco e produtos relacionados com o tabaco (reformulação)</w:t>
      </w:r>
      <w:bookmarkEnd w:id="5"/>
      <w:r w:rsidRPr="00056458">
        <w:t xml:space="preserve"> </w:t>
      </w:r>
      <w:bookmarkStart w:id="6" w:name="References"/>
      <w:r w:rsidRPr="00056458">
        <w:t>(COM(2025)0580 – C10-0207/2025 – 2025/0580(CNS))</w:t>
      </w:r>
      <w:bookmarkEnd w:id="6"/>
    </w:p>
    <w:p w:rsidR="00C77A60" w:rsidRPr="00056458" w:rsidP="00C77A60" w14:paraId="18EDE104" w14:textId="6FFD0035">
      <w:pPr>
        <w:pStyle w:val="NormalBold"/>
      </w:pPr>
      <w:r w:rsidRPr="00056458">
        <w:t xml:space="preserve">(Processo legislativo especial </w:t>
      </w:r>
      <w:r w:rsidR="00C93C35">
        <w:t>–</w:t>
      </w:r>
      <w:r w:rsidRPr="00056458" w:rsidR="00C93C35">
        <w:t xml:space="preserve"> </w:t>
      </w:r>
      <w:r w:rsidRPr="00056458">
        <w:t xml:space="preserve">consulta </w:t>
      </w:r>
      <w:r w:rsidR="00C93C35">
        <w:t>–</w:t>
      </w:r>
      <w:r w:rsidRPr="00056458" w:rsidR="00C93C35">
        <w:t xml:space="preserve"> </w:t>
      </w:r>
      <w:r w:rsidRPr="00056458">
        <w:t>reformulação)</w:t>
      </w:r>
    </w:p>
    <w:p w:rsidR="00C77A60" w:rsidRPr="00056458" w:rsidP="00C77A60" w14:paraId="78DE0D73" w14:textId="77777777">
      <w:pPr>
        <w:pStyle w:val="EPComma"/>
      </w:pPr>
      <w:r w:rsidRPr="00056458">
        <w:rPr>
          <w:i/>
        </w:rPr>
        <w:t>O Parlamento Europeu</w:t>
      </w:r>
      <w:r w:rsidRPr="00056458">
        <w:t>,</w:t>
      </w:r>
    </w:p>
    <w:p w:rsidR="00C77A60" w:rsidRPr="00056458" w:rsidP="00C77A60" w14:paraId="79B6DB0D" w14:textId="77777777">
      <w:pPr>
        <w:pStyle w:val="NormalHanging12a"/>
      </w:pPr>
      <w:r w:rsidRPr="00056458">
        <w:t>–</w:t>
      </w:r>
      <w:r w:rsidRPr="00056458">
        <w:tab/>
        <w:t>Tendo em conta a proposta da Comissão ao Conselho (COM(2025)0580),</w:t>
      </w:r>
    </w:p>
    <w:p w:rsidR="00C77A60" w:rsidRPr="00056458" w:rsidP="00C77A60" w14:paraId="76FE7FAD" w14:textId="77777777">
      <w:pPr>
        <w:pStyle w:val="NormalHanging12a"/>
      </w:pPr>
      <w:r w:rsidRPr="00056458">
        <w:t>–</w:t>
      </w:r>
      <w:r w:rsidRPr="00056458">
        <w:tab/>
        <w:t>Tendo em conta o artigo 113.º do Tratado sobre o Funcionamento da União Europeia, nos termos do qual foi consultado pelo Conselho (C10</w:t>
      </w:r>
      <w:r w:rsidRPr="00056458">
        <w:noBreakHyphen/>
        <w:t>0207/2025),</w:t>
      </w:r>
    </w:p>
    <w:p w:rsidR="00C77A60" w:rsidRPr="00056458" w:rsidP="00C77A60" w14:paraId="1C74F6BA" w14:textId="6E99168B">
      <w:pPr>
        <w:pStyle w:val="NormalHanging12a"/>
      </w:pPr>
      <w:r w:rsidRPr="00056458">
        <w:t>–</w:t>
      </w:r>
      <w:r w:rsidRPr="00056458">
        <w:tab/>
        <w:t>Tendo em conta o parecer fundamentado apresentado pela Câmara dos Deputados italiana, no âmbito do Protocolo n.º 2 relativo à aplicação dos princípios da subsidiariedade e da proporcionalidade, segundo o qual o projeto de ato legislativo não respeita o princípio da subsidiariedade,</w:t>
      </w:r>
    </w:p>
    <w:p w:rsidR="00C77A60" w:rsidRPr="00056458" w:rsidP="00C77A60" w14:paraId="4E2A002E" w14:textId="77777777">
      <w:pPr>
        <w:pStyle w:val="NormalHanging12a"/>
      </w:pPr>
      <w:r w:rsidRPr="00056458">
        <w:t>–</w:t>
      </w:r>
      <w:r w:rsidRPr="00056458">
        <w:tab/>
        <w:t>Tendo em conta o Acordo Interinstitucional, de 28 de novembro de 2001, para um recurso mais estruturado à técnica de reformulação dos atos jurídicos</w:t>
      </w:r>
      <w:r>
        <w:rPr>
          <w:rStyle w:val="FootnoteReference"/>
        </w:rPr>
        <w:footnoteReference w:id="2"/>
      </w:r>
      <w:r w:rsidRPr="00056458">
        <w:t>,</w:t>
      </w:r>
    </w:p>
    <w:p w:rsidR="00C77A60" w:rsidRPr="00056458" w:rsidP="00C77A60" w14:paraId="3C55D0E8" w14:textId="77777777">
      <w:pPr>
        <w:pStyle w:val="NormalHanging12a"/>
      </w:pPr>
      <w:r w:rsidRPr="00056458">
        <w:t>–</w:t>
      </w:r>
      <w:r w:rsidRPr="00056458">
        <w:tab/>
        <w:t>Tendo em conta a carta que, em 11 de dezembro de 2025, a Comissão dos Assuntos Jurídicos endereçou à Comissão dos Assuntos Económicos e Monetários, nos termos do artigo 113.º, n.º 3, do seu Regimento,</w:t>
      </w:r>
    </w:p>
    <w:p w:rsidR="00C77A60" w:rsidRPr="00056458" w:rsidP="00C77A60" w14:paraId="433C3936" w14:textId="77777777">
      <w:pPr>
        <w:pStyle w:val="NormalHanging12a"/>
      </w:pPr>
      <w:r w:rsidRPr="00056458">
        <w:t>–</w:t>
      </w:r>
      <w:r w:rsidRPr="00056458">
        <w:tab/>
        <w:t>Tendo em conta os artigos 113.º e 84.º do seu Regimento,</w:t>
      </w:r>
    </w:p>
    <w:p w:rsidR="00C77A60" w:rsidRPr="00056458" w:rsidP="00C77A60" w14:paraId="786B99CA" w14:textId="77777777">
      <w:pPr>
        <w:pStyle w:val="NormalHanging12a"/>
      </w:pPr>
      <w:r w:rsidRPr="00056458">
        <w:t>–</w:t>
      </w:r>
      <w:r w:rsidRPr="00056458">
        <w:tab/>
        <w:t>Tendo em conta o relatório da Comissão dos Assuntos Económicos e Monetários (A10</w:t>
      </w:r>
      <w:r w:rsidRPr="00056458">
        <w:noBreakHyphen/>
        <w:t>0161/2026),</w:t>
      </w:r>
    </w:p>
    <w:p w:rsidR="00C77A60" w:rsidRPr="00056458" w:rsidP="00C77A60" w14:paraId="0A0DB84B" w14:textId="617EB952">
      <w:pPr>
        <w:pStyle w:val="NormalHanging12a"/>
      </w:pPr>
      <w:r w:rsidRPr="00056458">
        <w:t>1.</w:t>
      </w:r>
      <w:r w:rsidRPr="00056458">
        <w:tab/>
      </w:r>
      <w:r w:rsidR="00970E02">
        <w:t>Rejeita</w:t>
      </w:r>
      <w:r w:rsidRPr="00056458" w:rsidR="00970E02">
        <w:t xml:space="preserve"> </w:t>
      </w:r>
      <w:r w:rsidRPr="00056458">
        <w:t>a proposta da Comissão;</w:t>
      </w:r>
    </w:p>
    <w:p w:rsidR="00C77A60" w:rsidRPr="00056458" w:rsidP="00C77A60" w14:paraId="4B63D17D" w14:textId="55985C86">
      <w:pPr>
        <w:pStyle w:val="NormalHanging12a"/>
      </w:pPr>
      <w:r w:rsidRPr="00056458">
        <w:t>2.</w:t>
      </w:r>
      <w:r w:rsidRPr="00056458">
        <w:tab/>
        <w:t>Convida a Comissão a</w:t>
      </w:r>
      <w:r w:rsidRPr="00CD286F" w:rsidR="00CD286F">
        <w:rPr>
          <w:szCs w:val="24"/>
        </w:rPr>
        <w:t xml:space="preserve"> </w:t>
      </w:r>
      <w:r w:rsidRPr="004C2FEA" w:rsidR="00CD286F">
        <w:rPr>
          <w:szCs w:val="24"/>
        </w:rPr>
        <w:t>retirar a sua proposta</w:t>
      </w:r>
      <w:r w:rsidRPr="00056458">
        <w:t>;</w:t>
      </w:r>
    </w:p>
    <w:p w:rsidR="00C77A60" w:rsidRPr="00056458" w:rsidP="00970E02" w14:paraId="624C56EF" w14:textId="4FAFD531">
      <w:pPr>
        <w:pStyle w:val="NormalHanging12a"/>
      </w:pPr>
      <w:r w:rsidRPr="00056458">
        <w:t>3.</w:t>
      </w:r>
      <w:r w:rsidRPr="00056458">
        <w:tab/>
        <w:t>Encarrega a sua Presidente de transmitir a posição do Parlamento ao Conselho, à Comissão e aos parlamentos nacionais.</w:t>
      </w:r>
    </w:p>
    <w:p w:rsidR="00C77A60" w:rsidRPr="00056458" w:rsidP="00C77A60" w14:paraId="25B00AFB" w14:textId="77777777"/>
    <w:p w:rsidR="00E365E1" w:rsidRPr="00056458" w:rsidP="000A5A8A" w14:paraId="162FB928" w14:textId="5743E30F"/>
    <w:sectPr w:rsidSect="006272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272F1" w14:paraId="56AE1599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272F1" w14:paraId="04DE9408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272F1" w14:paraId="3A0C7709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0A5A8A" w:rsidRPr="006272F1" w14:paraId="1B63C119" w14:textId="77777777">
      <w:r w:rsidRPr="006272F1">
        <w:separator/>
      </w:r>
    </w:p>
  </w:footnote>
  <w:footnote w:type="continuationSeparator" w:id="1">
    <w:p w:rsidR="000A5A8A" w:rsidRPr="006272F1" w14:paraId="07782B62" w14:textId="77777777">
      <w:r w:rsidRPr="006272F1">
        <w:continuationSeparator/>
      </w:r>
    </w:p>
  </w:footnote>
  <w:footnote w:id="2">
    <w:p w:rsidR="00C77A60" w:rsidRPr="006272F1" w:rsidP="006272F1" w14:paraId="0532F516" w14:textId="46745A48">
      <w:pPr>
        <w:pStyle w:val="FootnoteText"/>
        <w:ind w:left="567" w:hanging="567"/>
        <w:rPr>
          <w:sz w:val="24"/>
          <w:lang w:val="pt-PT"/>
        </w:rPr>
      </w:pPr>
      <w:r w:rsidRPr="006272F1">
        <w:rPr>
          <w:rStyle w:val="FootnoteReference"/>
          <w:sz w:val="24"/>
          <w:lang w:val="pt-PT"/>
        </w:rPr>
        <w:footnoteRef/>
      </w:r>
      <w:r w:rsidRPr="006272F1" w:rsidR="006272F1">
        <w:rPr>
          <w:sz w:val="24"/>
          <w:lang w:val="pt-PT"/>
        </w:rPr>
        <w:t xml:space="preserve"> </w:t>
      </w:r>
      <w:r w:rsidRPr="006272F1" w:rsidR="006272F1">
        <w:rPr>
          <w:sz w:val="24"/>
          <w:lang w:val="pt-PT"/>
        </w:rPr>
        <w:tab/>
      </w:r>
      <w:r w:rsidRPr="006272F1">
        <w:rPr>
          <w:sz w:val="24"/>
          <w:lang w:val="pt-PT"/>
        </w:rPr>
        <w:t>JO C 77 de 28.3.2002, p.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272F1" w14:paraId="3D25E8D5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272F1" w14:paraId="357B4C4F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272F1" w14:paraId="129FB44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6125195">
    <w:abstractNumId w:val="9"/>
  </w:num>
  <w:num w:numId="2" w16cid:durableId="649602462">
    <w:abstractNumId w:val="9"/>
  </w:num>
  <w:num w:numId="3" w16cid:durableId="1835220768">
    <w:abstractNumId w:val="7"/>
  </w:num>
  <w:num w:numId="4" w16cid:durableId="1678464823">
    <w:abstractNumId w:val="7"/>
  </w:num>
  <w:num w:numId="5" w16cid:durableId="362680397">
    <w:abstractNumId w:val="6"/>
  </w:num>
  <w:num w:numId="6" w16cid:durableId="813058527">
    <w:abstractNumId w:val="6"/>
  </w:num>
  <w:num w:numId="7" w16cid:durableId="632449259">
    <w:abstractNumId w:val="5"/>
  </w:num>
  <w:num w:numId="8" w16cid:durableId="1038167238">
    <w:abstractNumId w:val="5"/>
  </w:num>
  <w:num w:numId="9" w16cid:durableId="1674407069">
    <w:abstractNumId w:val="4"/>
  </w:num>
  <w:num w:numId="10" w16cid:durableId="1315448143">
    <w:abstractNumId w:val="4"/>
  </w:num>
  <w:num w:numId="11" w16cid:durableId="2112624503">
    <w:abstractNumId w:val="8"/>
  </w:num>
  <w:num w:numId="12" w16cid:durableId="2039504840">
    <w:abstractNumId w:val="8"/>
  </w:num>
  <w:num w:numId="13" w16cid:durableId="424494438">
    <w:abstractNumId w:val="3"/>
  </w:num>
  <w:num w:numId="14" w16cid:durableId="1461991487">
    <w:abstractNumId w:val="3"/>
  </w:num>
  <w:num w:numId="15" w16cid:durableId="1871603014">
    <w:abstractNumId w:val="2"/>
  </w:num>
  <w:num w:numId="16" w16cid:durableId="1785539410">
    <w:abstractNumId w:val="2"/>
  </w:num>
  <w:num w:numId="17" w16cid:durableId="1014188051">
    <w:abstractNumId w:val="1"/>
  </w:num>
  <w:num w:numId="18" w16cid:durableId="1454514739">
    <w:abstractNumId w:val="1"/>
  </w:num>
  <w:num w:numId="19" w16cid:durableId="1323925427">
    <w:abstractNumId w:val="0"/>
  </w:num>
  <w:num w:numId="20" w16cid:durableId="746147076">
    <w:abstractNumId w:val="0"/>
  </w:num>
  <w:num w:numId="21" w16cid:durableId="402072187">
    <w:abstractNumId w:val="9"/>
  </w:num>
  <w:num w:numId="22" w16cid:durableId="189952225">
    <w:abstractNumId w:val="7"/>
  </w:num>
  <w:num w:numId="23" w16cid:durableId="476529080">
    <w:abstractNumId w:val="6"/>
  </w:num>
  <w:num w:numId="24" w16cid:durableId="297495798">
    <w:abstractNumId w:val="5"/>
  </w:num>
  <w:num w:numId="25" w16cid:durableId="2029527171">
    <w:abstractNumId w:val="4"/>
  </w:num>
  <w:num w:numId="26" w16cid:durableId="1563177086">
    <w:abstractNumId w:val="8"/>
  </w:num>
  <w:num w:numId="27" w16cid:durableId="1755086101">
    <w:abstractNumId w:val="3"/>
  </w:num>
  <w:num w:numId="28" w16cid:durableId="583687375">
    <w:abstractNumId w:val="2"/>
  </w:num>
  <w:num w:numId="29" w16cid:durableId="606890361">
    <w:abstractNumId w:val="1"/>
  </w:num>
  <w:num w:numId="30" w16cid:durableId="700085736">
    <w:abstractNumId w:val="0"/>
  </w:num>
  <w:num w:numId="31" w16cid:durableId="303782912">
    <w:abstractNumId w:val="9"/>
  </w:num>
  <w:num w:numId="32" w16cid:durableId="255602511">
    <w:abstractNumId w:val="7"/>
  </w:num>
  <w:num w:numId="33" w16cid:durableId="1473982503">
    <w:abstractNumId w:val="6"/>
  </w:num>
  <w:num w:numId="34" w16cid:durableId="48456181">
    <w:abstractNumId w:val="5"/>
  </w:num>
  <w:num w:numId="35" w16cid:durableId="950161083">
    <w:abstractNumId w:val="4"/>
  </w:num>
  <w:num w:numId="36" w16cid:durableId="1286237072">
    <w:abstractNumId w:val="8"/>
  </w:num>
  <w:num w:numId="37" w16cid:durableId="72823205">
    <w:abstractNumId w:val="3"/>
  </w:num>
  <w:num w:numId="38" w16cid:durableId="654066446">
    <w:abstractNumId w:val="2"/>
  </w:num>
  <w:num w:numId="39" w16cid:durableId="616059241">
    <w:abstractNumId w:val="1"/>
  </w:num>
  <w:num w:numId="40" w16cid:durableId="1030641128">
    <w:abstractNumId w:val="0"/>
  </w:num>
  <w:num w:numId="41" w16cid:durableId="1044868146">
    <w:abstractNumId w:val="10"/>
  </w:num>
  <w:num w:numId="42" w16cid:durableId="1619527136">
    <w:abstractNumId w:val="10"/>
  </w:num>
  <w:num w:numId="43" w16cid:durableId="1829511464">
    <w:abstractNumId w:val="10"/>
  </w:num>
  <w:num w:numId="44" w16cid:durableId="11107049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A8A"/>
    <w:rsid w:val="00002272"/>
    <w:rsid w:val="00056458"/>
    <w:rsid w:val="00060F49"/>
    <w:rsid w:val="00064002"/>
    <w:rsid w:val="000677B9"/>
    <w:rsid w:val="000831BA"/>
    <w:rsid w:val="000A42CC"/>
    <w:rsid w:val="000A5A8A"/>
    <w:rsid w:val="000E4EB5"/>
    <w:rsid w:val="000E7DD9"/>
    <w:rsid w:val="0010095E"/>
    <w:rsid w:val="00125B37"/>
    <w:rsid w:val="00187494"/>
    <w:rsid w:val="001D4C59"/>
    <w:rsid w:val="001F32AE"/>
    <w:rsid w:val="002767FF"/>
    <w:rsid w:val="002B18FE"/>
    <w:rsid w:val="002B5493"/>
    <w:rsid w:val="002D7495"/>
    <w:rsid w:val="00343214"/>
    <w:rsid w:val="00361C00"/>
    <w:rsid w:val="00365E6D"/>
    <w:rsid w:val="00395FA1"/>
    <w:rsid w:val="003E15D4"/>
    <w:rsid w:val="00411CCE"/>
    <w:rsid w:val="0041666E"/>
    <w:rsid w:val="00421060"/>
    <w:rsid w:val="00446F22"/>
    <w:rsid w:val="00471C19"/>
    <w:rsid w:val="004867E3"/>
    <w:rsid w:val="00494A28"/>
    <w:rsid w:val="004C0004"/>
    <w:rsid w:val="004C2FEA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72F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7288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0E02"/>
    <w:rsid w:val="00981893"/>
    <w:rsid w:val="00A1687D"/>
    <w:rsid w:val="00A43E52"/>
    <w:rsid w:val="00A4678D"/>
    <w:rsid w:val="00A70079"/>
    <w:rsid w:val="00A778C7"/>
    <w:rsid w:val="00AA2CA7"/>
    <w:rsid w:val="00AB441E"/>
    <w:rsid w:val="00AB6293"/>
    <w:rsid w:val="00AB6B81"/>
    <w:rsid w:val="00AE0928"/>
    <w:rsid w:val="00AF3B82"/>
    <w:rsid w:val="00B12E95"/>
    <w:rsid w:val="00B22876"/>
    <w:rsid w:val="00B36A20"/>
    <w:rsid w:val="00B558F0"/>
    <w:rsid w:val="00BD48FE"/>
    <w:rsid w:val="00BD7BD8"/>
    <w:rsid w:val="00BE6ADC"/>
    <w:rsid w:val="00C05BFE"/>
    <w:rsid w:val="00C23CD4"/>
    <w:rsid w:val="00C61C0C"/>
    <w:rsid w:val="00C77A60"/>
    <w:rsid w:val="00C93C35"/>
    <w:rsid w:val="00C941CB"/>
    <w:rsid w:val="00CC2357"/>
    <w:rsid w:val="00CD286F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4501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61/2026"/>
    <w:docVar w:name="dvlangue" w:val="PT"/>
    <w:docVar w:name="dvnumam" w:val="87"/>
    <w:docVar w:name="dvpe" w:val="784.398"/>
    <w:docVar w:name="dvrapporteur" w:val="Relator: "/>
    <w:docVar w:name="dvstar" w:val="*"/>
    <w:docVar w:name="dvtitre" w:val="Resolução legislativa do Parlamento Europeu, de ... de ... de 2026,&#13;_x000a_ sobre a proposta de diretiva do Conselho relativa à estrutura e taxas dos impostos especiais sobre o consumo de tabaco e produtos relacionados com o tabaco (reformulação)(COM(2025)0580 – C10-0207/2025 – 2025/0580(CNS))"/>
    <w:docVar w:name="strDocTypeID" w:val="NONE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0E3BC9C"/>
  <w15:chartTrackingRefBased/>
  <w15:docId w15:val="{C04D4A91-FA59-4944-9994-FD9ABF63C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qFormat="1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C77A6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C77A6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C77A6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C77A6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C77A6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C77A60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semiHidden/>
    <w:rsid w:val="00C77A60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C77A60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C77A60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nhideWhenUsed/>
    <w:qFormat/>
    <w:rsid w:val="00C77A60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rsid w:val="00C77A6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C77A6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C77A60"/>
    <w:pPr>
      <w:spacing w:after="240"/>
    </w:pPr>
  </w:style>
  <w:style w:type="paragraph" w:customStyle="1" w:styleId="TOCPage">
    <w:name w:val="TOC Page"/>
    <w:basedOn w:val="Normal"/>
    <w:next w:val="TOC1"/>
    <w:rsid w:val="00C77A60"/>
    <w:pPr>
      <w:keepNext/>
      <w:spacing w:after="240"/>
      <w:jc w:val="right"/>
    </w:pPr>
    <w:rPr>
      <w:rFonts w:ascii="Arial" w:hAnsi="Arial"/>
      <w:b/>
    </w:rPr>
  </w:style>
  <w:style w:type="paragraph" w:customStyle="1" w:styleId="NormalBold12a">
    <w:name w:val="NormalBold12a"/>
    <w:basedOn w:val="Normal"/>
    <w:rsid w:val="00C77A60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C77A60"/>
    <w:pPr>
      <w:spacing w:after="240"/>
      <w:ind w:left="567" w:hanging="567"/>
    </w:pPr>
  </w:style>
  <w:style w:type="paragraph" w:customStyle="1" w:styleId="Normal6a">
    <w:name w:val="Normal6a"/>
    <w:basedOn w:val="Normal"/>
    <w:rsid w:val="00C77A60"/>
    <w:pPr>
      <w:spacing w:after="120"/>
    </w:pPr>
  </w:style>
  <w:style w:type="paragraph" w:customStyle="1" w:styleId="CoverNormal24a">
    <w:name w:val="CoverNormal24a"/>
    <w:basedOn w:val="Normal"/>
    <w:rsid w:val="00C77A60"/>
    <w:pPr>
      <w:spacing w:after="480"/>
      <w:ind w:left="1417"/>
    </w:pPr>
  </w:style>
  <w:style w:type="paragraph" w:customStyle="1" w:styleId="CoverNormal">
    <w:name w:val="CoverNormal"/>
    <w:basedOn w:val="Normal"/>
    <w:rsid w:val="00C77A60"/>
    <w:pPr>
      <w:ind w:left="1418"/>
    </w:pPr>
  </w:style>
  <w:style w:type="paragraph" w:customStyle="1" w:styleId="CoverReference">
    <w:name w:val="CoverReference"/>
    <w:basedOn w:val="Normal"/>
    <w:rsid w:val="00C77A60"/>
    <w:pPr>
      <w:spacing w:before="1080"/>
      <w:jc w:val="right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77A60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C77A60"/>
    <w:rPr>
      <w:b/>
      <w:sz w:val="24"/>
      <w:lang w:val="pt-PT"/>
    </w:rPr>
  </w:style>
  <w:style w:type="paragraph" w:customStyle="1" w:styleId="CoverDocType">
    <w:name w:val="CoverDocType"/>
    <w:basedOn w:val="Normal"/>
    <w:rsid w:val="00C77A6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77A6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77A60"/>
    <w:pPr>
      <w:spacing w:before="240" w:after="1200"/>
    </w:pPr>
  </w:style>
  <w:style w:type="paragraph" w:styleId="Header">
    <w:name w:val="header"/>
    <w:basedOn w:val="Normal"/>
    <w:link w:val="HeaderChar"/>
    <w:rsid w:val="00C77A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77A60"/>
    <w:rPr>
      <w:sz w:val="24"/>
      <w:lang w:val="pt-PT"/>
    </w:rPr>
  </w:style>
  <w:style w:type="paragraph" w:customStyle="1" w:styleId="AnnexWPLogo">
    <w:name w:val="AnnexWPLogo"/>
    <w:basedOn w:val="Normal"/>
    <w:rsid w:val="00C77A60"/>
    <w:pPr>
      <w:spacing w:before="120" w:after="120"/>
    </w:pPr>
  </w:style>
  <w:style w:type="paragraph" w:customStyle="1" w:styleId="AnnexWPTabs">
    <w:name w:val="AnnexWPTabs"/>
    <w:basedOn w:val="Normal"/>
    <w:rsid w:val="00C77A60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C77A60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C77A60"/>
    <w:rPr>
      <w:smallCaps/>
      <w:sz w:val="20"/>
    </w:rPr>
  </w:style>
  <w:style w:type="paragraph" w:customStyle="1" w:styleId="AnnexWPDocType">
    <w:name w:val="AnnexWPDocType"/>
    <w:basedOn w:val="Normal"/>
    <w:rsid w:val="00C77A60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C77A60"/>
    <w:pPr>
      <w:spacing w:before="480"/>
    </w:pPr>
    <w:rPr>
      <w:b/>
    </w:rPr>
  </w:style>
  <w:style w:type="paragraph" w:customStyle="1" w:styleId="AmJustText">
    <w:name w:val="AmJustText"/>
    <w:basedOn w:val="Normal"/>
    <w:rsid w:val="00C77A60"/>
    <w:pPr>
      <w:spacing w:after="240"/>
    </w:pPr>
    <w:rPr>
      <w:i/>
    </w:rPr>
  </w:style>
  <w:style w:type="paragraph" w:customStyle="1" w:styleId="AmCrossRef">
    <w:name w:val="AmCrossRef"/>
    <w:basedOn w:val="Normal"/>
    <w:rsid w:val="00C77A6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77A60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C77A6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77A6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77A6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77A60"/>
    <w:pPr>
      <w:spacing w:before="240"/>
    </w:pPr>
    <w:rPr>
      <w:b/>
    </w:rPr>
  </w:style>
  <w:style w:type="paragraph" w:customStyle="1" w:styleId="EPBody">
    <w:name w:val="EPBody"/>
    <w:basedOn w:val="Normal"/>
    <w:rsid w:val="00C77A6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77A6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77A60"/>
    <w:pPr>
      <w:spacing w:before="480" w:after="240"/>
    </w:pPr>
  </w:style>
  <w:style w:type="paragraph" w:customStyle="1" w:styleId="Lgendesigne">
    <w:name w:val="Légende signe"/>
    <w:basedOn w:val="Normal"/>
    <w:rsid w:val="00C77A6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77A6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77A60"/>
    <w:rPr>
      <w:sz w:val="18"/>
    </w:rPr>
  </w:style>
  <w:style w:type="paragraph" w:customStyle="1" w:styleId="LetterDate">
    <w:name w:val="LetterDate"/>
    <w:basedOn w:val="Normal"/>
    <w:rsid w:val="00C77A60"/>
    <w:pPr>
      <w:spacing w:before="720" w:after="240"/>
    </w:pPr>
  </w:style>
  <w:style w:type="paragraph" w:customStyle="1" w:styleId="LetterSalutation">
    <w:name w:val="LetterSalutation"/>
    <w:basedOn w:val="Normal"/>
    <w:rsid w:val="00C77A60"/>
    <w:pPr>
      <w:spacing w:before="600" w:after="360"/>
    </w:pPr>
  </w:style>
  <w:style w:type="paragraph" w:customStyle="1" w:styleId="LetterSubject">
    <w:name w:val="LetterSubject"/>
    <w:basedOn w:val="Normal"/>
    <w:rsid w:val="00C77A60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C77A60"/>
    <w:pPr>
      <w:spacing w:before="1320"/>
    </w:pPr>
  </w:style>
  <w:style w:type="paragraph" w:customStyle="1" w:styleId="msonormal">
    <w:name w:val="msonormal"/>
    <w:basedOn w:val="Normal"/>
    <w:rsid w:val="00C77A60"/>
    <w:pPr>
      <w:widowControl/>
      <w:spacing w:before="100" w:beforeAutospacing="1" w:after="100" w:afterAutospacing="1"/>
    </w:pPr>
    <w:rPr>
      <w:szCs w:val="24"/>
    </w:rPr>
  </w:style>
  <w:style w:type="character" w:customStyle="1" w:styleId="FooterChar">
    <w:name w:val="Footer Char"/>
    <w:basedOn w:val="DefaultParagraphFont"/>
    <w:link w:val="Footer"/>
    <w:rsid w:val="00C77A60"/>
    <w:rPr>
      <w:sz w:val="22"/>
    </w:rPr>
  </w:style>
  <w:style w:type="paragraph" w:styleId="Footer">
    <w:name w:val="footer"/>
    <w:link w:val="FooterChar"/>
    <w:unhideWhenUsed/>
    <w:rsid w:val="00C77A60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uiPriority w:val="99"/>
    <w:rsid w:val="00C77A60"/>
    <w:rPr>
      <w:sz w:val="24"/>
      <w:lang w:val="pt-PT"/>
    </w:rPr>
  </w:style>
  <w:style w:type="paragraph" w:styleId="BalloonText">
    <w:name w:val="Balloon Text"/>
    <w:basedOn w:val="Normal"/>
    <w:link w:val="BalloonTextChar"/>
    <w:unhideWhenUsed/>
    <w:rsid w:val="00C77A6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77A60"/>
    <w:rPr>
      <w:rFonts w:ascii="Segoe UI" w:hAnsi="Segoe UI" w:cs="Segoe UI"/>
      <w:sz w:val="18"/>
      <w:szCs w:val="18"/>
      <w:lang w:val="pt-PT"/>
    </w:rPr>
  </w:style>
  <w:style w:type="paragraph" w:customStyle="1" w:styleId="AMNumberTabs0">
    <w:name w:val="AMNumberTabs"/>
    <w:basedOn w:val="Normal"/>
    <w:rsid w:val="00C77A6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Left">
    <w:name w:val="Normal Left"/>
    <w:basedOn w:val="Normal"/>
    <w:rsid w:val="00C77A60"/>
    <w:pPr>
      <w:widowControl/>
      <w:spacing w:before="120" w:after="120"/>
    </w:pPr>
    <w:rPr>
      <w:rFonts w:eastAsia="Calibri"/>
      <w:szCs w:val="22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C77A60"/>
    <w:rPr>
      <w:noProof/>
      <w:sz w:val="24"/>
    </w:rPr>
  </w:style>
  <w:style w:type="paragraph" w:customStyle="1" w:styleId="Normal12">
    <w:name w:val="Normal12"/>
    <w:basedOn w:val="Normal"/>
    <w:link w:val="Normal12Char"/>
    <w:rsid w:val="00C77A60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C77A60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C77A60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C77A60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C77A60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C77A60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C77A60"/>
    <w:rPr>
      <w:sz w:val="24"/>
    </w:rPr>
  </w:style>
  <w:style w:type="paragraph" w:customStyle="1" w:styleId="Normal6">
    <w:name w:val="Normal6"/>
    <w:basedOn w:val="Normal"/>
    <w:link w:val="Normal6Char"/>
    <w:rsid w:val="00C77A60"/>
    <w:pPr>
      <w:spacing w:after="120"/>
    </w:pPr>
    <w:rPr>
      <w:lang w:val="en-GB"/>
    </w:rPr>
  </w:style>
  <w:style w:type="paragraph" w:customStyle="1" w:styleId="Normal12Italic">
    <w:name w:val="Normal12Italic"/>
    <w:basedOn w:val="Normal12"/>
    <w:rsid w:val="00C77A60"/>
    <w:rPr>
      <w:i/>
    </w:rPr>
  </w:style>
  <w:style w:type="paragraph" w:customStyle="1" w:styleId="JustificationTitle">
    <w:name w:val="JustificationTitle"/>
    <w:basedOn w:val="Normal"/>
    <w:next w:val="Normal12"/>
    <w:rsid w:val="00C77A60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C77A60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C77A60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C77A60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C77A60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Normal24a">
    <w:name w:val="Normal24a"/>
    <w:basedOn w:val="Normal"/>
    <w:rsid w:val="00C77A60"/>
    <w:pPr>
      <w:spacing w:after="480"/>
    </w:pPr>
  </w:style>
  <w:style w:type="paragraph" w:customStyle="1" w:styleId="NormalBoldCenter">
    <w:name w:val="NormalBoldCenter"/>
    <w:basedOn w:val="Normal"/>
    <w:rsid w:val="00C77A60"/>
    <w:pPr>
      <w:jc w:val="center"/>
    </w:pPr>
    <w:rPr>
      <w:b/>
    </w:rPr>
  </w:style>
  <w:style w:type="paragraph" w:customStyle="1" w:styleId="Footprint12b">
    <w:name w:val="Footprint12b"/>
    <w:basedOn w:val="Normal"/>
    <w:rsid w:val="00C77A60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C77A60"/>
    <w:rPr>
      <w:szCs w:val="24"/>
    </w:rPr>
  </w:style>
  <w:style w:type="paragraph" w:customStyle="1" w:styleId="EntPE">
    <w:name w:val="EntPE"/>
    <w:basedOn w:val="Normal12"/>
    <w:rsid w:val="00C77A60"/>
    <w:pPr>
      <w:jc w:val="center"/>
    </w:pPr>
    <w:rPr>
      <w:noProof w:val="0"/>
      <w:sz w:val="56"/>
    </w:rPr>
  </w:style>
  <w:style w:type="character" w:styleId="Hyperlink">
    <w:name w:val="Hyperlink"/>
    <w:basedOn w:val="DefaultParagraphFont"/>
    <w:unhideWhenUsed/>
    <w:rsid w:val="00C77A6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C77A60"/>
    <w:rPr>
      <w:sz w:val="24"/>
      <w:lang w:val="pt-PT"/>
    </w:rPr>
  </w:style>
  <w:style w:type="character" w:styleId="CommentReference">
    <w:name w:val="annotation reference"/>
    <w:basedOn w:val="DefaultParagraphFont"/>
    <w:rsid w:val="00C77A60"/>
    <w:rPr>
      <w:sz w:val="16"/>
      <w:szCs w:val="16"/>
    </w:rPr>
  </w:style>
  <w:style w:type="paragraph" w:styleId="CommentText">
    <w:name w:val="annotation text"/>
    <w:basedOn w:val="Normal"/>
    <w:link w:val="CommentTextChar"/>
    <w:rsid w:val="00C77A6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77A60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77A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77A60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C77A60"/>
    <w:rPr>
      <w:color w:val="605E5C"/>
      <w:shd w:val="clear" w:color="auto" w:fill="E1DFDD"/>
    </w:rPr>
  </w:style>
  <w:style w:type="paragraph" w:customStyle="1" w:styleId="RollCallVotes">
    <w:name w:val="RollCallVotes"/>
    <w:basedOn w:val="Normal"/>
    <w:rsid w:val="00C77A6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C77A6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C77A6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C77A60"/>
    <w:pPr>
      <w:spacing w:before="120" w:after="120"/>
    </w:pPr>
    <w:rPr>
      <w:snapToGrid w:val="0"/>
      <w:sz w:val="16"/>
      <w:lang w:eastAsia="en-US"/>
    </w:rPr>
  </w:style>
  <w:style w:type="character" w:styleId="FollowedHyperlink">
    <w:name w:val="FollowedHyperlink"/>
    <w:basedOn w:val="DefaultParagraphFont"/>
    <w:uiPriority w:val="99"/>
    <w:unhideWhenUsed/>
    <w:rsid w:val="00C77A6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2026-06-17T15:43:00Z</dcterms:created>
  <dcterms:modified xsi:type="dcterms:W3CDTF">2026-06-17T15:43:00Z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A10-0161/2026</vt:lpwstr>
  </property>
  <property fmtid="{D5CDD505-2E9C-101B-9397-08002B2CF9AE}" pid="4" name="&lt;Type&gt;">
    <vt:lpwstr>RR</vt:lpwstr>
  </property>
</Properties>
</file>