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109B53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E0ABE" w:rsidP="0010095E" w14:paraId="0F1D9474" w14:textId="77777777">
            <w:pPr>
              <w:pStyle w:val="EPName"/>
            </w:pPr>
            <w:r w:rsidRPr="00BE0ABE">
              <w:t>Parlamentul European</w:t>
            </w:r>
          </w:p>
          <w:p w:rsidR="00751A4A" w:rsidRPr="00BE0ABE" w:rsidP="005F1B17" w14:paraId="7CD4CDC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0ABE">
              <w:t>2024</w:t>
            </w:r>
            <w:r w:rsidRPr="00BE0ABE" w:rsidR="00817416">
              <w:t>-202</w:t>
            </w:r>
            <w:r w:rsidRPr="00BE0AB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E0ABE" w:rsidP="0010095E" w14:paraId="0AE72882" w14:textId="77777777">
            <w:pPr>
              <w:pStyle w:val="EPLogo"/>
            </w:pPr>
            <w:r w:rsidRPr="00BE0AB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E0ABE" w:rsidP="004C5D52" w14:paraId="4C796BA6" w14:textId="77777777">
      <w:pPr>
        <w:pStyle w:val="LineTop"/>
      </w:pPr>
    </w:p>
    <w:p w:rsidR="00680577" w:rsidRPr="00BE0ABE" w:rsidP="00680577" w14:paraId="69239E63" w14:textId="77777777">
      <w:pPr>
        <w:pStyle w:val="EPBodyTA1"/>
      </w:pPr>
      <w:r w:rsidRPr="00BE0ABE">
        <w:t>TEXTE ADOPTATE</w:t>
      </w:r>
    </w:p>
    <w:p w:rsidR="00D058B8" w:rsidRPr="00BE0ABE" w:rsidP="00D058B8" w14:paraId="16802910" w14:textId="77777777">
      <w:pPr>
        <w:pStyle w:val="LineBottom"/>
      </w:pPr>
    </w:p>
    <w:p w:rsidR="00AF7573" w:rsidRPr="00BE0ABE" w:rsidP="00AF7573" w14:paraId="4DB41045" w14:textId="0775F9DA">
      <w:pPr>
        <w:pStyle w:val="ATHeading1"/>
      </w:pPr>
      <w:bookmarkStart w:id="0" w:name="TANumber"/>
      <w:r w:rsidRPr="00BE0ABE">
        <w:t>P10_TA(2026)0</w:t>
      </w:r>
      <w:r w:rsidRPr="00BE0ABE" w:rsidR="00492C51">
        <w:t>211</w:t>
      </w:r>
      <w:bookmarkEnd w:id="0"/>
    </w:p>
    <w:p w:rsidR="00AF7573" w:rsidRPr="00BE0ABE" w:rsidP="00AF7573" w14:paraId="0FE10F85" w14:textId="3EC81E4A">
      <w:pPr>
        <w:pStyle w:val="ATHeading2"/>
      </w:pPr>
      <w:bookmarkStart w:id="1" w:name="title"/>
      <w:r w:rsidRPr="00BE0ABE">
        <w:t>Structura și ratele accizelor aplicate tutunului și produselor asimilate tutunului (reformare)</w:t>
      </w:r>
      <w:bookmarkEnd w:id="1"/>
    </w:p>
    <w:p w:rsidR="00AF7573" w:rsidRPr="00BE0ABE" w:rsidP="00AF7573" w14:paraId="481D1CBC" w14:textId="77777777">
      <w:pPr>
        <w:rPr>
          <w:i/>
          <w:vanish/>
        </w:rPr>
      </w:pPr>
      <w:r>
        <w:rPr>
          <w:i/>
        </w:rPr>
        <w:fldChar w:fldCharType="begin"/>
      </w:r>
      <w:r w:rsidRPr="00BE0ABE">
        <w:rPr>
          <w:i/>
        </w:rPr>
        <w:instrText xml:space="preserve"> TC"(</w:instrText>
      </w:r>
      <w:bookmarkStart w:id="2" w:name="DocNumber"/>
      <w:r w:rsidRPr="00BE0ABE">
        <w:rPr>
          <w:i/>
        </w:rPr>
        <w:instrText>A10-0161/2026</w:instrText>
      </w:r>
      <w:bookmarkEnd w:id="2"/>
      <w:r w:rsidRPr="00BE0ABE">
        <w:rPr>
          <w:i/>
        </w:rPr>
        <w:instrText xml:space="preserve"> - Raportor: </w:instrText>
      </w:r>
      <w:r w:rsidRPr="00BE0ABE">
        <w:rPr>
          <w:i/>
        </w:rPr>
        <w:instrText>Tomáš</w:instrText>
      </w:r>
      <w:r w:rsidRPr="00BE0ABE">
        <w:rPr>
          <w:i/>
        </w:rPr>
        <w:instrText xml:space="preserve"> </w:instrText>
      </w:r>
      <w:r w:rsidRPr="00BE0ABE">
        <w:rPr>
          <w:i/>
        </w:rPr>
        <w:instrText>Kubín</w:instrText>
      </w:r>
      <w:r w:rsidRPr="00BE0ABE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AF7573" w:rsidRPr="00BE0ABE" w:rsidP="00AF7573" w14:paraId="1FE433B6" w14:textId="77777777">
      <w:pPr>
        <w:rPr>
          <w:vanish/>
        </w:rPr>
      </w:pPr>
      <w:bookmarkStart w:id="3" w:name="Commission"/>
      <w:r w:rsidRPr="00BE0ABE">
        <w:rPr>
          <w:vanish/>
        </w:rPr>
        <w:t>Comisia pentru afaceri economice și monetare</w:t>
      </w:r>
      <w:bookmarkEnd w:id="3"/>
    </w:p>
    <w:p w:rsidR="00AF7573" w:rsidRPr="00BE0ABE" w:rsidP="00AF7573" w14:paraId="10A097AD" w14:textId="77777777">
      <w:pPr>
        <w:rPr>
          <w:vanish/>
        </w:rPr>
      </w:pPr>
      <w:bookmarkStart w:id="4" w:name="PE"/>
      <w:r w:rsidRPr="00BE0ABE">
        <w:rPr>
          <w:vanish/>
        </w:rPr>
        <w:t>PE784.398</w:t>
      </w:r>
      <w:bookmarkEnd w:id="4"/>
    </w:p>
    <w:p w:rsidR="00AF7573" w:rsidRPr="00BE0ABE" w:rsidP="00AF7573" w14:paraId="7BE7710E" w14:textId="487A2F84">
      <w:pPr>
        <w:pStyle w:val="ATHeading3"/>
      </w:pPr>
      <w:bookmarkStart w:id="5" w:name="Sujet"/>
      <w:r w:rsidRPr="00BE0ABE">
        <w:t xml:space="preserve">Rezoluția legislativă a Parlamentului European din </w:t>
      </w:r>
      <w:r w:rsidRPr="00BE0ABE" w:rsidR="00161425">
        <w:t>17</w:t>
      </w:r>
      <w:r w:rsidRPr="00BE0ABE">
        <w:t xml:space="preserve"> iunie 2026 referitoare la propunerea de Directivă a Consiliului privind structura și ratele accizelor aplicate tutunului și produselor asimilate tutunului (reformare)</w:t>
      </w:r>
      <w:bookmarkEnd w:id="5"/>
      <w:r w:rsidRPr="00BE0ABE">
        <w:t xml:space="preserve"> </w:t>
      </w:r>
      <w:bookmarkStart w:id="6" w:name="References"/>
      <w:r w:rsidRPr="00BE0ABE">
        <w:t>(COM(2025)0580 – C10-0207/2025 – 2025/0580(CNS))</w:t>
      </w:r>
      <w:bookmarkEnd w:id="6"/>
    </w:p>
    <w:p w:rsidR="001D2F51" w:rsidRPr="00BE0ABE" w:rsidP="001D2F51" w14:paraId="08574209" w14:textId="77777777">
      <w:pPr>
        <w:pStyle w:val="NormalBold"/>
      </w:pPr>
      <w:r w:rsidRPr="00BE0ABE">
        <w:t>(Procedura legislativă specială – consultare – reformare)</w:t>
      </w:r>
    </w:p>
    <w:p w:rsidR="001D2F51" w:rsidRPr="00BE0ABE" w:rsidP="001D2F51" w14:paraId="168D1AD4" w14:textId="77777777">
      <w:pPr>
        <w:pStyle w:val="EPComma"/>
      </w:pPr>
      <w:r w:rsidRPr="00BE0ABE">
        <w:rPr>
          <w:i/>
          <w:iCs/>
        </w:rPr>
        <w:t>Parlamentul European</w:t>
      </w:r>
      <w:r w:rsidRPr="00BE0ABE">
        <w:t>,</w:t>
      </w:r>
    </w:p>
    <w:p w:rsidR="001D2F51" w:rsidRPr="00BE0ABE" w:rsidP="001D2F51" w14:paraId="3E4AFC66" w14:textId="77777777">
      <w:pPr>
        <w:pStyle w:val="NormalHanging12a"/>
      </w:pPr>
      <w:r w:rsidRPr="00BE0ABE">
        <w:t>–</w:t>
      </w:r>
      <w:r w:rsidRPr="00BE0ABE">
        <w:tab/>
        <w:t>având în vedere propunerea Comisiei prezentată Consiliului (COM(2025)0580),</w:t>
      </w:r>
    </w:p>
    <w:p w:rsidR="001D2F51" w:rsidRPr="00BE0ABE" w:rsidP="001D2F51" w14:paraId="5DC1B689" w14:textId="77777777">
      <w:pPr>
        <w:pStyle w:val="NormalHanging12a"/>
      </w:pPr>
      <w:r w:rsidRPr="00BE0ABE">
        <w:t>–</w:t>
      </w:r>
      <w:r w:rsidRPr="00BE0ABE">
        <w:tab/>
        <w:t>având în vedere articolul 113 din Tratatul privind funcționarea Uniunii Europene, în temeiul căruia a fost consultat de Consiliu C10</w:t>
      </w:r>
      <w:r w:rsidRPr="00BE0ABE">
        <w:noBreakHyphen/>
        <w:t>0207/2025),</w:t>
      </w:r>
    </w:p>
    <w:p w:rsidR="001D2F51" w:rsidRPr="00BE0ABE" w:rsidP="001D2F51" w14:paraId="6B848BAB" w14:textId="77777777">
      <w:pPr>
        <w:pStyle w:val="NormalHanging12a"/>
      </w:pPr>
      <w:r w:rsidRPr="00BE0ABE">
        <w:t>–</w:t>
      </w:r>
      <w:r w:rsidRPr="00BE0ABE">
        <w:tab/>
        <w:t>având în vedere avizul motivat prezentat de către Camera Deputaților din Italia în cadrul Protocolului nr. 2 privind aplicarea principiilor subsidiarității și proporționalității, în care se susține că proiectul de act legislativ nu respectă principiul subsidiarității,</w:t>
      </w:r>
    </w:p>
    <w:p w:rsidR="001D2F51" w:rsidRPr="00BE0ABE" w:rsidP="001D2F51" w14:paraId="56EF2085" w14:textId="77777777">
      <w:pPr>
        <w:pStyle w:val="NormalHanging12a"/>
      </w:pPr>
      <w:r w:rsidRPr="00BE0ABE">
        <w:t>–</w:t>
      </w:r>
      <w:r w:rsidRPr="00BE0ABE">
        <w:tab/>
        <w:t>având în vedere Acordul interinstituțional din 28 noiembrie 2001 privind utilizarea mai structurată a tehnicii de reformare a actelor legislative</w:t>
      </w:r>
      <w:r>
        <w:rPr>
          <w:rStyle w:val="FootnoteReference"/>
        </w:rPr>
        <w:footnoteReference w:id="2"/>
      </w:r>
      <w:r w:rsidRPr="00BE0ABE">
        <w:t>,</w:t>
      </w:r>
    </w:p>
    <w:p w:rsidR="001D2F51" w:rsidRPr="00BE0ABE" w:rsidP="001D2F51" w14:paraId="2EBF82D5" w14:textId="77777777">
      <w:pPr>
        <w:pStyle w:val="NormalHanging12a"/>
      </w:pPr>
      <w:r w:rsidRPr="00BE0ABE">
        <w:t>–</w:t>
      </w:r>
      <w:r w:rsidRPr="00BE0ABE">
        <w:tab/>
        <w:t>având în vedere scrisoarea din 11 decembrie 2025 a Comisiei pentru afaceri juridice, adresată Comisiei pentru afaceri economice și monetare în conformitate cu articolul 113 alineatul (3) din Regulamentul său de procedură,</w:t>
      </w:r>
    </w:p>
    <w:p w:rsidR="001D2F51" w:rsidRPr="00BE0ABE" w:rsidP="001D2F51" w14:paraId="040AEA2B" w14:textId="77777777">
      <w:pPr>
        <w:pStyle w:val="NormalHanging12a"/>
      </w:pPr>
      <w:r w:rsidRPr="00BE0ABE">
        <w:t>–</w:t>
      </w:r>
      <w:r w:rsidRPr="00BE0ABE">
        <w:tab/>
        <w:t>având în vedere articolele 113 și 84 din Regulamentul său de procedură,</w:t>
      </w:r>
    </w:p>
    <w:p w:rsidR="001D2F51" w:rsidRPr="00BE0ABE" w:rsidP="001D2F51" w14:paraId="31C61D5B" w14:textId="77777777">
      <w:pPr>
        <w:pStyle w:val="NormalHanging12a"/>
      </w:pPr>
      <w:r w:rsidRPr="00BE0ABE">
        <w:t>–</w:t>
      </w:r>
      <w:r w:rsidRPr="00BE0ABE">
        <w:tab/>
        <w:t>având în vedere raportul Comisiei pentru afaceri economice și monetare (A10-0161/2026),</w:t>
      </w:r>
    </w:p>
    <w:p w:rsidR="001D2F51" w:rsidRPr="00BE0ABE" w:rsidP="001D2F51" w14:paraId="5E2BEEB7" w14:textId="6FC6B2BF">
      <w:pPr>
        <w:pStyle w:val="NormalHanging12a"/>
      </w:pPr>
      <w:r w:rsidRPr="00BE0ABE">
        <w:t>1.</w:t>
      </w:r>
      <w:r w:rsidRPr="00BE0ABE">
        <w:tab/>
      </w:r>
      <w:r w:rsidRPr="00BE0ABE" w:rsidR="00492C51">
        <w:t>respinge</w:t>
      </w:r>
      <w:r w:rsidRPr="00BE0ABE">
        <w:t xml:space="preserve"> propunerea Comisiei;</w:t>
      </w:r>
    </w:p>
    <w:p w:rsidR="001D2F51" w:rsidRPr="00BE0ABE" w:rsidP="001D2F51" w14:paraId="5671CCBA" w14:textId="691719E0">
      <w:pPr>
        <w:pStyle w:val="NormalHanging12a"/>
      </w:pPr>
      <w:r w:rsidRPr="00BE0ABE">
        <w:t>2.</w:t>
      </w:r>
      <w:r w:rsidRPr="00BE0ABE">
        <w:tab/>
        <w:t xml:space="preserve">invită Comisia să își </w:t>
      </w:r>
      <w:r w:rsidRPr="00BE0ABE" w:rsidR="00492C51">
        <w:t>retragă</w:t>
      </w:r>
      <w:r w:rsidRPr="00BE0ABE">
        <w:t xml:space="preserve"> propunerea;</w:t>
      </w:r>
    </w:p>
    <w:p w:rsidR="001D2F51" w:rsidRPr="00BE0ABE" w:rsidP="001D2F51" w14:paraId="4364959C" w14:textId="77383720">
      <w:pPr>
        <w:pStyle w:val="NormalHanging12a"/>
      </w:pPr>
      <w:r w:rsidRPr="00BE0ABE">
        <w:t>3</w:t>
      </w:r>
      <w:r w:rsidRPr="00BE0ABE">
        <w:t>.</w:t>
      </w:r>
      <w:r w:rsidRPr="00BE0ABE">
        <w:tab/>
        <w:t>încredințează Președintei sarcina de a transmite Consiliului și Comisiei, precum și parlamentelor naționale poziția Parlamentului.</w:t>
      </w:r>
    </w:p>
    <w:p w:rsidR="00E365E1" w:rsidRPr="00BE0ABE" w:rsidP="00AF7573" w14:paraId="5FA07063" w14:textId="481D9A0C"/>
    <w:sectPr w:rsidSect="00DA27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A27F6" w14:paraId="14816E9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A27F6" w14:paraId="143346D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A27F6" w14:paraId="28CD91C7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F7573" w:rsidRPr="00DA27F6" w14:paraId="442A8AF7" w14:textId="77777777">
      <w:r w:rsidRPr="00DA27F6">
        <w:separator/>
      </w:r>
    </w:p>
  </w:footnote>
  <w:footnote w:type="continuationSeparator" w:id="1">
    <w:p w:rsidR="00AF7573" w:rsidRPr="00DA27F6" w14:paraId="486CFDA8" w14:textId="77777777">
      <w:r w:rsidRPr="00DA27F6">
        <w:continuationSeparator/>
      </w:r>
    </w:p>
  </w:footnote>
  <w:footnote w:id="2">
    <w:p w:rsidR="001D2F51" w:rsidRPr="00DA27F6" w:rsidP="00DA27F6" w14:paraId="4D41E330" w14:textId="783C2076">
      <w:pPr>
        <w:pStyle w:val="FootnoteText"/>
        <w:ind w:left="567" w:hanging="567"/>
        <w:rPr>
          <w:sz w:val="24"/>
          <w:lang w:val="ro-RO"/>
        </w:rPr>
      </w:pPr>
      <w:r w:rsidRPr="00DA27F6">
        <w:rPr>
          <w:rStyle w:val="FootnoteReference"/>
          <w:sz w:val="24"/>
          <w:lang w:val="ro-RO"/>
        </w:rPr>
        <w:footnoteRef/>
      </w:r>
      <w:r w:rsidRPr="00DA27F6" w:rsidR="00DA27F6">
        <w:rPr>
          <w:sz w:val="24"/>
          <w:lang w:val="ro-RO"/>
        </w:rPr>
        <w:t xml:space="preserve"> </w:t>
      </w:r>
      <w:r w:rsidRPr="00DA27F6" w:rsidR="00DA27F6">
        <w:rPr>
          <w:sz w:val="24"/>
          <w:lang w:val="ro-RO"/>
        </w:rPr>
        <w:tab/>
      </w:r>
      <w:r w:rsidRPr="00DA27F6">
        <w:rPr>
          <w:sz w:val="24"/>
          <w:lang w:val="ro-RO"/>
        </w:rPr>
        <w:t>JO C 77, 28.3.2002, p.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A27F6" w14:paraId="69FBD61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A27F6" w14:paraId="19F51F2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A27F6" w14:paraId="701372C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62816795">
    <w:abstractNumId w:val="9"/>
  </w:num>
  <w:num w:numId="2" w16cid:durableId="130175012">
    <w:abstractNumId w:val="9"/>
  </w:num>
  <w:num w:numId="3" w16cid:durableId="1761218359">
    <w:abstractNumId w:val="7"/>
  </w:num>
  <w:num w:numId="4" w16cid:durableId="1647010264">
    <w:abstractNumId w:val="7"/>
  </w:num>
  <w:num w:numId="5" w16cid:durableId="891962994">
    <w:abstractNumId w:val="6"/>
  </w:num>
  <w:num w:numId="6" w16cid:durableId="522668021">
    <w:abstractNumId w:val="6"/>
  </w:num>
  <w:num w:numId="7" w16cid:durableId="567501371">
    <w:abstractNumId w:val="5"/>
  </w:num>
  <w:num w:numId="8" w16cid:durableId="1717385292">
    <w:abstractNumId w:val="5"/>
  </w:num>
  <w:num w:numId="9" w16cid:durableId="1244952822">
    <w:abstractNumId w:val="4"/>
  </w:num>
  <w:num w:numId="10" w16cid:durableId="218833827">
    <w:abstractNumId w:val="4"/>
  </w:num>
  <w:num w:numId="11" w16cid:durableId="1307274639">
    <w:abstractNumId w:val="8"/>
  </w:num>
  <w:num w:numId="12" w16cid:durableId="864633945">
    <w:abstractNumId w:val="8"/>
  </w:num>
  <w:num w:numId="13" w16cid:durableId="1198660474">
    <w:abstractNumId w:val="3"/>
  </w:num>
  <w:num w:numId="14" w16cid:durableId="1935556707">
    <w:abstractNumId w:val="3"/>
  </w:num>
  <w:num w:numId="15" w16cid:durableId="1029188486">
    <w:abstractNumId w:val="2"/>
  </w:num>
  <w:num w:numId="16" w16cid:durableId="1646423909">
    <w:abstractNumId w:val="2"/>
  </w:num>
  <w:num w:numId="17" w16cid:durableId="808211184">
    <w:abstractNumId w:val="1"/>
  </w:num>
  <w:num w:numId="18" w16cid:durableId="1667249530">
    <w:abstractNumId w:val="1"/>
  </w:num>
  <w:num w:numId="19" w16cid:durableId="410589633">
    <w:abstractNumId w:val="0"/>
  </w:num>
  <w:num w:numId="20" w16cid:durableId="159539578">
    <w:abstractNumId w:val="0"/>
  </w:num>
  <w:num w:numId="21" w16cid:durableId="445851639">
    <w:abstractNumId w:val="9"/>
  </w:num>
  <w:num w:numId="22" w16cid:durableId="815687524">
    <w:abstractNumId w:val="7"/>
  </w:num>
  <w:num w:numId="23" w16cid:durableId="745496860">
    <w:abstractNumId w:val="6"/>
  </w:num>
  <w:num w:numId="24" w16cid:durableId="580872220">
    <w:abstractNumId w:val="5"/>
  </w:num>
  <w:num w:numId="25" w16cid:durableId="62533286">
    <w:abstractNumId w:val="4"/>
  </w:num>
  <w:num w:numId="26" w16cid:durableId="1649750417">
    <w:abstractNumId w:val="8"/>
  </w:num>
  <w:num w:numId="27" w16cid:durableId="846289171">
    <w:abstractNumId w:val="3"/>
  </w:num>
  <w:num w:numId="28" w16cid:durableId="478232970">
    <w:abstractNumId w:val="2"/>
  </w:num>
  <w:num w:numId="29" w16cid:durableId="1164279359">
    <w:abstractNumId w:val="1"/>
  </w:num>
  <w:num w:numId="30" w16cid:durableId="894240272">
    <w:abstractNumId w:val="0"/>
  </w:num>
  <w:num w:numId="31" w16cid:durableId="2114520164">
    <w:abstractNumId w:val="9"/>
  </w:num>
  <w:num w:numId="32" w16cid:durableId="414211597">
    <w:abstractNumId w:val="7"/>
  </w:num>
  <w:num w:numId="33" w16cid:durableId="1224685035">
    <w:abstractNumId w:val="6"/>
  </w:num>
  <w:num w:numId="34" w16cid:durableId="193419411">
    <w:abstractNumId w:val="5"/>
  </w:num>
  <w:num w:numId="35" w16cid:durableId="327949193">
    <w:abstractNumId w:val="4"/>
  </w:num>
  <w:num w:numId="36" w16cid:durableId="115761053">
    <w:abstractNumId w:val="8"/>
  </w:num>
  <w:num w:numId="37" w16cid:durableId="894705880">
    <w:abstractNumId w:val="3"/>
  </w:num>
  <w:num w:numId="38" w16cid:durableId="161504739">
    <w:abstractNumId w:val="2"/>
  </w:num>
  <w:num w:numId="39" w16cid:durableId="657420913">
    <w:abstractNumId w:val="1"/>
  </w:num>
  <w:num w:numId="40" w16cid:durableId="1300575540">
    <w:abstractNumId w:val="0"/>
  </w:num>
  <w:num w:numId="41" w16cid:durableId="1183713563">
    <w:abstractNumId w:val="10"/>
  </w:num>
  <w:num w:numId="42" w16cid:durableId="1389576681">
    <w:abstractNumId w:val="10"/>
  </w:num>
  <w:num w:numId="43" w16cid:durableId="1485001866">
    <w:abstractNumId w:val="10"/>
  </w:num>
  <w:num w:numId="44" w16cid:durableId="8791302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573"/>
    <w:rsid w:val="00002272"/>
    <w:rsid w:val="00064002"/>
    <w:rsid w:val="000677B9"/>
    <w:rsid w:val="000831BA"/>
    <w:rsid w:val="000A42CC"/>
    <w:rsid w:val="000E7DD9"/>
    <w:rsid w:val="0010095E"/>
    <w:rsid w:val="0012134A"/>
    <w:rsid w:val="00125B37"/>
    <w:rsid w:val="00161425"/>
    <w:rsid w:val="00187494"/>
    <w:rsid w:val="001D2F51"/>
    <w:rsid w:val="001F32AE"/>
    <w:rsid w:val="002455A2"/>
    <w:rsid w:val="002767FF"/>
    <w:rsid w:val="002860D5"/>
    <w:rsid w:val="002B18FE"/>
    <w:rsid w:val="002B5493"/>
    <w:rsid w:val="00343214"/>
    <w:rsid w:val="00360822"/>
    <w:rsid w:val="00361C00"/>
    <w:rsid w:val="00373A1F"/>
    <w:rsid w:val="00395FA1"/>
    <w:rsid w:val="003E15D4"/>
    <w:rsid w:val="00411CCE"/>
    <w:rsid w:val="0041666E"/>
    <w:rsid w:val="00421060"/>
    <w:rsid w:val="00471C19"/>
    <w:rsid w:val="004867E3"/>
    <w:rsid w:val="00492C51"/>
    <w:rsid w:val="00494A28"/>
    <w:rsid w:val="004C0004"/>
    <w:rsid w:val="004C5D52"/>
    <w:rsid w:val="0050519A"/>
    <w:rsid w:val="005072A1"/>
    <w:rsid w:val="00514517"/>
    <w:rsid w:val="00545827"/>
    <w:rsid w:val="00560270"/>
    <w:rsid w:val="00571F29"/>
    <w:rsid w:val="005C2568"/>
    <w:rsid w:val="005D266A"/>
    <w:rsid w:val="005F1B17"/>
    <w:rsid w:val="006037C0"/>
    <w:rsid w:val="00640CF6"/>
    <w:rsid w:val="006631B6"/>
    <w:rsid w:val="00664A96"/>
    <w:rsid w:val="00680577"/>
    <w:rsid w:val="006A7DE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469D"/>
    <w:rsid w:val="00817416"/>
    <w:rsid w:val="00842779"/>
    <w:rsid w:val="00865F67"/>
    <w:rsid w:val="00881A7B"/>
    <w:rsid w:val="008840E5"/>
    <w:rsid w:val="00887B3E"/>
    <w:rsid w:val="008C2AC6"/>
    <w:rsid w:val="009129E0"/>
    <w:rsid w:val="00930C23"/>
    <w:rsid w:val="0093193B"/>
    <w:rsid w:val="009509D8"/>
    <w:rsid w:val="00950B64"/>
    <w:rsid w:val="00981893"/>
    <w:rsid w:val="009D11AD"/>
    <w:rsid w:val="00A1687D"/>
    <w:rsid w:val="00A327D2"/>
    <w:rsid w:val="00A43E52"/>
    <w:rsid w:val="00A4678D"/>
    <w:rsid w:val="00A778C7"/>
    <w:rsid w:val="00AB441E"/>
    <w:rsid w:val="00AB6293"/>
    <w:rsid w:val="00AE0928"/>
    <w:rsid w:val="00AF3B82"/>
    <w:rsid w:val="00AF7573"/>
    <w:rsid w:val="00B12E95"/>
    <w:rsid w:val="00B202AC"/>
    <w:rsid w:val="00B22876"/>
    <w:rsid w:val="00B558F0"/>
    <w:rsid w:val="00BD48FE"/>
    <w:rsid w:val="00BD7BD8"/>
    <w:rsid w:val="00BE0ABE"/>
    <w:rsid w:val="00BE6ADC"/>
    <w:rsid w:val="00C05BFE"/>
    <w:rsid w:val="00C23CD4"/>
    <w:rsid w:val="00C61C0C"/>
    <w:rsid w:val="00C65898"/>
    <w:rsid w:val="00C80E07"/>
    <w:rsid w:val="00C941CB"/>
    <w:rsid w:val="00CC2357"/>
    <w:rsid w:val="00CF071A"/>
    <w:rsid w:val="00CF0E4C"/>
    <w:rsid w:val="00CF4E72"/>
    <w:rsid w:val="00D058B8"/>
    <w:rsid w:val="00D56C11"/>
    <w:rsid w:val="00D834A0"/>
    <w:rsid w:val="00D872DF"/>
    <w:rsid w:val="00D91E21"/>
    <w:rsid w:val="00DA27F6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1/2026"/>
    <w:docVar w:name="dvlangue" w:val="RO"/>
    <w:docVar w:name="dvnumam" w:val="0"/>
    <w:docVar w:name="dvpe" w:val="784.398"/>
    <w:docVar w:name="dvrapporteur" w:val="Raportor: "/>
    <w:docVar w:name="dvstar" w:val="*"/>
    <w:docVar w:name="dvtitre" w:val="Rezoluția legislativă a Parlamentului European din ... iunie 2026 referitoare la propunerea de Directivă a Consiliului privind structura și ratele accizelor aplicate tutunului și produselor asimilate tutunului (reformare)(COM(2025)0580 – C10-0207/2025 – 2025/0580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29DB3B8"/>
  <w15:chartTrackingRefBased/>
  <w15:docId w15:val="{BF241870-E05A-4EA3-9F53-3A0EF447E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1D2F5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1D2F5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1D2F5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1D2F5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1D2F5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1D2F51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semiHidden/>
    <w:rsid w:val="001D2F51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semiHidden/>
    <w:rsid w:val="001D2F51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semiHidden/>
    <w:rsid w:val="001D2F51"/>
    <w:rPr>
      <w:rFonts w:ascii="Arial" w:hAnsi="Arial"/>
      <w:b/>
      <w:i/>
      <w:sz w:val="18"/>
      <w:lang w:val="ro-RO"/>
    </w:rPr>
  </w:style>
  <w:style w:type="paragraph" w:styleId="TOCHeading">
    <w:name w:val="TOC Heading"/>
    <w:basedOn w:val="Normal"/>
    <w:next w:val="Normal"/>
    <w:unhideWhenUsed/>
    <w:qFormat/>
    <w:rsid w:val="001D2F51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1D2F5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1D2F5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1D2F51"/>
    <w:pPr>
      <w:spacing w:after="240"/>
    </w:pPr>
  </w:style>
  <w:style w:type="paragraph" w:customStyle="1" w:styleId="TOCPage">
    <w:name w:val="TOC Page"/>
    <w:basedOn w:val="Normal"/>
    <w:next w:val="TOC1"/>
    <w:rsid w:val="001D2F51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1D2F51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1D2F51"/>
    <w:pPr>
      <w:spacing w:after="240"/>
      <w:ind w:left="567" w:hanging="567"/>
    </w:pPr>
  </w:style>
  <w:style w:type="paragraph" w:customStyle="1" w:styleId="Normal6a">
    <w:name w:val="Normal6a"/>
    <w:basedOn w:val="Normal"/>
    <w:rsid w:val="001D2F51"/>
    <w:pPr>
      <w:spacing w:after="120"/>
    </w:pPr>
  </w:style>
  <w:style w:type="paragraph" w:customStyle="1" w:styleId="CoverNormal24a">
    <w:name w:val="CoverNormal24a"/>
    <w:basedOn w:val="Normal"/>
    <w:rsid w:val="001D2F51"/>
    <w:pPr>
      <w:spacing w:after="480"/>
      <w:ind w:left="1417"/>
    </w:pPr>
  </w:style>
  <w:style w:type="paragraph" w:customStyle="1" w:styleId="CoverNormal">
    <w:name w:val="CoverNormal"/>
    <w:basedOn w:val="Normal"/>
    <w:rsid w:val="001D2F51"/>
    <w:pPr>
      <w:ind w:left="1418"/>
    </w:pPr>
  </w:style>
  <w:style w:type="paragraph" w:customStyle="1" w:styleId="CoverReference">
    <w:name w:val="CoverReference"/>
    <w:basedOn w:val="Normal"/>
    <w:rsid w:val="001D2F51"/>
    <w:pPr>
      <w:spacing w:before="1080"/>
      <w:jc w:val="right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D2F51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1D2F51"/>
    <w:rPr>
      <w:b/>
      <w:sz w:val="24"/>
      <w:lang w:val="ro-RO"/>
    </w:rPr>
  </w:style>
  <w:style w:type="paragraph" w:customStyle="1" w:styleId="CoverDocType">
    <w:name w:val="CoverDocType"/>
    <w:basedOn w:val="Normal"/>
    <w:rsid w:val="001D2F5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D2F5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D2F51"/>
    <w:pPr>
      <w:spacing w:before="240" w:after="1200"/>
    </w:pPr>
  </w:style>
  <w:style w:type="paragraph" w:styleId="Header">
    <w:name w:val="header"/>
    <w:basedOn w:val="Normal"/>
    <w:link w:val="HeaderChar"/>
    <w:rsid w:val="001D2F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D2F51"/>
    <w:rPr>
      <w:sz w:val="24"/>
      <w:lang w:val="ro-RO"/>
    </w:rPr>
  </w:style>
  <w:style w:type="paragraph" w:customStyle="1" w:styleId="AnnexWPLogo">
    <w:name w:val="AnnexWPLogo"/>
    <w:basedOn w:val="Normal"/>
    <w:rsid w:val="001D2F51"/>
    <w:pPr>
      <w:spacing w:before="120" w:after="120"/>
    </w:pPr>
  </w:style>
  <w:style w:type="paragraph" w:customStyle="1" w:styleId="AnnexWPTabs">
    <w:name w:val="AnnexWPTabs"/>
    <w:basedOn w:val="Normal"/>
    <w:rsid w:val="001D2F51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1D2F51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1D2F51"/>
    <w:rPr>
      <w:smallCaps/>
      <w:sz w:val="20"/>
    </w:rPr>
  </w:style>
  <w:style w:type="paragraph" w:customStyle="1" w:styleId="AnnexWPDocType">
    <w:name w:val="AnnexWPDocType"/>
    <w:basedOn w:val="Normal"/>
    <w:rsid w:val="001D2F51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1D2F51"/>
    <w:pPr>
      <w:spacing w:before="480"/>
    </w:pPr>
    <w:rPr>
      <w:b/>
    </w:rPr>
  </w:style>
  <w:style w:type="paragraph" w:customStyle="1" w:styleId="AmJustText">
    <w:name w:val="AmJustText"/>
    <w:basedOn w:val="Normal"/>
    <w:rsid w:val="001D2F51"/>
    <w:pPr>
      <w:spacing w:after="240"/>
    </w:pPr>
    <w:rPr>
      <w:i/>
    </w:rPr>
  </w:style>
  <w:style w:type="paragraph" w:customStyle="1" w:styleId="AmCrossRef">
    <w:name w:val="AmCrossRef"/>
    <w:basedOn w:val="Normal"/>
    <w:rsid w:val="001D2F5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D2F51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1D2F5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D2F5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D2F5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D2F51"/>
    <w:pPr>
      <w:spacing w:before="240"/>
    </w:pPr>
    <w:rPr>
      <w:b/>
    </w:rPr>
  </w:style>
  <w:style w:type="paragraph" w:customStyle="1" w:styleId="EPBody">
    <w:name w:val="EPBody"/>
    <w:basedOn w:val="Normal"/>
    <w:rsid w:val="001D2F5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D2F5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D2F51"/>
    <w:pPr>
      <w:spacing w:before="480" w:after="240"/>
    </w:pPr>
  </w:style>
  <w:style w:type="paragraph" w:customStyle="1" w:styleId="Lgendesigne">
    <w:name w:val="Légende signe"/>
    <w:basedOn w:val="Normal"/>
    <w:rsid w:val="001D2F5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D2F5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D2F51"/>
    <w:rPr>
      <w:sz w:val="18"/>
    </w:rPr>
  </w:style>
  <w:style w:type="paragraph" w:customStyle="1" w:styleId="LetterDate">
    <w:name w:val="LetterDate"/>
    <w:basedOn w:val="Normal"/>
    <w:rsid w:val="001D2F51"/>
    <w:pPr>
      <w:spacing w:before="720" w:after="240"/>
    </w:pPr>
  </w:style>
  <w:style w:type="paragraph" w:customStyle="1" w:styleId="LetterSalutation">
    <w:name w:val="LetterSalutation"/>
    <w:basedOn w:val="Normal"/>
    <w:rsid w:val="001D2F51"/>
    <w:pPr>
      <w:spacing w:before="600" w:after="360"/>
    </w:pPr>
  </w:style>
  <w:style w:type="paragraph" w:customStyle="1" w:styleId="LetterSubject">
    <w:name w:val="LetterSubject"/>
    <w:basedOn w:val="Normal"/>
    <w:rsid w:val="001D2F51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1D2F51"/>
    <w:pPr>
      <w:spacing w:before="1320"/>
    </w:pPr>
  </w:style>
  <w:style w:type="paragraph" w:customStyle="1" w:styleId="msonormal">
    <w:name w:val="msonormal"/>
    <w:basedOn w:val="Normal"/>
    <w:rsid w:val="001D2F51"/>
    <w:pPr>
      <w:widowControl/>
      <w:spacing w:before="100" w:beforeAutospacing="1" w:after="100" w:afterAutospacing="1"/>
    </w:pPr>
    <w:rPr>
      <w:szCs w:val="24"/>
    </w:rPr>
  </w:style>
  <w:style w:type="character" w:customStyle="1" w:styleId="FooterChar">
    <w:name w:val="Footer Char"/>
    <w:basedOn w:val="DefaultParagraphFont"/>
    <w:link w:val="Footer"/>
    <w:rsid w:val="001D2F51"/>
    <w:rPr>
      <w:sz w:val="22"/>
    </w:rPr>
  </w:style>
  <w:style w:type="paragraph" w:styleId="Footer">
    <w:name w:val="footer"/>
    <w:link w:val="FooterChar"/>
    <w:unhideWhenUsed/>
    <w:rsid w:val="001D2F51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1D2F51"/>
    <w:rPr>
      <w:sz w:val="24"/>
      <w:lang w:val="ro-RO"/>
    </w:rPr>
  </w:style>
  <w:style w:type="paragraph" w:styleId="BalloonText">
    <w:name w:val="Balloon Text"/>
    <w:basedOn w:val="Normal"/>
    <w:link w:val="BalloonTextChar"/>
    <w:unhideWhenUsed/>
    <w:rsid w:val="001D2F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D2F51"/>
    <w:rPr>
      <w:rFonts w:ascii="Segoe UI" w:hAnsi="Segoe UI" w:cs="Segoe UI"/>
      <w:sz w:val="18"/>
      <w:szCs w:val="18"/>
      <w:lang w:val="ro-RO"/>
    </w:rPr>
  </w:style>
  <w:style w:type="paragraph" w:customStyle="1" w:styleId="AMNumberTabs0">
    <w:name w:val="AMNumberTabs"/>
    <w:basedOn w:val="Normal"/>
    <w:rsid w:val="001D2F5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Left">
    <w:name w:val="Normal Left"/>
    <w:basedOn w:val="Normal"/>
    <w:rsid w:val="001D2F51"/>
    <w:pPr>
      <w:widowControl/>
      <w:spacing w:before="120" w:after="120"/>
    </w:pPr>
    <w:rPr>
      <w:rFonts w:eastAsia="Calibri"/>
      <w:szCs w:val="22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1D2F51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1D2F51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1D2F5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1D2F5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1D2F5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1D2F5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1D2F51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1D2F51"/>
    <w:rPr>
      <w:sz w:val="24"/>
      <w:lang w:val="ro-RO"/>
    </w:rPr>
  </w:style>
  <w:style w:type="paragraph" w:customStyle="1" w:styleId="Normal6">
    <w:name w:val="Normal6"/>
    <w:basedOn w:val="Normal"/>
    <w:link w:val="Normal6Char"/>
    <w:rsid w:val="001D2F51"/>
    <w:pPr>
      <w:spacing w:after="120"/>
    </w:pPr>
  </w:style>
  <w:style w:type="paragraph" w:customStyle="1" w:styleId="Normal12Italic">
    <w:name w:val="Normal12Italic"/>
    <w:basedOn w:val="Normal12"/>
    <w:rsid w:val="001D2F51"/>
    <w:rPr>
      <w:i/>
    </w:rPr>
  </w:style>
  <w:style w:type="paragraph" w:customStyle="1" w:styleId="JustificationTitle">
    <w:name w:val="JustificationTitle"/>
    <w:basedOn w:val="Normal"/>
    <w:next w:val="Normal12"/>
    <w:rsid w:val="001D2F51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1D2F51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1D2F51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1D2F51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1D2F51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Normal24a">
    <w:name w:val="Normal24a"/>
    <w:basedOn w:val="Normal"/>
    <w:rsid w:val="001D2F51"/>
    <w:pPr>
      <w:spacing w:after="480"/>
    </w:pPr>
  </w:style>
  <w:style w:type="paragraph" w:customStyle="1" w:styleId="NormalBoldCenter">
    <w:name w:val="NormalBoldCenter"/>
    <w:basedOn w:val="Normal"/>
    <w:rsid w:val="001D2F51"/>
    <w:pPr>
      <w:jc w:val="center"/>
    </w:pPr>
    <w:rPr>
      <w:b/>
    </w:rPr>
  </w:style>
  <w:style w:type="paragraph" w:customStyle="1" w:styleId="Footprint12b">
    <w:name w:val="Footprint12b"/>
    <w:basedOn w:val="Normal"/>
    <w:rsid w:val="001D2F51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1D2F51"/>
    <w:rPr>
      <w:szCs w:val="24"/>
    </w:rPr>
  </w:style>
  <w:style w:type="paragraph" w:customStyle="1" w:styleId="EntPE">
    <w:name w:val="EntPE"/>
    <w:basedOn w:val="Normal12"/>
    <w:rsid w:val="001D2F51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nhideWhenUsed/>
    <w:rsid w:val="001D2F5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D2F51"/>
    <w:rPr>
      <w:sz w:val="24"/>
      <w:lang w:val="ro-RO"/>
    </w:rPr>
  </w:style>
  <w:style w:type="character" w:styleId="CommentReference">
    <w:name w:val="annotation reference"/>
    <w:basedOn w:val="DefaultParagraphFont"/>
    <w:rsid w:val="001D2F51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2F5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D2F51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D2F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D2F51"/>
    <w:rPr>
      <w:b/>
      <w:bCs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1D2F51"/>
    <w:rPr>
      <w:color w:val="605E5C"/>
      <w:shd w:val="clear" w:color="auto" w:fill="E1DFDD"/>
    </w:rPr>
  </w:style>
  <w:style w:type="paragraph" w:customStyle="1" w:styleId="RollCallVotes">
    <w:name w:val="RollCallVotes"/>
    <w:basedOn w:val="Normal"/>
    <w:rsid w:val="001D2F5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D2F5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D2F5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D2F51"/>
    <w:pPr>
      <w:spacing w:before="120" w:after="120"/>
    </w:pPr>
    <w:rPr>
      <w:snapToGrid w:val="0"/>
      <w:sz w:val="16"/>
      <w:lang w:eastAsia="en-US"/>
    </w:rPr>
  </w:style>
  <w:style w:type="character" w:styleId="FollowedHyperlink">
    <w:name w:val="FollowedHyperlink"/>
    <w:basedOn w:val="DefaultParagraphFont"/>
    <w:uiPriority w:val="99"/>
    <w:rsid w:val="001D2F5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222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2026-06-17T14:28:00Z</dcterms:created>
  <dcterms:modified xsi:type="dcterms:W3CDTF">2026-06-17T14:28:00Z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A10-0161/2026</vt:lpwstr>
  </property>
  <property fmtid="{D5CDD505-2E9C-101B-9397-08002B2CF9AE}" pid="4" name="&lt;Type&gt;">
    <vt:lpwstr>RR</vt:lpwstr>
  </property>
</Properties>
</file>