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074FC4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97F04" w:rsidP="0010095E" w14:paraId="6869E089" w14:textId="77777777">
            <w:pPr>
              <w:pStyle w:val="EPName"/>
            </w:pPr>
            <w:r w:rsidRPr="00597F04">
              <w:t>Európsky parlament</w:t>
            </w:r>
          </w:p>
          <w:p w:rsidR="00751A4A" w:rsidRPr="00597F04" w:rsidP="005F1B17" w14:paraId="40D7DE7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97F04">
              <w:t>2024</w:t>
            </w:r>
            <w:r w:rsidRPr="00597F04" w:rsidR="00817416">
              <w:t>-202</w:t>
            </w:r>
            <w:r w:rsidRPr="00597F0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97F04" w:rsidP="0010095E" w14:paraId="347DFD8E" w14:textId="77777777">
            <w:pPr>
              <w:pStyle w:val="EPLogo"/>
            </w:pPr>
            <w:r w:rsidRPr="00597F04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97F04" w:rsidP="004C5D52" w14:paraId="02FE81B7" w14:textId="77777777">
      <w:pPr>
        <w:pStyle w:val="LineTop"/>
      </w:pPr>
    </w:p>
    <w:p w:rsidR="00680577" w:rsidRPr="00597F04" w:rsidP="00680577" w14:paraId="78C3081E" w14:textId="77777777">
      <w:pPr>
        <w:pStyle w:val="EPBodyTA1"/>
      </w:pPr>
      <w:r w:rsidRPr="00597F04">
        <w:t>PRIJATÉ TEXTY</w:t>
      </w:r>
    </w:p>
    <w:p w:rsidR="00D058B8" w:rsidRPr="00597F04" w:rsidP="00D058B8" w14:paraId="6D1B6168" w14:textId="77777777">
      <w:pPr>
        <w:pStyle w:val="LineBottom"/>
      </w:pPr>
    </w:p>
    <w:p w:rsidR="00977EE8" w:rsidRPr="00597F04" w:rsidP="00977EE8" w14:paraId="4E74C2F3" w14:textId="19D658E1">
      <w:pPr>
        <w:pStyle w:val="ATHeading1"/>
      </w:pPr>
      <w:bookmarkStart w:id="0" w:name="TANumber"/>
      <w:r w:rsidRPr="00597F04">
        <w:t>P10_TA(2026)0</w:t>
      </w:r>
      <w:r w:rsidR="00AE3612">
        <w:t>211</w:t>
      </w:r>
      <w:bookmarkEnd w:id="0"/>
    </w:p>
    <w:p w:rsidR="00977EE8" w:rsidRPr="00597F04" w:rsidP="00977EE8" w14:paraId="7067BAF7" w14:textId="77777777">
      <w:pPr>
        <w:pStyle w:val="ATHeading2"/>
      </w:pPr>
      <w:bookmarkStart w:id="1" w:name="title"/>
      <w:r w:rsidRPr="00597F04">
        <w:t>Štruktúra a sadzby spotrebnej dane z tabaku a výrobkov súvisiacich s tabakom (prepracované znenie)</w:t>
      </w:r>
      <w:bookmarkEnd w:id="1"/>
    </w:p>
    <w:p w:rsidR="00977EE8" w:rsidRPr="00597F04" w:rsidP="00977EE8" w14:paraId="567C9C00" w14:textId="77777777">
      <w:pPr>
        <w:rPr>
          <w:i/>
          <w:vanish/>
        </w:rPr>
      </w:pPr>
      <w:r>
        <w:rPr>
          <w:i/>
        </w:rPr>
        <w:fldChar w:fldCharType="begin"/>
      </w:r>
      <w:r w:rsidRPr="00597F04">
        <w:rPr>
          <w:i/>
        </w:rPr>
        <w:instrText xml:space="preserve"> TC"(</w:instrText>
      </w:r>
      <w:bookmarkStart w:id="2" w:name="DocNumber"/>
      <w:r w:rsidRPr="00597F04">
        <w:rPr>
          <w:i/>
        </w:rPr>
        <w:instrText>A10-0161/2026</w:instrText>
      </w:r>
      <w:bookmarkEnd w:id="2"/>
      <w:r w:rsidRPr="00597F04">
        <w:rPr>
          <w:i/>
        </w:rPr>
        <w:instrText xml:space="preserve"> - Spravodajca: Tomáš Kubín)"\l3 \n&gt; \* MERGEFORMAT </w:instrText>
      </w:r>
      <w:r>
        <w:rPr>
          <w:i/>
        </w:rPr>
        <w:fldChar w:fldCharType="end"/>
      </w:r>
    </w:p>
    <w:p w:rsidR="00977EE8" w:rsidRPr="00597F04" w:rsidP="00977EE8" w14:paraId="05799906" w14:textId="77777777">
      <w:pPr>
        <w:rPr>
          <w:vanish/>
        </w:rPr>
      </w:pPr>
      <w:bookmarkStart w:id="3" w:name="Commission"/>
      <w:r w:rsidRPr="00597F04">
        <w:rPr>
          <w:vanish/>
        </w:rPr>
        <w:t>Výbor pre hospodárske a menové veci</w:t>
      </w:r>
      <w:bookmarkEnd w:id="3"/>
    </w:p>
    <w:p w:rsidR="00977EE8" w:rsidRPr="00597F04" w:rsidP="00977EE8" w14:paraId="24F039AC" w14:textId="77777777">
      <w:pPr>
        <w:rPr>
          <w:vanish/>
        </w:rPr>
      </w:pPr>
      <w:bookmarkStart w:id="4" w:name="PE"/>
      <w:r w:rsidRPr="00597F04">
        <w:rPr>
          <w:vanish/>
        </w:rPr>
        <w:t>PE784.398</w:t>
      </w:r>
      <w:bookmarkEnd w:id="4"/>
    </w:p>
    <w:p w:rsidR="00977EE8" w:rsidRPr="00597F04" w:rsidP="00977EE8" w14:paraId="2EE141B2" w14:textId="5DD3D2AA">
      <w:pPr>
        <w:pStyle w:val="ATHeading3"/>
      </w:pPr>
      <w:bookmarkStart w:id="5" w:name="Sujet"/>
      <w:r w:rsidRPr="00597F04">
        <w:t xml:space="preserve">Legislatívne uznesenie Európskeho parlamentu zo </w:t>
      </w:r>
      <w:r w:rsidRPr="00597F04" w:rsidR="00D11279">
        <w:t>17</w:t>
      </w:r>
      <w:r w:rsidRPr="00597F04">
        <w:t xml:space="preserve">. </w:t>
      </w:r>
      <w:r w:rsidRPr="00597F04" w:rsidR="00D11279">
        <w:t xml:space="preserve">júna </w:t>
      </w:r>
      <w:r w:rsidRPr="00597F04">
        <w:t>2026 o návrhu smernice Rady o štruktúre a sadzbách spotrebnej dane z tabaku a výrobkov súvisiacich s tabakom (prepracované znenie)</w:t>
      </w:r>
      <w:bookmarkEnd w:id="5"/>
      <w:r w:rsidRPr="00597F04">
        <w:t xml:space="preserve"> </w:t>
      </w:r>
      <w:bookmarkStart w:id="6" w:name="References"/>
      <w:r w:rsidRPr="00597F04">
        <w:t>(COM(2025)0580 – C10-0207/2025 – 2025/0580(CNS))</w:t>
      </w:r>
      <w:bookmarkEnd w:id="6"/>
    </w:p>
    <w:p w:rsidR="00312C65" w:rsidRPr="00597F04" w:rsidP="00312C65" w14:paraId="5F2979F9" w14:textId="77777777">
      <w:pPr>
        <w:pStyle w:val="NormalBold"/>
      </w:pPr>
      <w:r w:rsidRPr="00597F04">
        <w:t>(Mimoriadny legislatívny postup – konzultácia – prepracovanie)</w:t>
      </w:r>
    </w:p>
    <w:p w:rsidR="00312C65" w:rsidRPr="00597F04" w:rsidP="00312C65" w14:paraId="5539334D" w14:textId="77777777">
      <w:pPr>
        <w:pStyle w:val="EPComma"/>
      </w:pPr>
      <w:r w:rsidRPr="00597F04">
        <w:rPr>
          <w:i/>
          <w:iCs/>
        </w:rPr>
        <w:t>Európsky parlament,</w:t>
      </w:r>
    </w:p>
    <w:p w:rsidR="00312C65" w:rsidRPr="00597F04" w:rsidP="00312C65" w14:paraId="0E71F5C1" w14:textId="77777777">
      <w:pPr>
        <w:pStyle w:val="NormalHanging12a"/>
      </w:pPr>
      <w:r w:rsidRPr="00597F04">
        <w:t>–</w:t>
      </w:r>
      <w:r w:rsidRPr="00597F04">
        <w:tab/>
        <w:t>so zreteľom na návrh Komisie pre Radu (COM(2025)0580),</w:t>
      </w:r>
    </w:p>
    <w:p w:rsidR="00312C65" w:rsidRPr="00597F04" w:rsidP="00312C65" w14:paraId="44EDAC5A" w14:textId="77777777">
      <w:pPr>
        <w:pStyle w:val="NormalHanging12a"/>
      </w:pPr>
      <w:r w:rsidRPr="00597F04">
        <w:t>–</w:t>
      </w:r>
      <w:r w:rsidRPr="00597F04">
        <w:tab/>
        <w:t>so zreteľom na článok 113 Zmluvy o fungovaní Európskej únie, v súlade s ktorým Rada konzultovala s Európskym parlamentom (C10</w:t>
      </w:r>
      <w:r w:rsidRPr="00597F04">
        <w:noBreakHyphen/>
        <w:t>0207/2025),</w:t>
      </w:r>
    </w:p>
    <w:p w:rsidR="00312C65" w:rsidRPr="00597F04" w:rsidP="00312C65" w14:paraId="6CF9DE39" w14:textId="4CBE546C">
      <w:pPr>
        <w:pStyle w:val="NormalHanging12a"/>
      </w:pPr>
      <w:r w:rsidRPr="00597F04">
        <w:t>–</w:t>
      </w:r>
      <w:r w:rsidRPr="00597F04">
        <w:tab/>
        <w:t xml:space="preserve">so zreteľom na odôvodnené stanovisko predložené na základe Protokolu č. 2 o uplatňovaní zásad subsidiarity a proporcionality </w:t>
      </w:r>
      <w:r w:rsidRPr="00597F04" w:rsidR="00D11279">
        <w:t>t</w:t>
      </w:r>
      <w:r w:rsidRPr="00597F04">
        <w:t xml:space="preserve">alianskou </w:t>
      </w:r>
      <w:r w:rsidRPr="00597F04" w:rsidR="00D11279">
        <w:t>P</w:t>
      </w:r>
      <w:r w:rsidRPr="00597F04">
        <w:t>oslaneckou snemovňou, ktorá tvrdí, že návrh legislatívneho aktu nie je v súlade so zásadou subsidiarity,</w:t>
      </w:r>
    </w:p>
    <w:p w:rsidR="00312C65" w:rsidRPr="00597F04" w:rsidP="00312C65" w14:paraId="48CF0F44" w14:textId="77777777">
      <w:pPr>
        <w:pStyle w:val="NormalHanging12a"/>
      </w:pPr>
      <w:r w:rsidRPr="00597F04">
        <w:t>–</w:t>
      </w:r>
      <w:r w:rsidRPr="00597F04">
        <w:tab/>
        <w:t xml:space="preserve">so zreteľom na </w:t>
      </w:r>
      <w:r w:rsidRPr="00597F04">
        <w:t>Medziinštitucionálnu</w:t>
      </w:r>
      <w:r w:rsidRPr="00597F04">
        <w:t xml:space="preserve"> dohodu z 28. novembra 2001 o systematickejšom používaní techniky prepracovania právnych aktov</w:t>
      </w:r>
      <w:r>
        <w:rPr>
          <w:rStyle w:val="FootnoteReference"/>
        </w:rPr>
        <w:footnoteReference w:id="2"/>
      </w:r>
      <w:r w:rsidRPr="00597F04">
        <w:t>,</w:t>
      </w:r>
    </w:p>
    <w:p w:rsidR="00312C65" w:rsidRPr="00597F04" w:rsidP="00312C65" w14:paraId="4A898689" w14:textId="77777777">
      <w:pPr>
        <w:pStyle w:val="NormalHanging12a"/>
      </w:pPr>
      <w:r w:rsidRPr="00597F04">
        <w:t>–</w:t>
      </w:r>
      <w:r w:rsidRPr="00597F04">
        <w:tab/>
        <w:t>so zreteľom na list Výboru pre právne veci z 11. decembra 2025 adresovaný Výboru pre hospodárske a menové veci v súlade s článkom 113 ods. 3 rokovacieho poriadku,</w:t>
      </w:r>
    </w:p>
    <w:p w:rsidR="00312C65" w:rsidRPr="00597F04" w:rsidP="00312C65" w14:paraId="18FAFFA7" w14:textId="77777777">
      <w:pPr>
        <w:pStyle w:val="NormalHanging12a"/>
      </w:pPr>
      <w:r w:rsidRPr="00597F04">
        <w:t>–</w:t>
      </w:r>
      <w:r w:rsidRPr="00597F04">
        <w:tab/>
        <w:t>so zreteľom na články 113 a 84 rokovacieho poriadku,</w:t>
      </w:r>
    </w:p>
    <w:p w:rsidR="00312C65" w:rsidRPr="00597F04" w:rsidP="00312C65" w14:paraId="702E60E3" w14:textId="77777777">
      <w:pPr>
        <w:pStyle w:val="NormalHanging12a"/>
      </w:pPr>
      <w:r w:rsidRPr="00597F04">
        <w:t>–</w:t>
      </w:r>
      <w:r w:rsidRPr="00597F04">
        <w:tab/>
        <w:t>so zreteľom na správu Výboru pre hospodárske a menové veci (A10-0161/2026),</w:t>
      </w:r>
    </w:p>
    <w:p w:rsidR="00312C65" w:rsidRPr="00597F04" w:rsidP="00312C65" w14:paraId="665BAE75" w14:textId="5F5C762B">
      <w:pPr>
        <w:pStyle w:val="NormalHanging12a"/>
      </w:pPr>
      <w:r w:rsidRPr="00597F04">
        <w:t>1.</w:t>
      </w:r>
      <w:r w:rsidRPr="00597F04">
        <w:tab/>
      </w:r>
      <w:r w:rsidRPr="00980A8A" w:rsidR="00980A8A">
        <w:t>zamieta návrh Komisie</w:t>
      </w:r>
      <w:r w:rsidRPr="00597F04">
        <w:t>;</w:t>
      </w:r>
    </w:p>
    <w:p w:rsidR="00312C65" w:rsidRPr="00597F04" w:rsidP="00312C65" w14:paraId="66409F76" w14:textId="792E43D5">
      <w:pPr>
        <w:pStyle w:val="NormalHanging12a"/>
      </w:pPr>
      <w:r w:rsidRPr="00597F04">
        <w:t>2.</w:t>
      </w:r>
      <w:r w:rsidRPr="00597F04">
        <w:tab/>
        <w:t xml:space="preserve">vyzýva Komisiu, aby </w:t>
      </w:r>
      <w:r w:rsidRPr="00980A8A" w:rsidR="00980A8A">
        <w:t>vzala späť svoj návrh</w:t>
      </w:r>
      <w:r w:rsidRPr="00597F04">
        <w:t>;</w:t>
      </w:r>
    </w:p>
    <w:p w:rsidR="00312C65" w:rsidRPr="00597F04" w:rsidP="00312C65" w14:paraId="364EB895" w14:textId="01AE4219">
      <w:pPr>
        <w:pStyle w:val="NormalHanging12a"/>
      </w:pPr>
      <w:r>
        <w:t>3</w:t>
      </w:r>
      <w:r w:rsidRPr="00597F04">
        <w:t>.</w:t>
      </w:r>
      <w:r w:rsidRPr="00597F04">
        <w:tab/>
        <w:t xml:space="preserve">poveruje svoju predsedníčku, aby postúpila túto pozíciu Rade, Komisii a národným </w:t>
      </w:r>
      <w:r w:rsidRPr="00597F04">
        <w:t>parlamentom.</w:t>
      </w:r>
    </w:p>
    <w:sectPr w:rsidSect="004773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773A8" w14:paraId="73745C8E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773A8" w14:paraId="3FB066D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773A8" w14:paraId="1768C506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977EE8" w:rsidRPr="004773A8" w14:paraId="38BB9DD9" w14:textId="77777777">
      <w:r w:rsidRPr="004773A8">
        <w:separator/>
      </w:r>
    </w:p>
  </w:footnote>
  <w:footnote w:type="continuationSeparator" w:id="1">
    <w:p w:rsidR="00977EE8" w:rsidRPr="004773A8" w14:paraId="65D5F9C9" w14:textId="77777777">
      <w:r w:rsidRPr="004773A8">
        <w:continuationSeparator/>
      </w:r>
    </w:p>
  </w:footnote>
  <w:footnote w:id="2">
    <w:p w:rsidR="00312C65" w:rsidRPr="004773A8" w:rsidP="004773A8" w14:paraId="2309351D" w14:textId="3A5B5BE0">
      <w:pPr>
        <w:pStyle w:val="FootnoteText"/>
        <w:ind w:left="567" w:hanging="567"/>
        <w:rPr>
          <w:sz w:val="24"/>
          <w:lang w:val="sk-SK"/>
        </w:rPr>
      </w:pPr>
      <w:r w:rsidRPr="004773A8">
        <w:rPr>
          <w:rStyle w:val="FootnoteReference"/>
          <w:sz w:val="24"/>
          <w:lang w:val="sk-SK"/>
        </w:rPr>
        <w:footnoteRef/>
      </w:r>
      <w:r w:rsidRPr="004773A8" w:rsidR="004773A8">
        <w:rPr>
          <w:sz w:val="24"/>
          <w:lang w:val="sk-SK"/>
        </w:rPr>
        <w:t xml:space="preserve"> </w:t>
      </w:r>
      <w:r w:rsidRPr="004773A8" w:rsidR="004773A8">
        <w:rPr>
          <w:sz w:val="24"/>
          <w:lang w:val="sk-SK"/>
        </w:rPr>
        <w:tab/>
      </w:r>
      <w:r w:rsidRPr="004773A8">
        <w:rPr>
          <w:sz w:val="24"/>
          <w:lang w:val="sk-SK"/>
        </w:rPr>
        <w:t>Ú. v. ES C 77, 28.3.2002, s. 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773A8" w14:paraId="369E8CF9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773A8" w14:paraId="51994C76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773A8" w14:paraId="69A0900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64138487">
    <w:abstractNumId w:val="9"/>
  </w:num>
  <w:num w:numId="2" w16cid:durableId="1327049482">
    <w:abstractNumId w:val="9"/>
  </w:num>
  <w:num w:numId="3" w16cid:durableId="256906052">
    <w:abstractNumId w:val="7"/>
  </w:num>
  <w:num w:numId="4" w16cid:durableId="1652783176">
    <w:abstractNumId w:val="7"/>
  </w:num>
  <w:num w:numId="5" w16cid:durableId="590429832">
    <w:abstractNumId w:val="6"/>
  </w:num>
  <w:num w:numId="6" w16cid:durableId="694041769">
    <w:abstractNumId w:val="6"/>
  </w:num>
  <w:num w:numId="7" w16cid:durableId="1892765442">
    <w:abstractNumId w:val="5"/>
  </w:num>
  <w:num w:numId="8" w16cid:durableId="797262005">
    <w:abstractNumId w:val="5"/>
  </w:num>
  <w:num w:numId="9" w16cid:durableId="641932009">
    <w:abstractNumId w:val="4"/>
  </w:num>
  <w:num w:numId="10" w16cid:durableId="523371614">
    <w:abstractNumId w:val="4"/>
  </w:num>
  <w:num w:numId="11" w16cid:durableId="1907640993">
    <w:abstractNumId w:val="8"/>
  </w:num>
  <w:num w:numId="12" w16cid:durableId="26372116">
    <w:abstractNumId w:val="8"/>
  </w:num>
  <w:num w:numId="13" w16cid:durableId="1382293377">
    <w:abstractNumId w:val="3"/>
  </w:num>
  <w:num w:numId="14" w16cid:durableId="319189802">
    <w:abstractNumId w:val="3"/>
  </w:num>
  <w:num w:numId="15" w16cid:durableId="320349518">
    <w:abstractNumId w:val="2"/>
  </w:num>
  <w:num w:numId="16" w16cid:durableId="1598515097">
    <w:abstractNumId w:val="2"/>
  </w:num>
  <w:num w:numId="17" w16cid:durableId="898781529">
    <w:abstractNumId w:val="1"/>
  </w:num>
  <w:num w:numId="18" w16cid:durableId="1568151422">
    <w:abstractNumId w:val="1"/>
  </w:num>
  <w:num w:numId="19" w16cid:durableId="1764718026">
    <w:abstractNumId w:val="0"/>
  </w:num>
  <w:num w:numId="20" w16cid:durableId="877858066">
    <w:abstractNumId w:val="0"/>
  </w:num>
  <w:num w:numId="21" w16cid:durableId="1309283459">
    <w:abstractNumId w:val="9"/>
  </w:num>
  <w:num w:numId="22" w16cid:durableId="326711969">
    <w:abstractNumId w:val="7"/>
  </w:num>
  <w:num w:numId="23" w16cid:durableId="1699040962">
    <w:abstractNumId w:val="6"/>
  </w:num>
  <w:num w:numId="24" w16cid:durableId="1992562559">
    <w:abstractNumId w:val="5"/>
  </w:num>
  <w:num w:numId="25" w16cid:durableId="208959922">
    <w:abstractNumId w:val="4"/>
  </w:num>
  <w:num w:numId="26" w16cid:durableId="277176045">
    <w:abstractNumId w:val="8"/>
  </w:num>
  <w:num w:numId="27" w16cid:durableId="1681346729">
    <w:abstractNumId w:val="3"/>
  </w:num>
  <w:num w:numId="28" w16cid:durableId="1564564134">
    <w:abstractNumId w:val="2"/>
  </w:num>
  <w:num w:numId="29" w16cid:durableId="993753719">
    <w:abstractNumId w:val="1"/>
  </w:num>
  <w:num w:numId="30" w16cid:durableId="740717083">
    <w:abstractNumId w:val="0"/>
  </w:num>
  <w:num w:numId="31" w16cid:durableId="647637575">
    <w:abstractNumId w:val="9"/>
  </w:num>
  <w:num w:numId="32" w16cid:durableId="2021155948">
    <w:abstractNumId w:val="7"/>
  </w:num>
  <w:num w:numId="33" w16cid:durableId="102504638">
    <w:abstractNumId w:val="6"/>
  </w:num>
  <w:num w:numId="34" w16cid:durableId="1878353760">
    <w:abstractNumId w:val="5"/>
  </w:num>
  <w:num w:numId="35" w16cid:durableId="43339123">
    <w:abstractNumId w:val="4"/>
  </w:num>
  <w:num w:numId="36" w16cid:durableId="1871142604">
    <w:abstractNumId w:val="8"/>
  </w:num>
  <w:num w:numId="37" w16cid:durableId="1274676331">
    <w:abstractNumId w:val="3"/>
  </w:num>
  <w:num w:numId="38" w16cid:durableId="2142846226">
    <w:abstractNumId w:val="2"/>
  </w:num>
  <w:num w:numId="39" w16cid:durableId="1482116020">
    <w:abstractNumId w:val="1"/>
  </w:num>
  <w:num w:numId="40" w16cid:durableId="852303931">
    <w:abstractNumId w:val="0"/>
  </w:num>
  <w:num w:numId="41" w16cid:durableId="578752214">
    <w:abstractNumId w:val="10"/>
  </w:num>
  <w:num w:numId="42" w16cid:durableId="83649709">
    <w:abstractNumId w:val="10"/>
  </w:num>
  <w:num w:numId="43" w16cid:durableId="358623734">
    <w:abstractNumId w:val="10"/>
  </w:num>
  <w:num w:numId="44" w16cid:durableId="15802864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EE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2C65"/>
    <w:rsid w:val="00343214"/>
    <w:rsid w:val="00361C00"/>
    <w:rsid w:val="00395FA1"/>
    <w:rsid w:val="003E15D4"/>
    <w:rsid w:val="00411CCE"/>
    <w:rsid w:val="0041666E"/>
    <w:rsid w:val="00421060"/>
    <w:rsid w:val="00471C19"/>
    <w:rsid w:val="004773A8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7F04"/>
    <w:rsid w:val="005B6833"/>
    <w:rsid w:val="005B6F63"/>
    <w:rsid w:val="005C2568"/>
    <w:rsid w:val="005F1B17"/>
    <w:rsid w:val="006037C0"/>
    <w:rsid w:val="006631B6"/>
    <w:rsid w:val="00680577"/>
    <w:rsid w:val="006A4B8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7EE8"/>
    <w:rsid w:val="00980A8A"/>
    <w:rsid w:val="00981893"/>
    <w:rsid w:val="009B2997"/>
    <w:rsid w:val="00A1687D"/>
    <w:rsid w:val="00A43E52"/>
    <w:rsid w:val="00A4678D"/>
    <w:rsid w:val="00A778C7"/>
    <w:rsid w:val="00AB441E"/>
    <w:rsid w:val="00AB6293"/>
    <w:rsid w:val="00AE0928"/>
    <w:rsid w:val="00AE3612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1279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06E0"/>
    <w:rsid w:val="00F5134D"/>
    <w:rsid w:val="00F74202"/>
    <w:rsid w:val="00F87713"/>
    <w:rsid w:val="00FB4360"/>
    <w:rsid w:val="00FD0C70"/>
  </w:rsids>
  <w:docVars>
    <w:docVar w:name="dvdocse" w:val="A10-0161/2026"/>
    <w:docVar w:name="dvlangue" w:val="SK"/>
    <w:docVar w:name="dvnumam" w:val="0"/>
    <w:docVar w:name="dvpe" w:val="784.398"/>
    <w:docVar w:name="dvrapporteur" w:val="Spravodajca: "/>
    <w:docVar w:name="dvstar" w:val="*"/>
    <w:docVar w:name="dvtitre" w:val="Legislatívne uznesenie Európskeho parlamentu z/zo xx. xxx 2026 o návrhu smernice Rady o štruktúre a sadzbách spotrebnej dane z tabaku a výrobkov súvisiacich s tabakom (prepracované znenie)(COM(2025)0580 – C10-0207/2025 – 2025/0580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23FFAAB"/>
  <w15:chartTrackingRefBased/>
  <w15:docId w15:val="{B3AE8297-6934-44FC-98C5-5119F575F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312C6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312C6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312C6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312C6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312C6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312C65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semiHidden/>
    <w:rsid w:val="00312C65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sid w:val="00312C65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sid w:val="00312C65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nhideWhenUsed/>
    <w:qFormat/>
    <w:rsid w:val="00312C65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rsid w:val="00312C6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312C6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312C65"/>
    <w:pPr>
      <w:spacing w:after="240"/>
    </w:pPr>
  </w:style>
  <w:style w:type="paragraph" w:customStyle="1" w:styleId="TOCPage">
    <w:name w:val="TOC Page"/>
    <w:basedOn w:val="Normal"/>
    <w:next w:val="TOC1"/>
    <w:rsid w:val="00312C65"/>
    <w:pPr>
      <w:keepNext/>
      <w:spacing w:after="240"/>
      <w:jc w:val="right"/>
    </w:pPr>
    <w:rPr>
      <w:rFonts w:ascii="Arial" w:hAnsi="Arial"/>
      <w:b/>
    </w:rPr>
  </w:style>
  <w:style w:type="paragraph" w:customStyle="1" w:styleId="NormalBold12a">
    <w:name w:val="NormalBold12a"/>
    <w:basedOn w:val="Normal"/>
    <w:rsid w:val="00312C65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312C65"/>
    <w:pPr>
      <w:spacing w:after="240"/>
      <w:ind w:left="567" w:hanging="567"/>
    </w:pPr>
  </w:style>
  <w:style w:type="paragraph" w:customStyle="1" w:styleId="Normal6a">
    <w:name w:val="Normal6a"/>
    <w:basedOn w:val="Normal"/>
    <w:rsid w:val="00312C65"/>
    <w:pPr>
      <w:spacing w:after="120"/>
    </w:pPr>
  </w:style>
  <w:style w:type="paragraph" w:customStyle="1" w:styleId="CoverNormal24a">
    <w:name w:val="CoverNormal24a"/>
    <w:basedOn w:val="Normal"/>
    <w:rsid w:val="00312C65"/>
    <w:pPr>
      <w:spacing w:after="480"/>
      <w:ind w:left="1417"/>
    </w:pPr>
  </w:style>
  <w:style w:type="paragraph" w:customStyle="1" w:styleId="CoverNormal">
    <w:name w:val="CoverNormal"/>
    <w:basedOn w:val="Normal"/>
    <w:rsid w:val="00312C65"/>
    <w:pPr>
      <w:ind w:left="1418"/>
    </w:pPr>
  </w:style>
  <w:style w:type="paragraph" w:customStyle="1" w:styleId="CoverReference">
    <w:name w:val="CoverReference"/>
    <w:basedOn w:val="Normal"/>
    <w:rsid w:val="00312C65"/>
    <w:pPr>
      <w:spacing w:before="1080"/>
      <w:jc w:val="right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12C65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312C65"/>
    <w:rPr>
      <w:b/>
      <w:sz w:val="24"/>
      <w:lang w:val="sk-SK"/>
    </w:rPr>
  </w:style>
  <w:style w:type="paragraph" w:customStyle="1" w:styleId="CoverDocType">
    <w:name w:val="CoverDocType"/>
    <w:basedOn w:val="Normal"/>
    <w:rsid w:val="00312C6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12C6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12C65"/>
    <w:pPr>
      <w:spacing w:before="240" w:after="1200"/>
    </w:pPr>
  </w:style>
  <w:style w:type="paragraph" w:styleId="Header">
    <w:name w:val="header"/>
    <w:basedOn w:val="Normal"/>
    <w:link w:val="HeaderChar"/>
    <w:rsid w:val="00312C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12C65"/>
    <w:rPr>
      <w:sz w:val="24"/>
      <w:lang w:val="sk-SK"/>
    </w:rPr>
  </w:style>
  <w:style w:type="paragraph" w:customStyle="1" w:styleId="AnnexWPLogo">
    <w:name w:val="AnnexWPLogo"/>
    <w:basedOn w:val="Normal"/>
    <w:rsid w:val="00312C65"/>
    <w:pPr>
      <w:spacing w:before="120" w:after="120"/>
    </w:pPr>
  </w:style>
  <w:style w:type="paragraph" w:customStyle="1" w:styleId="AnnexWPTabs">
    <w:name w:val="AnnexWPTabs"/>
    <w:basedOn w:val="Normal"/>
    <w:rsid w:val="00312C65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312C65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312C65"/>
    <w:rPr>
      <w:smallCaps/>
      <w:sz w:val="20"/>
    </w:rPr>
  </w:style>
  <w:style w:type="paragraph" w:customStyle="1" w:styleId="AnnexWPDocType">
    <w:name w:val="AnnexWPDocType"/>
    <w:basedOn w:val="Normal"/>
    <w:rsid w:val="00312C65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312C65"/>
    <w:pPr>
      <w:spacing w:before="480"/>
    </w:pPr>
    <w:rPr>
      <w:b/>
    </w:rPr>
  </w:style>
  <w:style w:type="paragraph" w:customStyle="1" w:styleId="AmJustText">
    <w:name w:val="AmJustText"/>
    <w:basedOn w:val="Normal"/>
    <w:rsid w:val="00312C65"/>
    <w:pPr>
      <w:spacing w:after="240"/>
    </w:pPr>
    <w:rPr>
      <w:i/>
    </w:rPr>
  </w:style>
  <w:style w:type="paragraph" w:customStyle="1" w:styleId="AmCrossRef">
    <w:name w:val="AmCrossRef"/>
    <w:basedOn w:val="Normal"/>
    <w:rsid w:val="00312C6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12C65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312C6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12C6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12C6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12C65"/>
    <w:pPr>
      <w:spacing w:before="240"/>
    </w:pPr>
    <w:rPr>
      <w:b/>
    </w:rPr>
  </w:style>
  <w:style w:type="paragraph" w:customStyle="1" w:styleId="EPBody">
    <w:name w:val="EPBody"/>
    <w:basedOn w:val="Normal"/>
    <w:rsid w:val="00312C6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12C6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12C65"/>
    <w:pPr>
      <w:spacing w:before="480" w:after="240"/>
    </w:pPr>
  </w:style>
  <w:style w:type="paragraph" w:customStyle="1" w:styleId="Lgendesigne">
    <w:name w:val="Légende signe"/>
    <w:basedOn w:val="Normal"/>
    <w:rsid w:val="00312C6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12C6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12C65"/>
    <w:rPr>
      <w:sz w:val="18"/>
    </w:rPr>
  </w:style>
  <w:style w:type="paragraph" w:customStyle="1" w:styleId="LetterDate">
    <w:name w:val="LetterDate"/>
    <w:basedOn w:val="Normal"/>
    <w:rsid w:val="00312C65"/>
    <w:pPr>
      <w:spacing w:before="720" w:after="240"/>
    </w:pPr>
  </w:style>
  <w:style w:type="paragraph" w:customStyle="1" w:styleId="LetterSalutation">
    <w:name w:val="LetterSalutation"/>
    <w:basedOn w:val="Normal"/>
    <w:rsid w:val="00312C65"/>
    <w:pPr>
      <w:spacing w:before="600" w:after="360"/>
    </w:pPr>
  </w:style>
  <w:style w:type="paragraph" w:customStyle="1" w:styleId="LetterSubject">
    <w:name w:val="LetterSubject"/>
    <w:basedOn w:val="Normal"/>
    <w:rsid w:val="00312C65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312C65"/>
    <w:pPr>
      <w:spacing w:before="1320"/>
    </w:pPr>
  </w:style>
  <w:style w:type="paragraph" w:customStyle="1" w:styleId="msonormal">
    <w:name w:val="msonormal"/>
    <w:basedOn w:val="Normal"/>
    <w:rsid w:val="00312C65"/>
    <w:pPr>
      <w:widowControl/>
      <w:spacing w:before="100" w:beforeAutospacing="1" w:after="100" w:afterAutospacing="1"/>
    </w:pPr>
    <w:rPr>
      <w:szCs w:val="24"/>
    </w:rPr>
  </w:style>
  <w:style w:type="character" w:customStyle="1" w:styleId="FooterChar">
    <w:name w:val="Footer Char"/>
    <w:basedOn w:val="DefaultParagraphFont"/>
    <w:link w:val="Footer"/>
    <w:rsid w:val="00312C65"/>
    <w:rPr>
      <w:sz w:val="22"/>
    </w:rPr>
  </w:style>
  <w:style w:type="paragraph" w:styleId="Footer">
    <w:name w:val="footer"/>
    <w:link w:val="FooterChar"/>
    <w:unhideWhenUsed/>
    <w:rsid w:val="00312C65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312C65"/>
    <w:rPr>
      <w:sz w:val="24"/>
      <w:lang w:val="sk-SK"/>
    </w:rPr>
  </w:style>
  <w:style w:type="paragraph" w:styleId="BalloonText">
    <w:name w:val="Balloon Text"/>
    <w:basedOn w:val="Normal"/>
    <w:link w:val="BalloonTextChar"/>
    <w:unhideWhenUsed/>
    <w:rsid w:val="00312C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2C65"/>
    <w:rPr>
      <w:rFonts w:ascii="Segoe UI" w:hAnsi="Segoe UI" w:cs="Segoe UI"/>
      <w:sz w:val="18"/>
      <w:szCs w:val="18"/>
      <w:lang w:val="sk-SK"/>
    </w:rPr>
  </w:style>
  <w:style w:type="paragraph" w:customStyle="1" w:styleId="AMNumberTabs0">
    <w:name w:val="AMNumberTabs"/>
    <w:basedOn w:val="Normal"/>
    <w:rsid w:val="00312C6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Left">
    <w:name w:val="Normal Left"/>
    <w:basedOn w:val="Normal"/>
    <w:rsid w:val="00312C65"/>
    <w:pPr>
      <w:widowControl/>
      <w:spacing w:before="120" w:after="120"/>
    </w:pPr>
    <w:rPr>
      <w:rFonts w:eastAsia="Calibri"/>
      <w:szCs w:val="22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312C65"/>
    <w:rPr>
      <w:noProof/>
      <w:sz w:val="24"/>
    </w:rPr>
  </w:style>
  <w:style w:type="paragraph" w:customStyle="1" w:styleId="Normal12">
    <w:name w:val="Normal12"/>
    <w:basedOn w:val="Normal"/>
    <w:link w:val="Normal12Char"/>
    <w:rsid w:val="00312C65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312C65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312C65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312C65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312C65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312C65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312C65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312C65"/>
    <w:pPr>
      <w:spacing w:after="120"/>
    </w:pPr>
  </w:style>
  <w:style w:type="paragraph" w:customStyle="1" w:styleId="Normal12Italic">
    <w:name w:val="Normal12Italic"/>
    <w:basedOn w:val="Normal12"/>
    <w:rsid w:val="00312C65"/>
    <w:rPr>
      <w:i/>
    </w:rPr>
  </w:style>
  <w:style w:type="paragraph" w:customStyle="1" w:styleId="JustificationTitle">
    <w:name w:val="JustificationTitle"/>
    <w:basedOn w:val="Normal"/>
    <w:next w:val="Normal12"/>
    <w:rsid w:val="00312C65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312C65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312C65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312C65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312C65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Normal24a">
    <w:name w:val="Normal24a"/>
    <w:basedOn w:val="Normal"/>
    <w:rsid w:val="00312C65"/>
    <w:pPr>
      <w:spacing w:after="480"/>
    </w:pPr>
  </w:style>
  <w:style w:type="paragraph" w:customStyle="1" w:styleId="NormalBoldCenter">
    <w:name w:val="NormalBoldCenter"/>
    <w:basedOn w:val="Normal"/>
    <w:rsid w:val="00312C65"/>
    <w:pPr>
      <w:jc w:val="center"/>
    </w:pPr>
    <w:rPr>
      <w:b/>
    </w:rPr>
  </w:style>
  <w:style w:type="paragraph" w:customStyle="1" w:styleId="Footprint12b">
    <w:name w:val="Footprint12b"/>
    <w:basedOn w:val="Normal"/>
    <w:rsid w:val="00312C65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312C65"/>
    <w:rPr>
      <w:szCs w:val="24"/>
    </w:rPr>
  </w:style>
  <w:style w:type="paragraph" w:customStyle="1" w:styleId="EntPE">
    <w:name w:val="EntPE"/>
    <w:basedOn w:val="Normal12"/>
    <w:rsid w:val="00312C65"/>
    <w:pPr>
      <w:jc w:val="center"/>
    </w:pPr>
    <w:rPr>
      <w:noProof w:val="0"/>
      <w:sz w:val="56"/>
    </w:rPr>
  </w:style>
  <w:style w:type="character" w:styleId="Hyperlink">
    <w:name w:val="Hyperlink"/>
    <w:basedOn w:val="DefaultParagraphFont"/>
    <w:unhideWhenUsed/>
    <w:rsid w:val="00312C6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312C65"/>
    <w:rPr>
      <w:sz w:val="24"/>
      <w:lang w:val="sk-SK"/>
    </w:rPr>
  </w:style>
  <w:style w:type="character" w:styleId="CommentReference">
    <w:name w:val="annotation reference"/>
    <w:basedOn w:val="DefaultParagraphFont"/>
    <w:rsid w:val="00312C65"/>
    <w:rPr>
      <w:sz w:val="16"/>
      <w:szCs w:val="16"/>
    </w:rPr>
  </w:style>
  <w:style w:type="paragraph" w:styleId="CommentText">
    <w:name w:val="annotation text"/>
    <w:basedOn w:val="Normal"/>
    <w:link w:val="CommentTextChar"/>
    <w:rsid w:val="00312C6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12C65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12C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12C65"/>
    <w:rPr>
      <w:b/>
      <w:bCs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312C65"/>
    <w:rPr>
      <w:color w:val="605E5C"/>
      <w:shd w:val="clear" w:color="auto" w:fill="E1DFDD"/>
    </w:rPr>
  </w:style>
  <w:style w:type="paragraph" w:customStyle="1" w:styleId="RollCallVotes">
    <w:name w:val="RollCallVotes"/>
    <w:basedOn w:val="Normal"/>
    <w:rsid w:val="00312C6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312C6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312C6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312C65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9B2997"/>
    <w:pPr>
      <w:tabs>
        <w:tab w:val="right" w:pos="9072"/>
      </w:tabs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1403</Characters>
  <Application>Microsoft Office Word</Application>
  <DocSecurity>0</DocSecurity>
  <Lines>26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2026-06-17T14:48:00Z</dcterms:created>
  <dcterms:modified xsi:type="dcterms:W3CDTF">2026-06-17T14:48:00Z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A10-0161/2026</vt:lpwstr>
  </property>
  <property fmtid="{D5CDD505-2E9C-101B-9397-08002B2CF9AE}" pid="4" name="&lt;Type&gt;">
    <vt:lpwstr>RR</vt:lpwstr>
  </property>
</Properties>
</file>