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8B13BD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E05F5" w:rsidP="0010095E" w14:paraId="5C1A529E" w14:textId="77777777">
            <w:pPr>
              <w:pStyle w:val="EPName"/>
            </w:pPr>
            <w:r w:rsidRPr="003E05F5">
              <w:t>Europaparlamentet</w:t>
            </w:r>
          </w:p>
          <w:p w:rsidR="00751A4A" w:rsidRPr="003E05F5" w:rsidP="005F1B17" w14:paraId="78E0507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05F5">
              <w:t>2024</w:t>
            </w:r>
            <w:r w:rsidRPr="003E05F5" w:rsidR="00817416">
              <w:t>-202</w:t>
            </w:r>
            <w:r w:rsidRPr="003E05F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E05F5" w:rsidP="0010095E" w14:paraId="507CA420" w14:textId="77777777">
            <w:pPr>
              <w:pStyle w:val="EPLogo"/>
            </w:pPr>
            <w:r w:rsidRPr="003E05F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E05F5" w:rsidP="004C5D52" w14:paraId="225257C4" w14:textId="77777777">
      <w:pPr>
        <w:pStyle w:val="LineTop"/>
      </w:pPr>
    </w:p>
    <w:p w:rsidR="00680577" w:rsidRPr="003E05F5" w:rsidP="00680577" w14:paraId="4BFDC2CF" w14:textId="77777777">
      <w:pPr>
        <w:pStyle w:val="EPBodyTA1"/>
      </w:pPr>
      <w:r w:rsidRPr="003E05F5">
        <w:t>ANTAGNA TEXTER</w:t>
      </w:r>
    </w:p>
    <w:p w:rsidR="00D058B8" w:rsidRPr="003E05F5" w:rsidP="00D058B8" w14:paraId="61275969" w14:textId="77777777">
      <w:pPr>
        <w:pStyle w:val="LineBottom"/>
      </w:pPr>
    </w:p>
    <w:p w:rsidR="003A6C67" w:rsidRPr="003E05F5" w:rsidP="003A6C67" w14:paraId="3D9E05A9" w14:textId="1B375CBB">
      <w:pPr>
        <w:pStyle w:val="ATHeading1"/>
      </w:pPr>
      <w:bookmarkStart w:id="0" w:name="TANumber"/>
      <w:r w:rsidRPr="003E05F5">
        <w:t>P10_TA(2026)</w:t>
      </w:r>
      <w:bookmarkEnd w:id="0"/>
      <w:r w:rsidRPr="003E05F5" w:rsidR="005806B8">
        <w:t>0</w:t>
      </w:r>
      <w:r w:rsidR="005806B8">
        <w:t>211</w:t>
      </w:r>
    </w:p>
    <w:p w:rsidR="003A6C67" w:rsidRPr="003E05F5" w:rsidP="003A6C67" w14:paraId="724BE92D" w14:textId="77777777">
      <w:pPr>
        <w:pStyle w:val="ATHeading2"/>
      </w:pPr>
      <w:bookmarkStart w:id="1" w:name="title"/>
      <w:r w:rsidRPr="003E05F5">
        <w:t>Strukturen och skattesatserna för punktskatten på tobak och tobaksrelaterade produkter (omarbetning)</w:t>
      </w:r>
      <w:bookmarkEnd w:id="1"/>
    </w:p>
    <w:p w:rsidR="003A6C67" w:rsidRPr="003E05F5" w:rsidP="003A6C67" w14:paraId="653D59CF" w14:textId="77777777">
      <w:pPr>
        <w:rPr>
          <w:i/>
          <w:vanish/>
        </w:rPr>
      </w:pPr>
      <w:r>
        <w:rPr>
          <w:i/>
        </w:rPr>
        <w:fldChar w:fldCharType="begin"/>
      </w:r>
      <w:r w:rsidRPr="003E05F5">
        <w:rPr>
          <w:i/>
        </w:rPr>
        <w:instrText xml:space="preserve"> TC"(</w:instrText>
      </w:r>
      <w:bookmarkStart w:id="2" w:name="DocNumber"/>
      <w:r w:rsidRPr="003E05F5">
        <w:rPr>
          <w:i/>
        </w:rPr>
        <w:instrText>A10-0161/2026</w:instrText>
      </w:r>
      <w:bookmarkEnd w:id="2"/>
      <w:r w:rsidRPr="003E05F5">
        <w:rPr>
          <w:i/>
        </w:rPr>
        <w:instrText xml:space="preserve"> - Föredragande: </w:instrText>
      </w:r>
      <w:r w:rsidRPr="003E05F5">
        <w:rPr>
          <w:i/>
        </w:rPr>
        <w:instrText>Tomáš</w:instrText>
      </w:r>
      <w:r w:rsidRPr="003E05F5">
        <w:rPr>
          <w:i/>
        </w:rPr>
        <w:instrText xml:space="preserve"> </w:instrText>
      </w:r>
      <w:r w:rsidRPr="003E05F5">
        <w:rPr>
          <w:i/>
        </w:rPr>
        <w:instrText>Kubín</w:instrText>
      </w:r>
      <w:r w:rsidRPr="003E05F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A6C67" w:rsidRPr="003E05F5" w:rsidP="003A6C67" w14:paraId="7DAB3AC7" w14:textId="77777777">
      <w:pPr>
        <w:rPr>
          <w:vanish/>
        </w:rPr>
      </w:pPr>
      <w:bookmarkStart w:id="3" w:name="Commission"/>
      <w:r w:rsidRPr="003E05F5">
        <w:rPr>
          <w:vanish/>
        </w:rPr>
        <w:t>Utskottet för ekonomi och valutafrågor</w:t>
      </w:r>
      <w:bookmarkEnd w:id="3"/>
    </w:p>
    <w:p w:rsidR="003A6C67" w:rsidRPr="003E05F5" w:rsidP="003A6C67" w14:paraId="2CFAE9AB" w14:textId="77777777">
      <w:pPr>
        <w:rPr>
          <w:vanish/>
        </w:rPr>
      </w:pPr>
      <w:bookmarkStart w:id="4" w:name="PE"/>
      <w:r w:rsidRPr="003E05F5">
        <w:rPr>
          <w:vanish/>
        </w:rPr>
        <w:t>PE784.398</w:t>
      </w:r>
      <w:bookmarkEnd w:id="4"/>
    </w:p>
    <w:p w:rsidR="003A6C67" w:rsidRPr="003E05F5" w:rsidP="003A6C67" w14:paraId="30E304E3" w14:textId="0E0BDE35">
      <w:pPr>
        <w:pStyle w:val="ATHeading3"/>
      </w:pPr>
      <w:bookmarkStart w:id="5" w:name="Sujet"/>
      <w:r w:rsidRPr="003E05F5">
        <w:t xml:space="preserve">Europaparlamentets lagstiftningsresolution av den </w:t>
      </w:r>
      <w:r w:rsidR="00672126">
        <w:t>17</w:t>
      </w:r>
      <w:r w:rsidRPr="003E05F5" w:rsidR="00672126">
        <w:t xml:space="preserve"> </w:t>
      </w:r>
      <w:r w:rsidR="00672126">
        <w:t>juni</w:t>
      </w:r>
      <w:r w:rsidRPr="003E05F5" w:rsidR="00672126">
        <w:t xml:space="preserve"> </w:t>
      </w:r>
      <w:r w:rsidRPr="003E05F5">
        <w:t>2026 om förslaget till rådets direktiv om strukturen och skattesatserna för punktskatten på tobak och tobaksrelaterade produkter (omarbetning)</w:t>
      </w:r>
      <w:bookmarkEnd w:id="5"/>
      <w:r w:rsidRPr="003E05F5">
        <w:t xml:space="preserve"> </w:t>
      </w:r>
      <w:bookmarkStart w:id="6" w:name="References"/>
      <w:r w:rsidRPr="003E05F5">
        <w:t>(COM(2025)0580 – C10-0207/2025 – 2025/0580(CNS))</w:t>
      </w:r>
      <w:bookmarkEnd w:id="6"/>
    </w:p>
    <w:p w:rsidR="00D524FA" w:rsidRPr="003E05F5" w:rsidP="00D524FA" w14:paraId="6B6EA327" w14:textId="77777777">
      <w:pPr>
        <w:pStyle w:val="NormalBold"/>
      </w:pPr>
      <w:r w:rsidRPr="003E05F5">
        <w:t>(Särskilt lagstiftningsförfarande – samråd – omarbetning)</w:t>
      </w:r>
    </w:p>
    <w:p w:rsidR="00D524FA" w:rsidRPr="003E05F5" w:rsidP="00D524FA" w14:paraId="0E75F958" w14:textId="77777777">
      <w:pPr>
        <w:pStyle w:val="EPComma"/>
      </w:pPr>
      <w:r w:rsidRPr="003E05F5">
        <w:rPr>
          <w:i/>
          <w:iCs/>
        </w:rPr>
        <w:t>Europaparlamentet utfärdar denna resolution</w:t>
      </w:r>
    </w:p>
    <w:p w:rsidR="00D524FA" w:rsidRPr="003E05F5" w:rsidP="00D524FA" w14:paraId="5EEB6747" w14:textId="77777777">
      <w:pPr>
        <w:pStyle w:val="NormalHanging12a"/>
      </w:pPr>
      <w:r w:rsidRPr="003E05F5">
        <w:t>–</w:t>
      </w:r>
      <w:r w:rsidRPr="003E05F5">
        <w:tab/>
        <w:t>med beaktande av kommissionens förslag till rådet (COM(2025)0580),</w:t>
      </w:r>
    </w:p>
    <w:p w:rsidR="00D524FA" w:rsidRPr="003E05F5" w:rsidP="00D524FA" w14:paraId="07E6057C" w14:textId="77777777">
      <w:pPr>
        <w:pStyle w:val="NormalHanging12a"/>
      </w:pPr>
      <w:r w:rsidRPr="003E05F5">
        <w:t>–</w:t>
      </w:r>
      <w:r w:rsidRPr="003E05F5">
        <w:tab/>
        <w:t>med beaktande av artikel 113 i fördraget om Europeiska unionens funktionssätt, i enlighet med vilken Europaparlamentet har hörts av rådet (C10</w:t>
      </w:r>
      <w:r w:rsidRPr="003E05F5">
        <w:noBreakHyphen/>
        <w:t>0207/2025),</w:t>
      </w:r>
    </w:p>
    <w:p w:rsidR="00D524FA" w:rsidRPr="003E05F5" w:rsidP="00D524FA" w14:paraId="1E6D0EBC" w14:textId="77777777">
      <w:pPr>
        <w:pStyle w:val="NormalHanging12a"/>
      </w:pPr>
      <w:r w:rsidRPr="003E05F5">
        <w:t>–</w:t>
      </w:r>
      <w:r w:rsidRPr="003E05F5">
        <w:tab/>
        <w:t>med beaktande av det motiverade yttrande från den italienska deputeradekammaren som lagts fram i enlighet med protokoll nr 2 om tillämpning av subsidiaritets- och proportionalitetsprinciperna, och enligt vilket utkastet till lagstiftningsakt inte är förenligt med subsidiaritetsprincipen,</w:t>
      </w:r>
    </w:p>
    <w:p w:rsidR="00D524FA" w:rsidRPr="003E05F5" w:rsidP="00D524FA" w14:paraId="58DB0DF9" w14:textId="77777777">
      <w:pPr>
        <w:pStyle w:val="NormalHanging12a"/>
      </w:pPr>
      <w:r w:rsidRPr="003E05F5">
        <w:t>–</w:t>
      </w:r>
      <w:r w:rsidRPr="003E05F5">
        <w:tab/>
        <w:t>med beaktande av det interinstitutionella avtalet av den 28 november 2001 om en mer strukturerad användning av omarbetningstekniken för rättsakter</w:t>
      </w:r>
      <w:r>
        <w:rPr>
          <w:rStyle w:val="FootnoteReference"/>
        </w:rPr>
        <w:footnoteReference w:id="2"/>
      </w:r>
      <w:r w:rsidRPr="003E05F5">
        <w:t>,</w:t>
      </w:r>
    </w:p>
    <w:p w:rsidR="00D524FA" w:rsidRPr="003E05F5" w:rsidP="00D524FA" w14:paraId="66B3F4D4" w14:textId="77777777">
      <w:pPr>
        <w:pStyle w:val="NormalHanging12a"/>
      </w:pPr>
      <w:r w:rsidRPr="003E05F5">
        <w:t>–</w:t>
      </w:r>
      <w:r w:rsidRPr="003E05F5">
        <w:tab/>
        <w:t>med beaktande av skrivelsen av den 11 december 2025 från utskottet för rättsliga frågor till utskottet för ekonomi och valutafrågor i enlighet med artikel 113.3 i arbetsordningen,</w:t>
      </w:r>
    </w:p>
    <w:p w:rsidR="00D524FA" w:rsidRPr="003E05F5" w:rsidP="00D524FA" w14:paraId="20C44E05" w14:textId="77777777">
      <w:pPr>
        <w:pStyle w:val="NormalHanging12a"/>
      </w:pPr>
      <w:r w:rsidRPr="003E05F5">
        <w:t>–</w:t>
      </w:r>
      <w:r w:rsidRPr="003E05F5">
        <w:tab/>
        <w:t>med beaktande av artiklarna 113 och 84 i arbetsordningen,</w:t>
      </w:r>
    </w:p>
    <w:p w:rsidR="00D524FA" w:rsidRPr="003E05F5" w:rsidP="00D524FA" w14:paraId="25F1E9F6" w14:textId="0B0B1CDF">
      <w:pPr>
        <w:pStyle w:val="NormalHanging12a"/>
      </w:pPr>
      <w:r w:rsidRPr="003E05F5">
        <w:t>–</w:t>
      </w:r>
      <w:r w:rsidRPr="003E05F5">
        <w:tab/>
        <w:t>med beaktande av betänkandet från utskottet för ekonomi och valutafrågor (A10</w:t>
      </w:r>
      <w:r w:rsidRPr="003E05F5">
        <w:noBreakHyphen/>
        <w:t>0161/2026)</w:t>
      </w:r>
      <w:r w:rsidR="005806B8">
        <w:t>.</w:t>
      </w:r>
    </w:p>
    <w:p w:rsidR="00D524FA" w:rsidRPr="003E05F5" w:rsidP="00D524FA" w14:paraId="18295018" w14:textId="74DF2257">
      <w:pPr>
        <w:pStyle w:val="NormalHanging12a"/>
      </w:pPr>
      <w:r w:rsidRPr="003E05F5">
        <w:t>1.</w:t>
      </w:r>
      <w:r w:rsidRPr="003E05F5">
        <w:tab/>
        <w:t xml:space="preserve">Europaparlamentet </w:t>
      </w:r>
      <w:r w:rsidR="005806B8">
        <w:t>förkastar</w:t>
      </w:r>
      <w:r w:rsidRPr="003E05F5" w:rsidR="005806B8">
        <w:t xml:space="preserve"> </w:t>
      </w:r>
      <w:r w:rsidRPr="003E05F5">
        <w:t>kommissionens förslag.</w:t>
      </w:r>
    </w:p>
    <w:p w:rsidR="00D524FA" w:rsidRPr="003E05F5" w:rsidP="00D524FA" w14:paraId="03F25A7A" w14:textId="2F354D7B">
      <w:pPr>
        <w:pStyle w:val="NormalHanging12a"/>
        <w:keepNext/>
        <w:keepLines/>
        <w:widowControl/>
      </w:pPr>
      <w:r w:rsidRPr="003E05F5">
        <w:t>2.</w:t>
      </w:r>
      <w:r w:rsidRPr="003E05F5">
        <w:tab/>
      </w:r>
      <w:r w:rsidRPr="005806B8" w:rsidR="005806B8">
        <w:t>Europaparlamentet uppmanar kommissionen att dra tillbaka sitt förslag</w:t>
      </w:r>
      <w:r w:rsidRPr="003E05F5">
        <w:t>.</w:t>
      </w:r>
    </w:p>
    <w:p w:rsidR="00D524FA" w:rsidRPr="003E05F5" w:rsidP="00D524FA" w14:paraId="4B4AE3EA" w14:textId="073FF41D">
      <w:pPr>
        <w:pStyle w:val="NormalHanging12a"/>
      </w:pPr>
      <w:r>
        <w:t>3</w:t>
      </w:r>
      <w:r w:rsidRPr="003E05F5">
        <w:t>.</w:t>
      </w:r>
      <w:r w:rsidRPr="003E05F5">
        <w:tab/>
        <w:t>Europaparlamentet uppdrar åt talmannen att översända parlamentets ståndpunkt till rådet, kommissionen och de nationella parlamenten.</w:t>
      </w:r>
    </w:p>
    <w:p w:rsidR="00E365E1" w:rsidRPr="003E05F5" w:rsidP="003A6C67" w14:paraId="4BD1FFD7" w14:textId="0D34FD6B"/>
    <w:sectPr w:rsidSect="003E05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05F5" w14:paraId="41B070C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05F5" w14:paraId="544D113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05F5" w14:paraId="36B84B5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A6C67" w:rsidRPr="003E05F5" w14:paraId="53975AC6" w14:textId="77777777">
      <w:r w:rsidRPr="003E05F5">
        <w:separator/>
      </w:r>
    </w:p>
  </w:footnote>
  <w:footnote w:type="continuationSeparator" w:id="1">
    <w:p w:rsidR="003A6C67" w:rsidRPr="003E05F5" w14:paraId="51A78F73" w14:textId="77777777">
      <w:r w:rsidRPr="003E05F5">
        <w:continuationSeparator/>
      </w:r>
    </w:p>
  </w:footnote>
  <w:footnote w:id="2">
    <w:p w:rsidR="00D524FA" w:rsidRPr="003E05F5" w:rsidP="003E05F5" w14:paraId="184094A7" w14:textId="6AD9D802">
      <w:pPr>
        <w:pStyle w:val="FootnoteText"/>
        <w:ind w:left="567" w:hanging="567"/>
        <w:rPr>
          <w:sz w:val="24"/>
          <w:lang w:val="sv-SE"/>
        </w:rPr>
      </w:pPr>
      <w:r w:rsidRPr="003E05F5">
        <w:rPr>
          <w:rStyle w:val="FootnoteReference"/>
          <w:sz w:val="24"/>
          <w:lang w:val="sv-SE"/>
        </w:rPr>
        <w:footnoteRef/>
      </w:r>
      <w:r w:rsidRPr="003E05F5" w:rsidR="003E05F5">
        <w:rPr>
          <w:sz w:val="24"/>
          <w:lang w:val="sv-SE"/>
        </w:rPr>
        <w:t xml:space="preserve"> </w:t>
      </w:r>
      <w:r w:rsidRPr="003E05F5" w:rsidR="003E05F5">
        <w:rPr>
          <w:sz w:val="24"/>
          <w:lang w:val="sv-SE"/>
        </w:rPr>
        <w:tab/>
      </w:r>
      <w:r w:rsidRPr="003E05F5">
        <w:rPr>
          <w:sz w:val="24"/>
          <w:lang w:val="sv-SE"/>
        </w:rPr>
        <w:t>EGT C 77, 28.3.2002,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05F5" w14:paraId="4979ECA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05F5" w14:paraId="04ADE80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05F5" w14:paraId="5612F7B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0388210">
    <w:abstractNumId w:val="9"/>
  </w:num>
  <w:num w:numId="2" w16cid:durableId="14813500">
    <w:abstractNumId w:val="9"/>
  </w:num>
  <w:num w:numId="3" w16cid:durableId="756633762">
    <w:abstractNumId w:val="7"/>
  </w:num>
  <w:num w:numId="4" w16cid:durableId="330530116">
    <w:abstractNumId w:val="7"/>
  </w:num>
  <w:num w:numId="5" w16cid:durableId="1853909101">
    <w:abstractNumId w:val="6"/>
  </w:num>
  <w:num w:numId="6" w16cid:durableId="1993674136">
    <w:abstractNumId w:val="6"/>
  </w:num>
  <w:num w:numId="7" w16cid:durableId="1998535198">
    <w:abstractNumId w:val="5"/>
  </w:num>
  <w:num w:numId="8" w16cid:durableId="1691377354">
    <w:abstractNumId w:val="5"/>
  </w:num>
  <w:num w:numId="9" w16cid:durableId="915821948">
    <w:abstractNumId w:val="4"/>
  </w:num>
  <w:num w:numId="10" w16cid:durableId="2029066907">
    <w:abstractNumId w:val="4"/>
  </w:num>
  <w:num w:numId="11" w16cid:durableId="1531455822">
    <w:abstractNumId w:val="8"/>
  </w:num>
  <w:num w:numId="12" w16cid:durableId="1156915939">
    <w:abstractNumId w:val="8"/>
  </w:num>
  <w:num w:numId="13" w16cid:durableId="2088653748">
    <w:abstractNumId w:val="3"/>
  </w:num>
  <w:num w:numId="14" w16cid:durableId="589391602">
    <w:abstractNumId w:val="3"/>
  </w:num>
  <w:num w:numId="15" w16cid:durableId="1420443700">
    <w:abstractNumId w:val="2"/>
  </w:num>
  <w:num w:numId="16" w16cid:durableId="1187673849">
    <w:abstractNumId w:val="2"/>
  </w:num>
  <w:num w:numId="17" w16cid:durableId="1929775173">
    <w:abstractNumId w:val="1"/>
  </w:num>
  <w:num w:numId="18" w16cid:durableId="362367327">
    <w:abstractNumId w:val="1"/>
  </w:num>
  <w:num w:numId="19" w16cid:durableId="1619750778">
    <w:abstractNumId w:val="0"/>
  </w:num>
  <w:num w:numId="20" w16cid:durableId="2011789179">
    <w:abstractNumId w:val="0"/>
  </w:num>
  <w:num w:numId="21" w16cid:durableId="1962416053">
    <w:abstractNumId w:val="9"/>
  </w:num>
  <w:num w:numId="22" w16cid:durableId="1852524313">
    <w:abstractNumId w:val="7"/>
  </w:num>
  <w:num w:numId="23" w16cid:durableId="1988435599">
    <w:abstractNumId w:val="6"/>
  </w:num>
  <w:num w:numId="24" w16cid:durableId="475221801">
    <w:abstractNumId w:val="5"/>
  </w:num>
  <w:num w:numId="25" w16cid:durableId="1797599474">
    <w:abstractNumId w:val="4"/>
  </w:num>
  <w:num w:numId="26" w16cid:durableId="2032536663">
    <w:abstractNumId w:val="8"/>
  </w:num>
  <w:num w:numId="27" w16cid:durableId="2138446588">
    <w:abstractNumId w:val="3"/>
  </w:num>
  <w:num w:numId="28" w16cid:durableId="338119113">
    <w:abstractNumId w:val="2"/>
  </w:num>
  <w:num w:numId="29" w16cid:durableId="428426484">
    <w:abstractNumId w:val="1"/>
  </w:num>
  <w:num w:numId="30" w16cid:durableId="1033772665">
    <w:abstractNumId w:val="0"/>
  </w:num>
  <w:num w:numId="31" w16cid:durableId="1078677225">
    <w:abstractNumId w:val="9"/>
  </w:num>
  <w:num w:numId="32" w16cid:durableId="448548059">
    <w:abstractNumId w:val="7"/>
  </w:num>
  <w:num w:numId="33" w16cid:durableId="1796291566">
    <w:abstractNumId w:val="6"/>
  </w:num>
  <w:num w:numId="34" w16cid:durableId="509567619">
    <w:abstractNumId w:val="5"/>
  </w:num>
  <w:num w:numId="35" w16cid:durableId="1137451539">
    <w:abstractNumId w:val="4"/>
  </w:num>
  <w:num w:numId="36" w16cid:durableId="177542758">
    <w:abstractNumId w:val="8"/>
  </w:num>
  <w:num w:numId="37" w16cid:durableId="1353918312">
    <w:abstractNumId w:val="3"/>
  </w:num>
  <w:num w:numId="38" w16cid:durableId="1665274835">
    <w:abstractNumId w:val="2"/>
  </w:num>
  <w:num w:numId="39" w16cid:durableId="496648470">
    <w:abstractNumId w:val="1"/>
  </w:num>
  <w:num w:numId="40" w16cid:durableId="1021786782">
    <w:abstractNumId w:val="0"/>
  </w:num>
  <w:num w:numId="41" w16cid:durableId="500126741">
    <w:abstractNumId w:val="10"/>
  </w:num>
  <w:num w:numId="42" w16cid:durableId="697900559">
    <w:abstractNumId w:val="10"/>
  </w:num>
  <w:num w:numId="43" w16cid:durableId="2092971928">
    <w:abstractNumId w:val="10"/>
  </w:num>
  <w:num w:numId="44" w16cid:durableId="16295118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C67"/>
    <w:rsid w:val="00002272"/>
    <w:rsid w:val="000628A7"/>
    <w:rsid w:val="00064002"/>
    <w:rsid w:val="000677B9"/>
    <w:rsid w:val="000831BA"/>
    <w:rsid w:val="000A42CC"/>
    <w:rsid w:val="000E7DD9"/>
    <w:rsid w:val="0010095E"/>
    <w:rsid w:val="00125B37"/>
    <w:rsid w:val="00187494"/>
    <w:rsid w:val="001B3B97"/>
    <w:rsid w:val="001F32AE"/>
    <w:rsid w:val="002767FF"/>
    <w:rsid w:val="002B18FE"/>
    <w:rsid w:val="002B5493"/>
    <w:rsid w:val="00343214"/>
    <w:rsid w:val="00361C00"/>
    <w:rsid w:val="00395FA1"/>
    <w:rsid w:val="003A6C67"/>
    <w:rsid w:val="003E05F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3CE"/>
    <w:rsid w:val="00560270"/>
    <w:rsid w:val="005806B8"/>
    <w:rsid w:val="005C2568"/>
    <w:rsid w:val="005F1B17"/>
    <w:rsid w:val="006037C0"/>
    <w:rsid w:val="006631B6"/>
    <w:rsid w:val="00672126"/>
    <w:rsid w:val="00680577"/>
    <w:rsid w:val="006F74FA"/>
    <w:rsid w:val="0070415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5D3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A81"/>
    <w:rsid w:val="00C81C5D"/>
    <w:rsid w:val="00C941CB"/>
    <w:rsid w:val="00CC2357"/>
    <w:rsid w:val="00CF071A"/>
    <w:rsid w:val="00D058B8"/>
    <w:rsid w:val="00D524FA"/>
    <w:rsid w:val="00D52B1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1/2026"/>
    <w:docVar w:name="dvlangue" w:val="SV"/>
    <w:docVar w:name="dvnumam" w:val="87"/>
    <w:docVar w:name="dvpe" w:val="784.398"/>
    <w:docVar w:name="dvrapporteur" w:val="Föredragande: "/>
    <w:docVar w:name="dvstar" w:val="*"/>
    <w:docVar w:name="dvtitre" w:val="Europaparlamentets lagstiftningsresolution av den xx xx 2026 om förslaget till rådets direktiv om strukturen och skattesatserna för punktskatten på tobak och tobaksrelaterade produkter (omarbetning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EEC9AB9"/>
  <w15:chartTrackingRefBased/>
  <w15:docId w15:val="{3672AF42-FFB4-45CF-A230-F2F66257B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524F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524F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524F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524F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524F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524FA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D524FA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D524FA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D524FA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nhideWhenUsed/>
    <w:qFormat/>
    <w:rsid w:val="00D524FA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D524F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D524F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524FA"/>
    <w:pPr>
      <w:spacing w:after="240"/>
    </w:pPr>
  </w:style>
  <w:style w:type="paragraph" w:customStyle="1" w:styleId="TOCPage">
    <w:name w:val="TOC Page"/>
    <w:basedOn w:val="Normal"/>
    <w:next w:val="TOC1"/>
    <w:rsid w:val="00D524FA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D524F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524FA"/>
    <w:pPr>
      <w:spacing w:after="240"/>
      <w:ind w:left="567" w:hanging="567"/>
    </w:pPr>
  </w:style>
  <w:style w:type="paragraph" w:customStyle="1" w:styleId="Normal6a">
    <w:name w:val="Normal6a"/>
    <w:basedOn w:val="Normal"/>
    <w:rsid w:val="00D524FA"/>
    <w:pPr>
      <w:spacing w:after="120"/>
    </w:pPr>
  </w:style>
  <w:style w:type="paragraph" w:customStyle="1" w:styleId="CoverNormal24a">
    <w:name w:val="CoverNormal24a"/>
    <w:basedOn w:val="Normal"/>
    <w:rsid w:val="00D524FA"/>
    <w:pPr>
      <w:spacing w:after="480"/>
      <w:ind w:left="1417"/>
    </w:pPr>
  </w:style>
  <w:style w:type="paragraph" w:customStyle="1" w:styleId="CoverNormal">
    <w:name w:val="CoverNormal"/>
    <w:basedOn w:val="Normal"/>
    <w:rsid w:val="00D524FA"/>
    <w:pPr>
      <w:ind w:left="1418"/>
    </w:pPr>
  </w:style>
  <w:style w:type="paragraph" w:customStyle="1" w:styleId="CoverReference">
    <w:name w:val="CoverReference"/>
    <w:basedOn w:val="Normal"/>
    <w:rsid w:val="00D524FA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524F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D524FA"/>
    <w:rPr>
      <w:b/>
      <w:sz w:val="24"/>
      <w:lang w:val="sv-SE"/>
    </w:rPr>
  </w:style>
  <w:style w:type="paragraph" w:customStyle="1" w:styleId="CoverDocType">
    <w:name w:val="CoverDocType"/>
    <w:basedOn w:val="Normal"/>
    <w:rsid w:val="00D524F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524F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524FA"/>
    <w:pPr>
      <w:spacing w:before="240" w:after="1200"/>
    </w:pPr>
  </w:style>
  <w:style w:type="paragraph" w:styleId="Header">
    <w:name w:val="header"/>
    <w:basedOn w:val="Normal"/>
    <w:link w:val="HeaderChar"/>
    <w:rsid w:val="00D524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524FA"/>
    <w:rPr>
      <w:sz w:val="24"/>
      <w:lang w:val="sv-SE"/>
    </w:rPr>
  </w:style>
  <w:style w:type="paragraph" w:customStyle="1" w:styleId="AnnexWPLogo">
    <w:name w:val="AnnexWPLogo"/>
    <w:basedOn w:val="Normal"/>
    <w:rsid w:val="00D524FA"/>
    <w:pPr>
      <w:spacing w:before="120" w:after="120"/>
    </w:pPr>
  </w:style>
  <w:style w:type="paragraph" w:customStyle="1" w:styleId="AnnexWPTabs">
    <w:name w:val="AnnexWPTabs"/>
    <w:basedOn w:val="Normal"/>
    <w:rsid w:val="00D524FA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D524FA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D524FA"/>
    <w:rPr>
      <w:smallCaps/>
      <w:sz w:val="20"/>
    </w:rPr>
  </w:style>
  <w:style w:type="paragraph" w:customStyle="1" w:styleId="AnnexWPDocType">
    <w:name w:val="AnnexWPDocType"/>
    <w:basedOn w:val="Normal"/>
    <w:rsid w:val="00D524FA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D524FA"/>
    <w:pPr>
      <w:spacing w:before="480"/>
    </w:pPr>
    <w:rPr>
      <w:b/>
    </w:rPr>
  </w:style>
  <w:style w:type="paragraph" w:customStyle="1" w:styleId="AmJustText">
    <w:name w:val="AmJustText"/>
    <w:basedOn w:val="Normal"/>
    <w:rsid w:val="00D524FA"/>
    <w:pPr>
      <w:spacing w:after="240"/>
    </w:pPr>
    <w:rPr>
      <w:i/>
    </w:rPr>
  </w:style>
  <w:style w:type="paragraph" w:customStyle="1" w:styleId="AmCrossRef">
    <w:name w:val="AmCrossRef"/>
    <w:basedOn w:val="Normal"/>
    <w:rsid w:val="00D524F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524FA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D524F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524F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524F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524FA"/>
    <w:pPr>
      <w:spacing w:before="240"/>
    </w:pPr>
    <w:rPr>
      <w:b/>
    </w:rPr>
  </w:style>
  <w:style w:type="paragraph" w:customStyle="1" w:styleId="EPBody">
    <w:name w:val="EPBody"/>
    <w:basedOn w:val="Normal"/>
    <w:rsid w:val="00D524F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524F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524FA"/>
    <w:pPr>
      <w:spacing w:before="480" w:after="240"/>
    </w:pPr>
  </w:style>
  <w:style w:type="paragraph" w:customStyle="1" w:styleId="Lgendesigne">
    <w:name w:val="Légende signe"/>
    <w:basedOn w:val="Normal"/>
    <w:rsid w:val="00D524F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524F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524FA"/>
    <w:rPr>
      <w:sz w:val="18"/>
    </w:rPr>
  </w:style>
  <w:style w:type="paragraph" w:customStyle="1" w:styleId="LetterDate">
    <w:name w:val="LetterDate"/>
    <w:basedOn w:val="Normal"/>
    <w:rsid w:val="00D524FA"/>
    <w:pPr>
      <w:spacing w:before="720" w:after="240"/>
    </w:pPr>
  </w:style>
  <w:style w:type="paragraph" w:customStyle="1" w:styleId="LetterSalutation">
    <w:name w:val="LetterSalutation"/>
    <w:basedOn w:val="Normal"/>
    <w:rsid w:val="00D524FA"/>
    <w:pPr>
      <w:spacing w:before="600" w:after="360"/>
    </w:pPr>
  </w:style>
  <w:style w:type="paragraph" w:customStyle="1" w:styleId="LetterSubject">
    <w:name w:val="LetterSubject"/>
    <w:basedOn w:val="Normal"/>
    <w:rsid w:val="00D524FA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D524FA"/>
    <w:pPr>
      <w:spacing w:before="1320"/>
    </w:pPr>
  </w:style>
  <w:style w:type="paragraph" w:customStyle="1" w:styleId="msonormal">
    <w:name w:val="msonormal"/>
    <w:basedOn w:val="Normal"/>
    <w:rsid w:val="00D524FA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D524FA"/>
    <w:rPr>
      <w:sz w:val="22"/>
    </w:rPr>
  </w:style>
  <w:style w:type="paragraph" w:styleId="Footer">
    <w:name w:val="footer"/>
    <w:link w:val="FooterChar"/>
    <w:unhideWhenUsed/>
    <w:rsid w:val="00D524FA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D524FA"/>
    <w:rPr>
      <w:sz w:val="24"/>
      <w:lang w:val="sv-SE"/>
    </w:rPr>
  </w:style>
  <w:style w:type="paragraph" w:styleId="BalloonText">
    <w:name w:val="Balloon Text"/>
    <w:basedOn w:val="Normal"/>
    <w:link w:val="BalloonTextChar"/>
    <w:unhideWhenUsed/>
    <w:rsid w:val="00D524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524FA"/>
    <w:rPr>
      <w:rFonts w:ascii="Segoe UI" w:hAnsi="Segoe UI" w:cs="Segoe UI"/>
      <w:sz w:val="18"/>
      <w:szCs w:val="18"/>
      <w:lang w:val="sv-SE"/>
    </w:rPr>
  </w:style>
  <w:style w:type="paragraph" w:customStyle="1" w:styleId="AMNumberTabs0">
    <w:name w:val="AMNumberTabs"/>
    <w:basedOn w:val="Normal"/>
    <w:rsid w:val="00D524F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D524FA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D524FA"/>
    <w:rPr>
      <w:noProof/>
      <w:sz w:val="24"/>
    </w:rPr>
  </w:style>
  <w:style w:type="paragraph" w:customStyle="1" w:styleId="Normal12">
    <w:name w:val="Normal12"/>
    <w:basedOn w:val="Normal"/>
    <w:link w:val="Normal12Char"/>
    <w:rsid w:val="00D524F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524F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524F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524F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524F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524F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524FA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D524FA"/>
    <w:pPr>
      <w:spacing w:after="120"/>
    </w:pPr>
  </w:style>
  <w:style w:type="paragraph" w:customStyle="1" w:styleId="Normal12Italic">
    <w:name w:val="Normal12Italic"/>
    <w:basedOn w:val="Normal12"/>
    <w:rsid w:val="00D524FA"/>
    <w:rPr>
      <w:i/>
    </w:rPr>
  </w:style>
  <w:style w:type="paragraph" w:customStyle="1" w:styleId="JustificationTitle">
    <w:name w:val="JustificationTitle"/>
    <w:basedOn w:val="Normal"/>
    <w:next w:val="Normal12"/>
    <w:rsid w:val="00D524F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524F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524FA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D524FA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D524F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D524FA"/>
    <w:pPr>
      <w:spacing w:after="480"/>
    </w:pPr>
  </w:style>
  <w:style w:type="paragraph" w:customStyle="1" w:styleId="NormalBoldCenter">
    <w:name w:val="NormalBoldCenter"/>
    <w:basedOn w:val="Normal"/>
    <w:rsid w:val="00D524FA"/>
    <w:pPr>
      <w:jc w:val="center"/>
    </w:pPr>
    <w:rPr>
      <w:b/>
    </w:rPr>
  </w:style>
  <w:style w:type="paragraph" w:customStyle="1" w:styleId="Footprint12b">
    <w:name w:val="Footprint12b"/>
    <w:basedOn w:val="Normal"/>
    <w:rsid w:val="00D524F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524FA"/>
    <w:rPr>
      <w:szCs w:val="24"/>
    </w:rPr>
  </w:style>
  <w:style w:type="paragraph" w:customStyle="1" w:styleId="EntPE">
    <w:name w:val="EntPE"/>
    <w:basedOn w:val="Normal12"/>
    <w:rsid w:val="00D524FA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D524F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524FA"/>
    <w:rPr>
      <w:sz w:val="24"/>
      <w:lang w:val="sv-SE"/>
    </w:rPr>
  </w:style>
  <w:style w:type="character" w:styleId="CommentReference">
    <w:name w:val="annotation reference"/>
    <w:basedOn w:val="DefaultParagraphFont"/>
    <w:rsid w:val="00D524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24F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524FA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524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524FA"/>
    <w:rPr>
      <w:b/>
      <w:bCs/>
      <w:lang w:val="sv-SE"/>
    </w:rPr>
  </w:style>
  <w:style w:type="character" w:styleId="UnresolvedMention">
    <w:name w:val="Unresolved Mention"/>
    <w:basedOn w:val="DefaultParagraphFont"/>
    <w:uiPriority w:val="99"/>
    <w:semiHidden/>
    <w:unhideWhenUsed/>
    <w:rsid w:val="00D524FA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D524F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524F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524F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524FA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2026-06-17T13:15:00Z</dcterms:created>
  <dcterms:modified xsi:type="dcterms:W3CDTF">2026-06-17T13:15:00Z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A10-0161/2026</vt:lpwstr>
  </property>
  <property fmtid="{D5CDD505-2E9C-101B-9397-08002B2CF9AE}" pid="4" name="&lt;Type&gt;">
    <vt:lpwstr>RR</vt:lpwstr>
  </property>
</Properties>
</file>