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714C7E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D6F8E" w:rsidP="0010095E" w14:paraId="0EDC5BE2" w14:textId="3EB7757A">
            <w:pPr>
              <w:pStyle w:val="EPName"/>
            </w:pPr>
            <w:r w:rsidRPr="006D6F8E">
              <w:t>Europa-Parlamentet</w:t>
            </w:r>
          </w:p>
          <w:p w:rsidR="00751A4A" w:rsidRPr="006D6F8E" w:rsidP="005F1B17" w14:paraId="36BDB5EF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F8E">
              <w:t>2024</w:t>
            </w:r>
            <w:r w:rsidRPr="006D6F8E" w:rsidR="00817416">
              <w:t>-202</w:t>
            </w:r>
            <w:r w:rsidRPr="006D6F8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D6F8E" w:rsidP="0010095E" w14:paraId="26F95A95" w14:textId="77777777">
            <w:pPr>
              <w:pStyle w:val="EPLogo"/>
            </w:pPr>
            <w:r w:rsidRPr="006D6F8E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D6F8E" w:rsidP="004C5D52" w14:paraId="03464849" w14:textId="77777777">
      <w:pPr>
        <w:pStyle w:val="LineTop"/>
      </w:pPr>
    </w:p>
    <w:p w:rsidR="00680577" w:rsidRPr="006D6F8E" w:rsidP="00680577" w14:paraId="3A4FB7B1" w14:textId="0BD4F05C">
      <w:pPr>
        <w:pStyle w:val="EPBodyTA1"/>
      </w:pPr>
      <w:r w:rsidRPr="006D6F8E">
        <w:t>VEDTAGNE TEKSTER</w:t>
      </w:r>
    </w:p>
    <w:p w:rsidR="00D058B8" w:rsidRPr="006D6F8E" w:rsidP="00D058B8" w14:paraId="1F46CA5C" w14:textId="77777777">
      <w:pPr>
        <w:pStyle w:val="LineBottom"/>
      </w:pPr>
    </w:p>
    <w:p w:rsidR="005D22A1" w:rsidRPr="006D6F8E" w:rsidP="005D22A1" w14:paraId="40FC96B3" w14:textId="3BF162A6">
      <w:pPr>
        <w:pStyle w:val="ATHeading1"/>
      </w:pPr>
      <w:bookmarkStart w:id="0" w:name="TANumber"/>
      <w:r w:rsidRPr="006D6F8E">
        <w:t>P10_</w:t>
      </w:r>
      <w:r w:rsidRPr="006D6F8E">
        <w:t>TA(</w:t>
      </w:r>
      <w:r w:rsidRPr="006D6F8E">
        <w:t>2026)0</w:t>
      </w:r>
      <w:bookmarkEnd w:id="0"/>
      <w:r w:rsidR="002877BF">
        <w:t>212</w:t>
      </w:r>
    </w:p>
    <w:p w:rsidR="005D22A1" w:rsidRPr="00EB1FC3" w:rsidP="005D22A1" w14:paraId="11BE5B24" w14:textId="1A873566">
      <w:pPr>
        <w:pStyle w:val="ATHeading2"/>
      </w:pPr>
      <w:r w:rsidRPr="0024772E">
        <w:rPr>
          <w:bCs/>
        </w:rPr>
        <w:t>Den generelle ordning for punktafgifter på tobak og tobaksrelaterede produkter</w:t>
      </w:r>
    </w:p>
    <w:p w:rsidR="005D22A1" w:rsidRPr="006D6F8E" w:rsidP="005D22A1" w14:paraId="3F939093" w14:textId="77777777">
      <w:pPr>
        <w:rPr>
          <w:i/>
          <w:vanish/>
        </w:rPr>
      </w:pPr>
      <w:r>
        <w:rPr>
          <w:i/>
        </w:rPr>
        <w:fldChar w:fldCharType="begin"/>
      </w:r>
      <w:r w:rsidRPr="006D6F8E">
        <w:rPr>
          <w:i/>
        </w:rPr>
        <w:instrText xml:space="preserve"> TC"(</w:instrText>
      </w:r>
      <w:bookmarkStart w:id="1" w:name="DocNumber"/>
      <w:r w:rsidRPr="006D6F8E">
        <w:rPr>
          <w:i/>
        </w:rPr>
        <w:instrText>A10-0160/2026</w:instrText>
      </w:r>
      <w:bookmarkEnd w:id="1"/>
      <w:r w:rsidRPr="006D6F8E">
        <w:rPr>
          <w:i/>
        </w:rPr>
        <w:instrText xml:space="preserve"> - Ordfører: </w:instrText>
      </w:r>
      <w:r w:rsidRPr="006D6F8E">
        <w:rPr>
          <w:i/>
        </w:rPr>
        <w:instrText>Tomáš</w:instrText>
      </w:r>
      <w:r w:rsidRPr="006D6F8E">
        <w:rPr>
          <w:i/>
        </w:rPr>
        <w:instrText xml:space="preserve"> </w:instrText>
      </w:r>
      <w:r w:rsidRPr="006D6F8E">
        <w:rPr>
          <w:i/>
        </w:rPr>
        <w:instrText>Kubín</w:instrText>
      </w:r>
      <w:r w:rsidRPr="006D6F8E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D22A1" w:rsidRPr="006D6F8E" w:rsidP="005D22A1" w14:paraId="1F388BB2" w14:textId="77777777">
      <w:pPr>
        <w:rPr>
          <w:vanish/>
        </w:rPr>
      </w:pPr>
      <w:bookmarkStart w:id="2" w:name="Commission"/>
      <w:r w:rsidRPr="006D6F8E">
        <w:rPr>
          <w:vanish/>
        </w:rPr>
        <w:t>Økonomi- og Valutaudvalget</w:t>
      </w:r>
      <w:bookmarkEnd w:id="2"/>
    </w:p>
    <w:p w:rsidR="005D22A1" w:rsidRPr="006D6F8E" w:rsidP="005D22A1" w14:paraId="6C639E94" w14:textId="77777777">
      <w:pPr>
        <w:rPr>
          <w:vanish/>
        </w:rPr>
      </w:pPr>
      <w:bookmarkStart w:id="3" w:name="PE"/>
      <w:r w:rsidRPr="006D6F8E">
        <w:rPr>
          <w:vanish/>
        </w:rPr>
        <w:t>PE784.421</w:t>
      </w:r>
      <w:bookmarkEnd w:id="3"/>
    </w:p>
    <w:p w:rsidR="005D22A1" w:rsidRPr="006D6F8E" w:rsidP="005D22A1" w14:paraId="174559D4" w14:textId="5B79B7DD">
      <w:pPr>
        <w:pStyle w:val="ATHeading3"/>
      </w:pPr>
      <w:bookmarkStart w:id="4" w:name="Sujet"/>
      <w:r w:rsidRPr="006D6F8E">
        <w:t xml:space="preserve">Europa-Parlamentets lovgivningsmæssige beslutning af </w:t>
      </w:r>
      <w:r w:rsidR="00EB1FC3">
        <w:t>17. juni</w:t>
      </w:r>
      <w:r w:rsidRPr="006D6F8E">
        <w:t xml:space="preserve"> 2026 om forslag til Rådets direktiv om ændring af direktiv (EU) 2020/262 for så vidt angår den generelle ordning for punktafgifter på tobak og tobaksrelaterede produkter</w:t>
      </w:r>
      <w:bookmarkEnd w:id="4"/>
      <w:r w:rsidRPr="006D6F8E">
        <w:t xml:space="preserve"> </w:t>
      </w:r>
      <w:bookmarkStart w:id="5" w:name="References"/>
      <w:r w:rsidRPr="006D6F8E">
        <w:t>(</w:t>
      </w:r>
      <w:r w:rsidRPr="006D6F8E">
        <w:t>COM(</w:t>
      </w:r>
      <w:r w:rsidRPr="006D6F8E">
        <w:t>2025)0581 – C10-0296/2025 – 2025/0581(CNS))</w:t>
      </w:r>
      <w:bookmarkEnd w:id="5"/>
    </w:p>
    <w:p w:rsidR="00E05A0F" w:rsidRPr="006D6F8E" w:rsidP="00E05A0F" w14:paraId="1E79D637" w14:textId="77777777">
      <w:pPr>
        <w:pStyle w:val="NormalBold"/>
      </w:pPr>
      <w:r w:rsidRPr="006D6F8E">
        <w:t>(Særlig lovgivningsprocedure – høring)</w:t>
      </w:r>
    </w:p>
    <w:p w:rsidR="00E05A0F" w:rsidRPr="006D6F8E" w:rsidP="00E05A0F" w14:paraId="431BB500" w14:textId="77777777">
      <w:pPr>
        <w:pStyle w:val="EPComma"/>
      </w:pPr>
      <w:r w:rsidRPr="006D6F8E">
        <w:rPr>
          <w:i/>
          <w:iCs/>
        </w:rPr>
        <w:t>Europa-Parlamentet</w:t>
      </w:r>
      <w:r w:rsidRPr="006D6F8E">
        <w:t>,</w:t>
      </w:r>
    </w:p>
    <w:p w:rsidR="00E05A0F" w:rsidRPr="006D6F8E" w:rsidP="00E05A0F" w14:paraId="18FBA39C" w14:textId="77777777">
      <w:pPr>
        <w:pStyle w:val="NormalHanging12a"/>
      </w:pPr>
      <w:r w:rsidRPr="006D6F8E">
        <w:t>–</w:t>
      </w:r>
      <w:r w:rsidRPr="006D6F8E">
        <w:tab/>
        <w:t>der henviser til Kommissionens forslag til Rådet (</w:t>
      </w:r>
      <w:r w:rsidRPr="006D6F8E">
        <w:t>COM(</w:t>
      </w:r>
      <w:r w:rsidRPr="006D6F8E">
        <w:t>2025)0581),</w:t>
      </w:r>
    </w:p>
    <w:p w:rsidR="00E05A0F" w:rsidRPr="006D6F8E" w:rsidP="00E05A0F" w14:paraId="08C04CA6" w14:textId="77777777">
      <w:pPr>
        <w:pStyle w:val="NormalHanging12a"/>
      </w:pPr>
      <w:r w:rsidRPr="006D6F8E">
        <w:t>–</w:t>
      </w:r>
      <w:r w:rsidRPr="006D6F8E">
        <w:tab/>
        <w:t>der henviser til artikel 113 i traktaten om Den Europæiske Unions funktionsmåde, der danner grundlag for Rådets høring af Parlamentet (C10</w:t>
      </w:r>
      <w:r w:rsidRPr="006D6F8E">
        <w:noBreakHyphen/>
        <w:t>0296/2025),</w:t>
      </w:r>
    </w:p>
    <w:p w:rsidR="00E05A0F" w:rsidRPr="006D6F8E" w:rsidP="00E05A0F" w14:paraId="54493FE4" w14:textId="77777777">
      <w:pPr>
        <w:pStyle w:val="NormalHanging12a"/>
      </w:pPr>
      <w:r w:rsidRPr="006D6F8E">
        <w:t>–</w:t>
      </w:r>
      <w:r w:rsidRPr="006D6F8E">
        <w:tab/>
        <w:t>der henviser til forretningsordenens artikel 84,</w:t>
      </w:r>
    </w:p>
    <w:p w:rsidR="00E05A0F" w:rsidRPr="006D6F8E" w:rsidP="00E05A0F" w14:paraId="1924E187" w14:textId="77777777">
      <w:pPr>
        <w:pStyle w:val="NormalHanging12a"/>
      </w:pPr>
      <w:r w:rsidRPr="006D6F8E">
        <w:t>–</w:t>
      </w:r>
      <w:r w:rsidRPr="006D6F8E">
        <w:tab/>
        <w:t>der henviser til betænkning fra Økonomi- og Valutaudvalget (A10-0160/2026),</w:t>
      </w:r>
    </w:p>
    <w:p w:rsidR="00E05A0F" w:rsidRPr="006D6F8E" w:rsidP="00E05A0F" w14:paraId="36ECA766" w14:textId="77777777">
      <w:pPr>
        <w:pStyle w:val="NormalHanging12a"/>
      </w:pPr>
      <w:r w:rsidRPr="006D6F8E">
        <w:t>1.</w:t>
      </w:r>
      <w:r w:rsidRPr="006D6F8E">
        <w:tab/>
        <w:t>godkender Kommissionens forslag som ændret;</w:t>
      </w:r>
    </w:p>
    <w:p w:rsidR="00E05A0F" w:rsidRPr="006D6F8E" w:rsidP="00E05A0F" w14:paraId="2FDEC61A" w14:textId="77777777">
      <w:pPr>
        <w:pStyle w:val="NormalHanging12a"/>
      </w:pPr>
      <w:r w:rsidRPr="006D6F8E">
        <w:t>2.</w:t>
      </w:r>
      <w:r w:rsidRPr="006D6F8E">
        <w:tab/>
        <w:t>opfordrer Kommissionen til at ændre sit forslag i overensstemmelse hermed, jf. artikel 293, stk. 2, i traktaten om Den Europæiske Unions funktionsmåde;</w:t>
      </w:r>
    </w:p>
    <w:p w:rsidR="00E05A0F" w:rsidRPr="006D6F8E" w:rsidP="00E05A0F" w14:paraId="1062A951" w14:textId="77777777">
      <w:pPr>
        <w:pStyle w:val="NormalHanging12a"/>
      </w:pPr>
      <w:r w:rsidRPr="006D6F8E">
        <w:t>3.</w:t>
      </w:r>
      <w:r w:rsidRPr="006D6F8E">
        <w:tab/>
        <w:t>opfordrer Rådet til at underrette Parlamentet, hvis det ikke agter at følge den tekst, Parlamentet har godkendt;</w:t>
      </w:r>
    </w:p>
    <w:p w:rsidR="00E05A0F" w:rsidRPr="006D6F8E" w:rsidP="00E05A0F" w14:paraId="3406420C" w14:textId="77777777">
      <w:pPr>
        <w:pStyle w:val="NormalHanging12a"/>
      </w:pPr>
      <w:r w:rsidRPr="006D6F8E">
        <w:t>4.</w:t>
      </w:r>
      <w:r w:rsidRPr="006D6F8E">
        <w:tab/>
        <w:t>anmoder Rådet om fornyet høring, hvis det agter at ændre Kommissionens forslag i væsentlig grad;</w:t>
      </w:r>
    </w:p>
    <w:p w:rsidR="00E05A0F" w:rsidRPr="006D6F8E" w:rsidP="00E05A0F" w14:paraId="6F2093FC" w14:textId="77777777">
      <w:pPr>
        <w:pStyle w:val="NormalHanging12a"/>
      </w:pPr>
      <w:r w:rsidRPr="006D6F8E">
        <w:t>5.</w:t>
      </w:r>
      <w:r w:rsidRPr="006D6F8E">
        <w:tab/>
        <w:t>pålægger sin formand at sende Parlamentets holdning til Rådet og Kommissionen samt til de nationale parlamenter.</w:t>
      </w:r>
    </w:p>
    <w:p w:rsidR="00E05A0F" w:rsidRPr="006D6F8E" w:rsidP="00E05A0F" w14:paraId="4FDA0B47" w14:textId="77777777"/>
    <w:p w:rsidR="00E05A0F" w:rsidRPr="006D6F8E" w:rsidP="00E05A0F" w14:paraId="7AEF8FCF" w14:textId="08F9DEF7">
      <w:pPr>
        <w:pStyle w:val="AmNumberTabs"/>
        <w:keepNext/>
      </w:pPr>
      <w:r>
        <w:t>Ændring</w:t>
      </w:r>
      <w:r w:rsidRPr="006D6F8E">
        <w:tab/>
      </w:r>
      <w:r w:rsidRPr="006D6F8E">
        <w:tab/>
        <w:t>1</w:t>
      </w:r>
    </w:p>
    <w:p w:rsidR="00E05A0F" w:rsidRPr="006D6F8E" w:rsidP="00E05A0F" w14:paraId="536D036A" w14:textId="77777777">
      <w:pPr>
        <w:pStyle w:val="NormalBold12b"/>
        <w:keepNext/>
      </w:pPr>
      <w:r w:rsidRPr="006D6F8E">
        <w:t>Forslag til direktiv</w:t>
      </w:r>
    </w:p>
    <w:p w:rsidR="00E05A0F" w:rsidRPr="006D6F8E" w:rsidP="00E05A0F" w14:paraId="1828E63B" w14:textId="77777777">
      <w:pPr>
        <w:pStyle w:val="NormalBold"/>
        <w:keepNext/>
      </w:pPr>
      <w:r w:rsidRPr="006D6F8E">
        <w:t>Betragtning 2 a (ny)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BA26F33" w14:textId="77777777" w:rsidTr="00C12F1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05A0F" w:rsidRPr="006D6F8E" w:rsidP="00C12F10" w14:paraId="74152E69" w14:textId="77777777">
            <w:pPr>
              <w:keepNext/>
            </w:pPr>
          </w:p>
        </w:tc>
      </w:tr>
      <w:tr w14:paraId="28CE2096" w14:textId="77777777" w:rsidTr="00C12F1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5190D782" w14:textId="77777777">
            <w:pPr>
              <w:pStyle w:val="AmColumnHeading"/>
              <w:keepNext/>
            </w:pPr>
            <w:r w:rsidRPr="006D6F8E">
              <w:t>Kommissionens forslag</w:t>
            </w:r>
          </w:p>
        </w:tc>
        <w:tc>
          <w:tcPr>
            <w:tcW w:w="4876" w:type="dxa"/>
          </w:tcPr>
          <w:p w:rsidR="00E05A0F" w:rsidRPr="006D6F8E" w:rsidP="00C12F10" w14:paraId="3CA88A4A" w14:textId="025E2335">
            <w:pPr>
              <w:pStyle w:val="AmColumnHeading"/>
              <w:keepNext/>
            </w:pPr>
            <w:r>
              <w:t>Ændring</w:t>
            </w:r>
          </w:p>
        </w:tc>
      </w:tr>
      <w:tr w14:paraId="1D7516BA" w14:textId="77777777" w:rsidTr="00C12F1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06C4DCF5" w14:textId="77777777">
            <w:pPr>
              <w:pStyle w:val="Normal6a"/>
            </w:pPr>
          </w:p>
        </w:tc>
        <w:tc>
          <w:tcPr>
            <w:tcW w:w="4876" w:type="dxa"/>
          </w:tcPr>
          <w:p w:rsidR="00E05A0F" w:rsidRPr="006D6F8E" w:rsidP="00C12F10" w14:paraId="495D5AE6" w14:textId="77777777">
            <w:pPr>
              <w:pStyle w:val="Normal6a"/>
              <w:rPr>
                <w:b/>
                <w:i/>
                <w:szCs w:val="24"/>
              </w:rPr>
            </w:pPr>
            <w:r w:rsidRPr="006D6F8E">
              <w:rPr>
                <w:b/>
                <w:i/>
              </w:rPr>
              <w:t>(2a)</w:t>
            </w:r>
            <w:r w:rsidRPr="006D6F8E">
              <w:rPr>
                <w:b/>
                <w:i/>
              </w:rPr>
              <w:tab/>
              <w:t>De nye kategorier af punktafgifter, der er fastsat i Rådets direktiv (EU</w:t>
            </w:r>
            <w:r w:rsidRPr="006D6F8E">
              <w:rPr>
                <w:b/>
                <w:i/>
              </w:rPr>
              <w:t>) …/</w:t>
            </w:r>
            <w:r w:rsidRPr="006D6F8E">
              <w:rPr>
                <w:b/>
                <w:i/>
              </w:rPr>
              <w:t>…</w:t>
            </w:r>
            <w:r w:rsidRPr="006D6F8E">
              <w:rPr>
                <w:b/>
                <w:i/>
                <w:vertAlign w:val="superscript"/>
              </w:rPr>
              <w:t>1a+</w:t>
            </w:r>
            <w:r w:rsidRPr="006D6F8E">
              <w:rPr>
                <w:b/>
                <w:i/>
              </w:rPr>
              <w:t>, bør føjes til de vejledende niveauer for privatpersoners anskaffelser til eget brug.</w:t>
            </w:r>
          </w:p>
        </w:tc>
      </w:tr>
      <w:tr w14:paraId="2F4508E3" w14:textId="77777777" w:rsidTr="00C12F1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2FF5AA00" w14:textId="77777777">
            <w:pPr>
              <w:pStyle w:val="Normal6a"/>
            </w:pPr>
          </w:p>
        </w:tc>
        <w:tc>
          <w:tcPr>
            <w:tcW w:w="4876" w:type="dxa"/>
          </w:tcPr>
          <w:p w:rsidR="00E05A0F" w:rsidRPr="006D6F8E" w:rsidP="00C12F10" w14:paraId="7E877FF6" w14:textId="77777777">
            <w:pPr>
              <w:pStyle w:val="Normal6a"/>
              <w:rPr>
                <w:b/>
                <w:i/>
              </w:rPr>
            </w:pPr>
            <w:r w:rsidRPr="006D6F8E">
              <w:rPr>
                <w:b/>
                <w:i/>
              </w:rPr>
              <w:t>___________</w:t>
            </w:r>
          </w:p>
        </w:tc>
      </w:tr>
      <w:tr w14:paraId="45F1E8BD" w14:textId="77777777" w:rsidTr="00C12F1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0672C482" w14:textId="77777777">
            <w:pPr>
              <w:pStyle w:val="Normal6a"/>
            </w:pPr>
          </w:p>
        </w:tc>
        <w:tc>
          <w:tcPr>
            <w:tcW w:w="4876" w:type="dxa"/>
          </w:tcPr>
          <w:p w:rsidR="00E05A0F" w:rsidRPr="006D6F8E" w:rsidP="00C12F10" w14:paraId="7BE9731C" w14:textId="77777777">
            <w:pPr>
              <w:pStyle w:val="Normal6a"/>
              <w:rPr>
                <w:b/>
                <w:i/>
              </w:rPr>
            </w:pPr>
            <w:r w:rsidRPr="006D6F8E">
              <w:rPr>
                <w:b/>
                <w:i/>
                <w:vertAlign w:val="superscript"/>
              </w:rPr>
              <w:t>1a</w:t>
            </w:r>
            <w:r w:rsidRPr="006D6F8E">
              <w:rPr>
                <w:b/>
                <w:i/>
              </w:rPr>
              <w:t xml:space="preserve"> Rådets direktiv (EU</w:t>
            </w:r>
            <w:r w:rsidRPr="006D6F8E">
              <w:rPr>
                <w:b/>
                <w:i/>
              </w:rPr>
              <w:t>) …/</w:t>
            </w:r>
            <w:r w:rsidRPr="006D6F8E">
              <w:rPr>
                <w:b/>
                <w:i/>
              </w:rPr>
              <w:t>… af … om punktafgiftsstrukturen og -satserne for tobak og tobaksrelaterede produkter (omarbejdning) (EUT L …, …, ELI: …).</w:t>
            </w:r>
          </w:p>
        </w:tc>
      </w:tr>
      <w:tr w14:paraId="5AF2F75A" w14:textId="77777777" w:rsidTr="00C12F10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6C7A8654" w14:textId="77777777">
            <w:pPr>
              <w:pStyle w:val="Normal6a"/>
            </w:pPr>
          </w:p>
        </w:tc>
        <w:tc>
          <w:tcPr>
            <w:tcW w:w="4876" w:type="dxa"/>
          </w:tcPr>
          <w:p w:rsidR="00E05A0F" w:rsidRPr="006D6F8E" w:rsidP="00C12F10" w14:paraId="33804565" w14:textId="77777777">
            <w:pPr>
              <w:pStyle w:val="Normal6a"/>
              <w:rPr>
                <w:b/>
                <w:i/>
              </w:rPr>
            </w:pPr>
            <w:r w:rsidRPr="006D6F8E">
              <w:rPr>
                <w:b/>
                <w:i/>
              </w:rPr>
              <w:t>+ EUT: Indsæt venligst nummeret på direktivet, der er indeholdt i dokument 2025/0580(CNS), i teksten, og indsæt nummeret, datoen, titlen og EUT-henvisningen på dette direktiv i fodnoten.</w:t>
            </w:r>
          </w:p>
        </w:tc>
      </w:tr>
    </w:tbl>
    <w:p w:rsidR="00E05A0F" w:rsidRPr="006D6F8E" w:rsidP="00E05A0F" w14:paraId="3608125C" w14:textId="77777777"/>
    <w:p w:rsidR="00E05A0F" w:rsidRPr="006D6F8E" w:rsidP="00E05A0F" w14:paraId="6EB52504" w14:textId="7CA3D0E1">
      <w:pPr>
        <w:pStyle w:val="AmNumberTabs"/>
      </w:pPr>
      <w:r>
        <w:t>Ændring</w:t>
      </w:r>
      <w:r w:rsidRPr="006D6F8E">
        <w:tab/>
      </w:r>
      <w:r w:rsidRPr="006D6F8E">
        <w:tab/>
        <w:t>2</w:t>
      </w:r>
    </w:p>
    <w:p w:rsidR="00E05A0F" w:rsidRPr="006D6F8E" w:rsidP="00E05A0F" w14:paraId="365A033D" w14:textId="77777777">
      <w:pPr>
        <w:pStyle w:val="NormalBold12b"/>
      </w:pPr>
      <w:r w:rsidRPr="006D6F8E">
        <w:t>Forslag til direktiv</w:t>
      </w:r>
    </w:p>
    <w:p w:rsidR="00E05A0F" w:rsidRPr="006D6F8E" w:rsidP="00E05A0F" w14:paraId="363B0D82" w14:textId="77777777">
      <w:pPr>
        <w:pStyle w:val="NormalBold"/>
      </w:pPr>
      <w:r w:rsidRPr="006D6F8E">
        <w:t>Betragtning 2 b (ny)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2037ACCF" w14:textId="77777777" w:rsidTr="00C12F1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E05A0F" w:rsidRPr="006D6F8E" w:rsidP="00C12F10" w14:paraId="1281FF9C" w14:textId="77777777">
            <w:pPr>
              <w:keepNext/>
            </w:pPr>
          </w:p>
        </w:tc>
      </w:tr>
      <w:tr w14:paraId="7388435C" w14:textId="77777777" w:rsidTr="00C12F1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12ED5054" w14:textId="77777777">
            <w:pPr>
              <w:pStyle w:val="ColumnHeading"/>
              <w:keepNext/>
            </w:pPr>
            <w:r w:rsidRPr="006D6F8E">
              <w:t>Kommissionens forslag</w:t>
            </w:r>
          </w:p>
        </w:tc>
        <w:tc>
          <w:tcPr>
            <w:tcW w:w="4876" w:type="dxa"/>
          </w:tcPr>
          <w:p w:rsidR="00E05A0F" w:rsidRPr="006D6F8E" w:rsidP="00C12F10" w14:paraId="352F52CD" w14:textId="64E1188F">
            <w:pPr>
              <w:pStyle w:val="ColumnHeading"/>
              <w:keepNext/>
            </w:pPr>
            <w:r>
              <w:t>Ændring</w:t>
            </w:r>
          </w:p>
        </w:tc>
      </w:tr>
      <w:tr w14:paraId="2BA41583" w14:textId="77777777" w:rsidTr="00C12F10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E05A0F" w:rsidRPr="006D6F8E" w:rsidP="00C12F10" w14:paraId="4D8D05CD" w14:textId="77777777">
            <w:pPr>
              <w:pStyle w:val="Normal6"/>
            </w:pPr>
          </w:p>
        </w:tc>
        <w:tc>
          <w:tcPr>
            <w:tcW w:w="4876" w:type="dxa"/>
          </w:tcPr>
          <w:p w:rsidR="00E05A0F" w:rsidRPr="006D6F8E" w:rsidP="00C12F10" w14:paraId="36245A2C" w14:textId="77777777">
            <w:pPr>
              <w:pStyle w:val="Normal6"/>
              <w:rPr>
                <w:szCs w:val="24"/>
              </w:rPr>
            </w:pPr>
            <w:r w:rsidRPr="006D6F8E">
              <w:rPr>
                <w:b/>
                <w:i/>
              </w:rPr>
              <w:t>(2b)</w:t>
            </w:r>
            <w:r w:rsidRPr="006D6F8E">
              <w:rPr>
                <w:b/>
                <w:i/>
              </w:rPr>
              <w:tab/>
              <w:t>Ændringer af de vejledende mængder bør baseres på princippet om, at produkterne i de nye kategorier i henhold til direktiv (EU</w:t>
            </w:r>
            <w:r w:rsidRPr="006D6F8E">
              <w:rPr>
                <w:b/>
                <w:i/>
              </w:rPr>
              <w:t>) …/</w:t>
            </w:r>
            <w:r w:rsidRPr="006D6F8E">
              <w:rPr>
                <w:b/>
                <w:i/>
              </w:rPr>
              <w:t>… [EUT: Indsæt venligst nummeret på direktivet, der er indeholdt i dokument 2025/0580(CNS)] fungerer som alternativer til produkter, der allerede er omfattet af de vejledende mængder i henhold til Rådets direktiv (EU) 2020/262. De vejledende mængder for disse nye kategorier bør derfor være sammenlignelige med dem, der gælder for produkter, som allerede er omfattet af de vejledende mængder i henhold til Rådets direktiv (EU) 2020/262.</w:t>
            </w:r>
          </w:p>
        </w:tc>
      </w:tr>
    </w:tbl>
    <w:p w:rsidR="00E365E1" w:rsidRPr="006D6F8E" w:rsidP="005D22A1" w14:paraId="1491E2F9" w14:textId="4654E9EA"/>
    <w:sectPr w:rsidSect="006D6F8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F8E" w14:paraId="4241F19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F8E" w14:paraId="2B72E8D0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F8E" w14:paraId="37E68E9D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F8E" w14:paraId="16B62FE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F8E" w14:paraId="7CE19897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6D6F8E" w14:paraId="0B24D37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10640448">
    <w:abstractNumId w:val="9"/>
  </w:num>
  <w:num w:numId="2" w16cid:durableId="534586416">
    <w:abstractNumId w:val="9"/>
  </w:num>
  <w:num w:numId="3" w16cid:durableId="782191346">
    <w:abstractNumId w:val="7"/>
  </w:num>
  <w:num w:numId="4" w16cid:durableId="2076584501">
    <w:abstractNumId w:val="7"/>
  </w:num>
  <w:num w:numId="5" w16cid:durableId="920791379">
    <w:abstractNumId w:val="6"/>
  </w:num>
  <w:num w:numId="6" w16cid:durableId="398791768">
    <w:abstractNumId w:val="6"/>
  </w:num>
  <w:num w:numId="7" w16cid:durableId="685670064">
    <w:abstractNumId w:val="5"/>
  </w:num>
  <w:num w:numId="8" w16cid:durableId="1645508259">
    <w:abstractNumId w:val="5"/>
  </w:num>
  <w:num w:numId="9" w16cid:durableId="1352340501">
    <w:abstractNumId w:val="4"/>
  </w:num>
  <w:num w:numId="10" w16cid:durableId="1844199017">
    <w:abstractNumId w:val="4"/>
  </w:num>
  <w:num w:numId="11" w16cid:durableId="320699391">
    <w:abstractNumId w:val="8"/>
  </w:num>
  <w:num w:numId="12" w16cid:durableId="1764494333">
    <w:abstractNumId w:val="8"/>
  </w:num>
  <w:num w:numId="13" w16cid:durableId="148517318">
    <w:abstractNumId w:val="3"/>
  </w:num>
  <w:num w:numId="14" w16cid:durableId="1515537800">
    <w:abstractNumId w:val="3"/>
  </w:num>
  <w:num w:numId="15" w16cid:durableId="624776489">
    <w:abstractNumId w:val="2"/>
  </w:num>
  <w:num w:numId="16" w16cid:durableId="1452896560">
    <w:abstractNumId w:val="2"/>
  </w:num>
  <w:num w:numId="17" w16cid:durableId="1257131270">
    <w:abstractNumId w:val="1"/>
  </w:num>
  <w:num w:numId="18" w16cid:durableId="1805999041">
    <w:abstractNumId w:val="1"/>
  </w:num>
  <w:num w:numId="19" w16cid:durableId="665405856">
    <w:abstractNumId w:val="0"/>
  </w:num>
  <w:num w:numId="20" w16cid:durableId="1909269207">
    <w:abstractNumId w:val="0"/>
  </w:num>
  <w:num w:numId="21" w16cid:durableId="210776787">
    <w:abstractNumId w:val="9"/>
  </w:num>
  <w:num w:numId="22" w16cid:durableId="603265001">
    <w:abstractNumId w:val="7"/>
  </w:num>
  <w:num w:numId="23" w16cid:durableId="958486542">
    <w:abstractNumId w:val="6"/>
  </w:num>
  <w:num w:numId="24" w16cid:durableId="546333066">
    <w:abstractNumId w:val="5"/>
  </w:num>
  <w:num w:numId="25" w16cid:durableId="1758284730">
    <w:abstractNumId w:val="4"/>
  </w:num>
  <w:num w:numId="26" w16cid:durableId="2023774545">
    <w:abstractNumId w:val="8"/>
  </w:num>
  <w:num w:numId="27" w16cid:durableId="854927200">
    <w:abstractNumId w:val="3"/>
  </w:num>
  <w:num w:numId="28" w16cid:durableId="921062505">
    <w:abstractNumId w:val="2"/>
  </w:num>
  <w:num w:numId="29" w16cid:durableId="658386751">
    <w:abstractNumId w:val="1"/>
  </w:num>
  <w:num w:numId="30" w16cid:durableId="2058553936">
    <w:abstractNumId w:val="0"/>
  </w:num>
  <w:num w:numId="31" w16cid:durableId="808396937">
    <w:abstractNumId w:val="9"/>
  </w:num>
  <w:num w:numId="32" w16cid:durableId="526677112">
    <w:abstractNumId w:val="7"/>
  </w:num>
  <w:num w:numId="33" w16cid:durableId="1853762284">
    <w:abstractNumId w:val="6"/>
  </w:num>
  <w:num w:numId="34" w16cid:durableId="539511897">
    <w:abstractNumId w:val="5"/>
  </w:num>
  <w:num w:numId="35" w16cid:durableId="1863516889">
    <w:abstractNumId w:val="4"/>
  </w:num>
  <w:num w:numId="36" w16cid:durableId="1464806407">
    <w:abstractNumId w:val="8"/>
  </w:num>
  <w:num w:numId="37" w16cid:durableId="341014557">
    <w:abstractNumId w:val="3"/>
  </w:num>
  <w:num w:numId="38" w16cid:durableId="1703170220">
    <w:abstractNumId w:val="2"/>
  </w:num>
  <w:num w:numId="39" w16cid:durableId="1113592587">
    <w:abstractNumId w:val="1"/>
  </w:num>
  <w:num w:numId="40" w16cid:durableId="783307755">
    <w:abstractNumId w:val="0"/>
  </w:num>
  <w:num w:numId="41" w16cid:durableId="227502830">
    <w:abstractNumId w:val="10"/>
  </w:num>
  <w:num w:numId="42" w16cid:durableId="1195650782">
    <w:abstractNumId w:val="10"/>
  </w:num>
  <w:num w:numId="43" w16cid:durableId="613365901">
    <w:abstractNumId w:val="10"/>
  </w:num>
  <w:num w:numId="44" w16cid:durableId="15849939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2A1"/>
    <w:rsid w:val="0000066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772E"/>
    <w:rsid w:val="002767FF"/>
    <w:rsid w:val="002877BF"/>
    <w:rsid w:val="002B18FE"/>
    <w:rsid w:val="002B5493"/>
    <w:rsid w:val="002C1020"/>
    <w:rsid w:val="002E182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2A1"/>
    <w:rsid w:val="005F1B17"/>
    <w:rsid w:val="006037C0"/>
    <w:rsid w:val="006631B6"/>
    <w:rsid w:val="00680577"/>
    <w:rsid w:val="006D6F8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2F10"/>
    <w:rsid w:val="00C23CD4"/>
    <w:rsid w:val="00C61C0C"/>
    <w:rsid w:val="00C941CB"/>
    <w:rsid w:val="00CC2357"/>
    <w:rsid w:val="00CF071A"/>
    <w:rsid w:val="00D058B8"/>
    <w:rsid w:val="00D25092"/>
    <w:rsid w:val="00D56C11"/>
    <w:rsid w:val="00D834A0"/>
    <w:rsid w:val="00D872DF"/>
    <w:rsid w:val="00D91E21"/>
    <w:rsid w:val="00DA7FCD"/>
    <w:rsid w:val="00E05A0F"/>
    <w:rsid w:val="00E365E1"/>
    <w:rsid w:val="00E820A4"/>
    <w:rsid w:val="00EB006A"/>
    <w:rsid w:val="00EB1FC3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DA"/>
    <w:docVar w:name="dvnumam" w:val="3"/>
    <w:docVar w:name="dvpe" w:val="784.421"/>
    <w:docVar w:name="dvrapporteur" w:val="Ordfører: "/>
    <w:docVar w:name="dvstar" w:val="*"/>
    <w:docVar w:name="dvtitre" w:val="Europa-Parlamentets lovgivningsmæssige beslutning af xx.xx 2026 om forslag til Rådets direktiv om ændring af direktiv (EU) 2020/262 for så vidt angår den generelle ordning for punktafgifter på tobak og tobaksrelaterede produkter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FCEA23"/>
  <w15:chartTrackingRefBased/>
  <w15:docId w15:val="{848D2865-BD72-480D-B9C8-D8E4F2F52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05A0F"/>
    <w:pPr>
      <w:spacing w:before="480" w:after="240"/>
    </w:pPr>
  </w:style>
  <w:style w:type="paragraph" w:customStyle="1" w:styleId="Normal6a">
    <w:name w:val="Normal6a"/>
    <w:basedOn w:val="Normal"/>
    <w:rsid w:val="00E05A0F"/>
    <w:pPr>
      <w:spacing w:after="120"/>
    </w:pPr>
  </w:style>
  <w:style w:type="paragraph" w:customStyle="1" w:styleId="NormalBold">
    <w:name w:val="NormalBold"/>
    <w:basedOn w:val="Normal"/>
    <w:link w:val="NormalBoldChar"/>
    <w:rsid w:val="00E05A0F"/>
    <w:rPr>
      <w:b/>
    </w:rPr>
  </w:style>
  <w:style w:type="paragraph" w:customStyle="1" w:styleId="NormalHanging12a">
    <w:name w:val="NormalHanging12a"/>
    <w:basedOn w:val="Normal"/>
    <w:rsid w:val="00E05A0F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E05A0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05A0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E05A0F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E05A0F"/>
    <w:rPr>
      <w:b/>
      <w:sz w:val="24"/>
      <w:lang w:val="da-DK"/>
    </w:rPr>
  </w:style>
  <w:style w:type="paragraph" w:customStyle="1" w:styleId="Normal6">
    <w:name w:val="Normal6"/>
    <w:basedOn w:val="Normal"/>
    <w:link w:val="Normal6Char"/>
    <w:rsid w:val="00E05A0F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E05A0F"/>
    <w:rPr>
      <w:sz w:val="24"/>
      <w:lang w:val="da-DK"/>
    </w:rPr>
  </w:style>
  <w:style w:type="paragraph" w:customStyle="1" w:styleId="ColumnHeading">
    <w:name w:val="ColumnHeading"/>
    <w:basedOn w:val="Normal"/>
    <w:rsid w:val="00E05A0F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E05A0F"/>
    <w:rPr>
      <w:b/>
      <w:sz w:val="24"/>
      <w:lang w:val="da-DK"/>
    </w:rPr>
  </w:style>
  <w:style w:type="paragraph" w:styleId="Revision">
    <w:name w:val="Revision"/>
    <w:hidden/>
    <w:uiPriority w:val="99"/>
    <w:semiHidden/>
    <w:rsid w:val="00EB1FC3"/>
    <w:rPr>
      <w:sz w:val="24"/>
      <w:lang w:val="da-DK"/>
    </w:rPr>
  </w:style>
  <w:style w:type="character" w:styleId="CommentReference">
    <w:name w:val="annotation reference"/>
    <w:basedOn w:val="DefaultParagraphFont"/>
    <w:rsid w:val="00EB1FC3"/>
    <w:rPr>
      <w:sz w:val="16"/>
      <w:szCs w:val="16"/>
    </w:rPr>
  </w:style>
  <w:style w:type="paragraph" w:styleId="CommentText">
    <w:name w:val="annotation text"/>
    <w:basedOn w:val="Normal"/>
    <w:link w:val="CommentTextChar"/>
    <w:rsid w:val="00EB1FC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B1FC3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EB1F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B1FC3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2026-06-17T14:08:00Z</dcterms:created>
  <dcterms:modified xsi:type="dcterms:W3CDTF">2026-06-17T14:08:00Z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