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F190C29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02F8C" w:rsidP="0010095E" w14:paraId="54E9B009" w14:textId="77777777">
            <w:pPr>
              <w:pStyle w:val="EPName"/>
            </w:pPr>
            <w:r w:rsidRPr="00A02F8C">
              <w:t>Parlament Europejski</w:t>
            </w:r>
          </w:p>
          <w:p w:rsidR="00751A4A" w:rsidRPr="00A02F8C" w:rsidP="005F1B17" w14:paraId="24132B21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02F8C">
              <w:t>2024</w:t>
            </w:r>
            <w:r w:rsidRPr="00A02F8C" w:rsidR="00817416">
              <w:t>-202</w:t>
            </w:r>
            <w:r w:rsidRPr="00A02F8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02F8C" w:rsidP="0010095E" w14:paraId="0E6A4D02" w14:textId="77777777">
            <w:pPr>
              <w:pStyle w:val="EPLogo"/>
            </w:pPr>
            <w:r w:rsidRPr="00A02F8C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02F8C" w:rsidP="004C5D52" w14:paraId="1EF450D8" w14:textId="77777777">
      <w:pPr>
        <w:pStyle w:val="LineTop"/>
      </w:pPr>
    </w:p>
    <w:p w:rsidR="00680577" w:rsidRPr="00A02F8C" w:rsidP="00680577" w14:paraId="1DCE410B" w14:textId="77777777">
      <w:pPr>
        <w:pStyle w:val="EPBodyTA1"/>
      </w:pPr>
      <w:r w:rsidRPr="00A02F8C">
        <w:t>TEKSTY PRZYJĘTE</w:t>
      </w:r>
    </w:p>
    <w:p w:rsidR="00D058B8" w:rsidRPr="00A02F8C" w:rsidP="00D058B8" w14:paraId="0CA1FCEB" w14:textId="77777777">
      <w:pPr>
        <w:pStyle w:val="LineBottom"/>
      </w:pPr>
    </w:p>
    <w:p w:rsidR="00395F02" w:rsidRPr="00A02F8C" w:rsidP="00395F02" w14:paraId="3D708682" w14:textId="036D8B13">
      <w:pPr>
        <w:pStyle w:val="ATHeading1"/>
      </w:pPr>
      <w:bookmarkStart w:id="0" w:name="TANumber"/>
      <w:r w:rsidRPr="00A02F8C">
        <w:t>P10_</w:t>
      </w:r>
      <w:r w:rsidRPr="00A02F8C">
        <w:t>TA(</w:t>
      </w:r>
      <w:r w:rsidRPr="00A02F8C">
        <w:t>2026)0</w:t>
      </w:r>
      <w:bookmarkEnd w:id="0"/>
      <w:r w:rsidR="0018651A">
        <w:t>212</w:t>
      </w:r>
    </w:p>
    <w:p w:rsidR="00395F02" w:rsidRPr="00A02F8C" w:rsidP="005617B6" w14:paraId="20E4F97A" w14:textId="3FED5F64">
      <w:pPr>
        <w:pStyle w:val="ATHeading2"/>
      </w:pPr>
      <w:r w:rsidRPr="005617B6">
        <w:t>Ogólne zasady dotyczące podatku akcyzowego stosowanego do tytoniu i substytucyjnych wyrobów</w:t>
      </w:r>
      <w:r>
        <w:t xml:space="preserve"> </w:t>
      </w:r>
      <w:r w:rsidRPr="005617B6">
        <w:t>tytoniowych</w:t>
      </w:r>
    </w:p>
    <w:p w:rsidR="00395F02" w:rsidRPr="00A02F8C" w:rsidP="00395F02" w14:paraId="0B438568" w14:textId="77777777">
      <w:pPr>
        <w:rPr>
          <w:i/>
          <w:vanish/>
        </w:rPr>
      </w:pPr>
      <w:r>
        <w:rPr>
          <w:i/>
        </w:rPr>
        <w:fldChar w:fldCharType="begin"/>
      </w:r>
      <w:r w:rsidRPr="00A02F8C">
        <w:rPr>
          <w:i/>
        </w:rPr>
        <w:instrText xml:space="preserve"> TC"(</w:instrText>
      </w:r>
      <w:bookmarkStart w:id="1" w:name="DocNumber"/>
      <w:r w:rsidRPr="00A02F8C">
        <w:rPr>
          <w:i/>
        </w:rPr>
        <w:instrText>A10-0160/2026</w:instrText>
      </w:r>
      <w:bookmarkEnd w:id="1"/>
      <w:r w:rsidRPr="00A02F8C">
        <w:rPr>
          <w:i/>
        </w:rPr>
        <w:instrText xml:space="preserve"> - Sprawozdawca: </w:instrText>
      </w:r>
      <w:r w:rsidRPr="00A02F8C">
        <w:rPr>
          <w:i/>
        </w:rPr>
        <w:instrText>Tomáš</w:instrText>
      </w:r>
      <w:r w:rsidRPr="00A02F8C">
        <w:rPr>
          <w:i/>
        </w:rPr>
        <w:instrText xml:space="preserve"> </w:instrText>
      </w:r>
      <w:r w:rsidRPr="00A02F8C">
        <w:rPr>
          <w:i/>
        </w:rPr>
        <w:instrText>Kubín</w:instrText>
      </w:r>
      <w:r w:rsidRPr="00A02F8C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395F02" w:rsidRPr="00A02F8C" w:rsidP="00395F02" w14:paraId="38619038" w14:textId="77777777">
      <w:pPr>
        <w:rPr>
          <w:vanish/>
        </w:rPr>
      </w:pPr>
      <w:bookmarkStart w:id="2" w:name="Commission"/>
      <w:r w:rsidRPr="00A02F8C">
        <w:rPr>
          <w:vanish/>
        </w:rPr>
        <w:t>Komisja Gospodarcza i Monetarna</w:t>
      </w:r>
      <w:bookmarkEnd w:id="2"/>
    </w:p>
    <w:p w:rsidR="00395F02" w:rsidRPr="00A02F8C" w:rsidP="00395F02" w14:paraId="11E678FB" w14:textId="77777777">
      <w:pPr>
        <w:rPr>
          <w:vanish/>
        </w:rPr>
      </w:pPr>
      <w:bookmarkStart w:id="3" w:name="PE"/>
      <w:r w:rsidRPr="00A02F8C">
        <w:rPr>
          <w:vanish/>
        </w:rPr>
        <w:t>PE784.421</w:t>
      </w:r>
      <w:bookmarkEnd w:id="3"/>
    </w:p>
    <w:p w:rsidR="00395F02" w:rsidRPr="00A02F8C" w:rsidP="00395F02" w14:paraId="51BBF758" w14:textId="36155DF1">
      <w:pPr>
        <w:pStyle w:val="ATHeading3"/>
      </w:pPr>
      <w:bookmarkStart w:id="4" w:name="Sujet"/>
      <w:r w:rsidRPr="00A02F8C">
        <w:t xml:space="preserve">Rezolucja ustawodawcza Parlamentu Europejskiego z dnia </w:t>
      </w:r>
      <w:r w:rsidR="005617B6">
        <w:t>17 czerwca</w:t>
      </w:r>
      <w:r w:rsidRPr="00A02F8C">
        <w:t xml:space="preserve"> 2026 r. w sprawie wniosku dotyczącego dyrektywy Rady zmieniającej dyrektywę (UE) 2020/262 w odniesieniu do ogólnych zasad dotyczących podatku akcyzowego stosowanego do tytoniu i substytucyjnych wyrobów tytoniowych</w:t>
      </w:r>
      <w:bookmarkEnd w:id="4"/>
      <w:r w:rsidRPr="00A02F8C">
        <w:t xml:space="preserve"> </w:t>
      </w:r>
      <w:bookmarkStart w:id="5" w:name="References"/>
      <w:r w:rsidRPr="00A02F8C">
        <w:t>(</w:t>
      </w:r>
      <w:r w:rsidRPr="00A02F8C">
        <w:t>COM(</w:t>
      </w:r>
      <w:r w:rsidRPr="00A02F8C">
        <w:t>2025)0581 – C10-0296/2025 – 2025/0581(CNS))</w:t>
      </w:r>
      <w:bookmarkEnd w:id="5"/>
    </w:p>
    <w:p w:rsidR="00822BC1" w:rsidRPr="00A02F8C" w:rsidP="00822BC1" w14:paraId="33FB6A19" w14:textId="77777777">
      <w:pPr>
        <w:pStyle w:val="NormalBold"/>
      </w:pPr>
      <w:r w:rsidRPr="00A02F8C">
        <w:t>(Specjalna procedura ustawodawcza – konsultacja)</w:t>
      </w:r>
    </w:p>
    <w:p w:rsidR="00822BC1" w:rsidRPr="00A02F8C" w:rsidP="00822BC1" w14:paraId="4F220A23" w14:textId="77777777">
      <w:pPr>
        <w:pStyle w:val="EPComma"/>
      </w:pPr>
      <w:r w:rsidRPr="00A02F8C">
        <w:rPr>
          <w:i/>
        </w:rPr>
        <w:t>Parlament Europejski</w:t>
      </w:r>
      <w:r w:rsidRPr="00A02F8C">
        <w:t>,</w:t>
      </w:r>
    </w:p>
    <w:p w:rsidR="00822BC1" w:rsidRPr="00A02F8C" w:rsidP="00822BC1" w14:paraId="67EBBE60" w14:textId="77777777">
      <w:pPr>
        <w:pStyle w:val="NormalHanging12a"/>
      </w:pPr>
      <w:r w:rsidRPr="00A02F8C">
        <w:t>–</w:t>
      </w:r>
      <w:r w:rsidRPr="00A02F8C">
        <w:tab/>
        <w:t>uwzględniając wniosek Komisji przedstawiony Radzie (</w:t>
      </w:r>
      <w:r w:rsidRPr="00A02F8C">
        <w:t>COM(</w:t>
      </w:r>
      <w:r w:rsidRPr="00A02F8C">
        <w:t>2025)0581),</w:t>
      </w:r>
    </w:p>
    <w:p w:rsidR="00822BC1" w:rsidRPr="00A02F8C" w:rsidP="00822BC1" w14:paraId="59F344A9" w14:textId="77777777">
      <w:pPr>
        <w:pStyle w:val="NormalHanging12a"/>
      </w:pPr>
      <w:r w:rsidRPr="00A02F8C">
        <w:t>–</w:t>
      </w:r>
      <w:r w:rsidRPr="00A02F8C">
        <w:tab/>
        <w:t>uwzględniając art. 113 Traktatu o funkcjonowaniu Unii Europejskiej, na mocy którego Rada skonsultowała się z Parlamentem (C10</w:t>
      </w:r>
      <w:r w:rsidRPr="00A02F8C">
        <w:noBreakHyphen/>
        <w:t>0296/2025),</w:t>
      </w:r>
    </w:p>
    <w:p w:rsidR="00822BC1" w:rsidRPr="00A02F8C" w:rsidP="00822BC1" w14:paraId="649DF4CA" w14:textId="77777777">
      <w:pPr>
        <w:pStyle w:val="NormalHanging12a"/>
      </w:pPr>
      <w:r w:rsidRPr="00A02F8C">
        <w:t>–</w:t>
      </w:r>
      <w:r w:rsidRPr="00A02F8C">
        <w:tab/>
        <w:t>uwzględniając art. 84 Regulaminu,</w:t>
      </w:r>
    </w:p>
    <w:p w:rsidR="00822BC1" w:rsidRPr="00A02F8C" w:rsidP="00822BC1" w14:paraId="1AC4CAB8" w14:textId="77777777">
      <w:pPr>
        <w:pStyle w:val="NormalHanging12a"/>
      </w:pPr>
      <w:r w:rsidRPr="00A02F8C">
        <w:t>–</w:t>
      </w:r>
      <w:r w:rsidRPr="00A02F8C">
        <w:tab/>
        <w:t>uwzględniając sprawozdanie Komisji Gospodarczej i Monetarnej (A10-0160/2026),</w:t>
      </w:r>
    </w:p>
    <w:p w:rsidR="00822BC1" w:rsidRPr="00A02F8C" w:rsidP="00822BC1" w14:paraId="0AA1A673" w14:textId="77777777">
      <w:pPr>
        <w:pStyle w:val="NormalHanging12a"/>
      </w:pPr>
      <w:r w:rsidRPr="00A02F8C">
        <w:t>1.</w:t>
      </w:r>
      <w:r w:rsidRPr="00A02F8C">
        <w:tab/>
        <w:t>zatwierdza po poprawkach wniosek Komisji;</w:t>
      </w:r>
    </w:p>
    <w:p w:rsidR="00822BC1" w:rsidRPr="00A02F8C" w:rsidP="00822BC1" w14:paraId="767B46B1" w14:textId="77777777">
      <w:pPr>
        <w:pStyle w:val="NormalHanging12a"/>
      </w:pPr>
      <w:r w:rsidRPr="00A02F8C">
        <w:t>2.</w:t>
      </w:r>
      <w:r w:rsidRPr="00A02F8C">
        <w:tab/>
        <w:t>zwraca się do Komisji o odpowiednią zmianę jej wniosku, zgodnie z art. 293 ust. 2 Traktatu o funkcjonowaniu Unii Europejskiej;</w:t>
      </w:r>
    </w:p>
    <w:p w:rsidR="00822BC1" w:rsidRPr="00A02F8C" w:rsidP="00822BC1" w14:paraId="7253E7FD" w14:textId="77777777">
      <w:pPr>
        <w:pStyle w:val="NormalHanging12a"/>
      </w:pPr>
      <w:r w:rsidRPr="00A02F8C">
        <w:t>3.</w:t>
      </w:r>
      <w:r w:rsidRPr="00A02F8C">
        <w:tab/>
        <w:t>zwraca się do Rady o poinformowanie go, jeśli uzna ona za stosowne odejście od tekstu przyjętego przez Parlament;</w:t>
      </w:r>
    </w:p>
    <w:p w:rsidR="00822BC1" w:rsidRPr="00A02F8C" w:rsidP="00822BC1" w14:paraId="17F7C023" w14:textId="77777777">
      <w:pPr>
        <w:pStyle w:val="NormalHanging12a"/>
      </w:pPr>
      <w:r w:rsidRPr="00A02F8C">
        <w:t>4.</w:t>
      </w:r>
      <w:r w:rsidRPr="00A02F8C">
        <w:tab/>
        <w:t>zwraca się do Rady o ponowne skonsultowanie się z Parlamentem, jeśli uzna ona za stosowne wprowadzenie znaczących zmian do wniosku Komisji;</w:t>
      </w:r>
    </w:p>
    <w:p w:rsidR="00822BC1" w:rsidRPr="00A02F8C" w:rsidP="00822BC1" w14:paraId="1692AF7F" w14:textId="77777777">
      <w:pPr>
        <w:pStyle w:val="NormalHanging12a"/>
      </w:pPr>
      <w:r w:rsidRPr="00A02F8C">
        <w:t>5.</w:t>
      </w:r>
      <w:r w:rsidRPr="00A02F8C">
        <w:tab/>
        <w:t>zobowiązuje swoją przewodniczącą do przekazania stanowiska Parlamentu Radzie, Komisji i parlamentom narodowym.</w:t>
      </w:r>
    </w:p>
    <w:p w:rsidR="00822BC1" w:rsidRPr="00A02F8C" w:rsidP="00822BC1" w14:paraId="14635822" w14:textId="77777777"/>
    <w:p w:rsidR="00822BC1" w:rsidRPr="00A02F8C" w:rsidP="00822BC1" w14:paraId="4238BE48" w14:textId="77777777">
      <w:pPr>
        <w:pStyle w:val="AmNumberTabs"/>
        <w:keepNext/>
      </w:pPr>
      <w:r w:rsidRPr="00A02F8C">
        <w:t>Poprawka</w:t>
      </w:r>
      <w:r w:rsidRPr="00A02F8C">
        <w:tab/>
      </w:r>
      <w:r w:rsidRPr="00A02F8C">
        <w:tab/>
        <w:t>1</w:t>
      </w:r>
    </w:p>
    <w:p w:rsidR="00822BC1" w:rsidRPr="00A02F8C" w:rsidP="00822BC1" w14:paraId="15E8B743" w14:textId="77777777">
      <w:pPr>
        <w:pStyle w:val="NormalBold12b"/>
        <w:keepNext/>
      </w:pPr>
      <w:r w:rsidRPr="00A02F8C">
        <w:t>Wniosek dotyczący dyrektywy</w:t>
      </w:r>
    </w:p>
    <w:p w:rsidR="00822BC1" w:rsidRPr="00A02F8C" w:rsidP="00822BC1" w14:paraId="1BCB366C" w14:textId="77777777">
      <w:pPr>
        <w:pStyle w:val="NormalBold"/>
        <w:keepNext/>
      </w:pPr>
      <w:r w:rsidRPr="00A02F8C">
        <w:t>Motyw 2 a (nowy)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61783978" w14:textId="77777777" w:rsidTr="007F6370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822BC1" w:rsidRPr="00A02F8C" w:rsidP="007F6370" w14:paraId="5DF37FBC" w14:textId="77777777">
            <w:pPr>
              <w:keepNext/>
            </w:pPr>
          </w:p>
        </w:tc>
      </w:tr>
      <w:tr w14:paraId="787EAD7C" w14:textId="77777777" w:rsidTr="007F6370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822BC1" w:rsidRPr="00A02F8C" w:rsidP="007F6370" w14:paraId="5C419931" w14:textId="77777777">
            <w:pPr>
              <w:pStyle w:val="AmColumnHeading"/>
              <w:keepNext/>
            </w:pPr>
            <w:r w:rsidRPr="00A02F8C">
              <w:t>Tekst proponowany przez Komisję</w:t>
            </w:r>
          </w:p>
        </w:tc>
        <w:tc>
          <w:tcPr>
            <w:tcW w:w="4876" w:type="dxa"/>
          </w:tcPr>
          <w:p w:rsidR="00822BC1" w:rsidRPr="00A02F8C" w:rsidP="007F6370" w14:paraId="5B9EDC84" w14:textId="77777777">
            <w:pPr>
              <w:pStyle w:val="AmColumnHeading"/>
              <w:keepNext/>
            </w:pPr>
            <w:r w:rsidRPr="00A02F8C">
              <w:t>Poprawka</w:t>
            </w:r>
          </w:p>
        </w:tc>
      </w:tr>
      <w:tr w14:paraId="64D8FE34" w14:textId="77777777" w:rsidTr="007F6370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822BC1" w:rsidRPr="00A02F8C" w:rsidP="007F6370" w14:paraId="2ED25FB7" w14:textId="77777777">
            <w:pPr>
              <w:pStyle w:val="Normal6a"/>
            </w:pPr>
          </w:p>
        </w:tc>
        <w:tc>
          <w:tcPr>
            <w:tcW w:w="4876" w:type="dxa"/>
          </w:tcPr>
          <w:p w:rsidR="00822BC1" w:rsidRPr="00A02F8C" w:rsidP="007F6370" w14:paraId="57AEB816" w14:textId="77777777">
            <w:pPr>
              <w:pStyle w:val="Normal6a"/>
              <w:rPr>
                <w:b/>
                <w:i/>
                <w:szCs w:val="24"/>
              </w:rPr>
            </w:pPr>
            <w:r w:rsidRPr="00A02F8C">
              <w:rPr>
                <w:b/>
                <w:i/>
              </w:rPr>
              <w:t>(2a)</w:t>
            </w:r>
            <w:r w:rsidRPr="00A02F8C">
              <w:rPr>
                <w:b/>
                <w:i/>
              </w:rPr>
              <w:tab/>
              <w:t>Należy dodać nowe kategorie podatku akcyzowego określone w dyrektywie Rady (UE) .../...</w:t>
            </w:r>
            <w:r w:rsidRPr="00A02F8C">
              <w:rPr>
                <w:b/>
                <w:i/>
                <w:vertAlign w:val="superscript"/>
              </w:rPr>
              <w:t>1a+</w:t>
            </w:r>
            <w:r w:rsidRPr="00A02F8C">
              <w:rPr>
                <w:b/>
                <w:i/>
              </w:rPr>
              <w:t xml:space="preserve"> do orientacyjnych poziomów dotyczących nabywania przez osoby prywatne na użytek własny.</w:t>
            </w:r>
          </w:p>
        </w:tc>
      </w:tr>
      <w:tr w14:paraId="17C529ED" w14:textId="77777777" w:rsidTr="007F6370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822BC1" w:rsidRPr="00A02F8C" w:rsidP="007F6370" w14:paraId="739D0567" w14:textId="77777777">
            <w:pPr>
              <w:pStyle w:val="Normal6a"/>
            </w:pPr>
          </w:p>
        </w:tc>
        <w:tc>
          <w:tcPr>
            <w:tcW w:w="4876" w:type="dxa"/>
          </w:tcPr>
          <w:p w:rsidR="00822BC1" w:rsidRPr="00A02F8C" w:rsidP="007F6370" w14:paraId="69E52B90" w14:textId="77777777">
            <w:pPr>
              <w:pStyle w:val="Normal6a"/>
              <w:rPr>
                <w:b/>
                <w:i/>
              </w:rPr>
            </w:pPr>
            <w:r w:rsidRPr="00A02F8C">
              <w:rPr>
                <w:b/>
                <w:i/>
              </w:rPr>
              <w:t>___________</w:t>
            </w:r>
          </w:p>
        </w:tc>
      </w:tr>
      <w:tr w14:paraId="5CEA433A" w14:textId="77777777" w:rsidTr="007F6370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822BC1" w:rsidRPr="00A02F8C" w:rsidP="007F6370" w14:paraId="01E6312F" w14:textId="77777777">
            <w:pPr>
              <w:pStyle w:val="Normal6a"/>
            </w:pPr>
          </w:p>
        </w:tc>
        <w:tc>
          <w:tcPr>
            <w:tcW w:w="4876" w:type="dxa"/>
          </w:tcPr>
          <w:p w:rsidR="00822BC1" w:rsidRPr="00A02F8C" w:rsidP="007F6370" w14:paraId="76F98182" w14:textId="77777777">
            <w:pPr>
              <w:pStyle w:val="Normal6a"/>
              <w:rPr>
                <w:b/>
                <w:i/>
              </w:rPr>
            </w:pPr>
            <w:r w:rsidRPr="00A02F8C">
              <w:rPr>
                <w:b/>
                <w:i/>
                <w:vertAlign w:val="superscript"/>
              </w:rPr>
              <w:t>1a</w:t>
            </w:r>
            <w:r w:rsidRPr="00A02F8C">
              <w:rPr>
                <w:b/>
                <w:i/>
              </w:rPr>
              <w:t xml:space="preserve"> Dyrektywa Rady (UE) .../... z dnia ... w sprawie struktury oraz stawek akcyzy stosowanych do tytoniu i substytucyjnych wyrobów tytoniowych (wersja przekształcona) (Dz.U. L …, …, ELI: …).</w:t>
            </w:r>
          </w:p>
        </w:tc>
      </w:tr>
      <w:tr w14:paraId="4DDBA2B0" w14:textId="77777777" w:rsidTr="007F6370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822BC1" w:rsidRPr="00A02F8C" w:rsidP="007F6370" w14:paraId="2221E150" w14:textId="77777777">
            <w:pPr>
              <w:pStyle w:val="Normal6a"/>
            </w:pPr>
          </w:p>
        </w:tc>
        <w:tc>
          <w:tcPr>
            <w:tcW w:w="4876" w:type="dxa"/>
          </w:tcPr>
          <w:p w:rsidR="00822BC1" w:rsidRPr="00A02F8C" w:rsidP="007F6370" w14:paraId="08CD7A5B" w14:textId="77777777">
            <w:pPr>
              <w:pStyle w:val="Normal6a"/>
              <w:rPr>
                <w:b/>
                <w:i/>
              </w:rPr>
            </w:pPr>
            <w:r w:rsidRPr="00A02F8C">
              <w:rPr>
                <w:b/>
                <w:i/>
              </w:rPr>
              <w:t>+ Dz.U.: proszę wstawić w tekście numer dyrektywy zawartej w dokumencie 2025/0580(CNS) oraz podać w przypisie dolnym numer, datę i tytuł tej dyrektywy i odniesienie do jej publikacji w Dz.U.</w:t>
            </w:r>
          </w:p>
        </w:tc>
      </w:tr>
    </w:tbl>
    <w:p w:rsidR="00822BC1" w:rsidRPr="00A02F8C" w:rsidP="00822BC1" w14:paraId="7DFD2B86" w14:textId="77777777"/>
    <w:p w:rsidR="00822BC1" w:rsidRPr="00A02F8C" w:rsidP="00822BC1" w14:paraId="747BC1F7" w14:textId="77777777">
      <w:pPr>
        <w:pStyle w:val="AmNumberTabs"/>
      </w:pPr>
      <w:r w:rsidRPr="00A02F8C">
        <w:t>Poprawka</w:t>
      </w:r>
      <w:r w:rsidRPr="00A02F8C">
        <w:tab/>
      </w:r>
      <w:r w:rsidRPr="00A02F8C">
        <w:tab/>
        <w:t>2</w:t>
      </w:r>
    </w:p>
    <w:p w:rsidR="00822BC1" w:rsidRPr="00A02F8C" w:rsidP="00822BC1" w14:paraId="4ACD1E89" w14:textId="77777777">
      <w:pPr>
        <w:pStyle w:val="NormalBold12b"/>
      </w:pPr>
      <w:r w:rsidRPr="00A02F8C">
        <w:t>Wniosek dotyczący dyrektywy</w:t>
      </w:r>
    </w:p>
    <w:p w:rsidR="00822BC1" w:rsidRPr="00A02F8C" w:rsidP="00822BC1" w14:paraId="3A1946B6" w14:textId="77777777">
      <w:pPr>
        <w:pStyle w:val="NormalBold"/>
      </w:pPr>
      <w:r w:rsidRPr="00A02F8C">
        <w:t>Motyw 2 b (nowy)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6BA2FBAB" w14:textId="77777777" w:rsidTr="007F6370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822BC1" w:rsidRPr="00A02F8C" w:rsidP="007F6370" w14:paraId="76BA7EE5" w14:textId="77777777">
            <w:pPr>
              <w:keepNext/>
            </w:pPr>
          </w:p>
        </w:tc>
      </w:tr>
      <w:tr w14:paraId="08DFF750" w14:textId="77777777" w:rsidTr="007F6370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822BC1" w:rsidRPr="00A02F8C" w:rsidP="007F6370" w14:paraId="669DBF49" w14:textId="77777777">
            <w:pPr>
              <w:pStyle w:val="ColumnHeading"/>
              <w:keepNext/>
            </w:pPr>
            <w:r w:rsidRPr="00A02F8C">
              <w:t>Tekst proponowany przez Komisję</w:t>
            </w:r>
          </w:p>
        </w:tc>
        <w:tc>
          <w:tcPr>
            <w:tcW w:w="4876" w:type="dxa"/>
          </w:tcPr>
          <w:p w:rsidR="00822BC1" w:rsidRPr="00A02F8C" w:rsidP="007F6370" w14:paraId="4CC05093" w14:textId="77777777">
            <w:pPr>
              <w:pStyle w:val="ColumnHeading"/>
              <w:keepNext/>
            </w:pPr>
            <w:r w:rsidRPr="00A02F8C">
              <w:t>Poprawka</w:t>
            </w:r>
          </w:p>
        </w:tc>
      </w:tr>
      <w:tr w14:paraId="4044C23C" w14:textId="77777777" w:rsidTr="007F6370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822BC1" w:rsidRPr="00A02F8C" w:rsidP="007F6370" w14:paraId="131F7EB9" w14:textId="77777777">
            <w:pPr>
              <w:pStyle w:val="Normal6"/>
            </w:pPr>
          </w:p>
        </w:tc>
        <w:tc>
          <w:tcPr>
            <w:tcW w:w="4876" w:type="dxa"/>
          </w:tcPr>
          <w:p w:rsidR="00822BC1" w:rsidRPr="00A02F8C" w:rsidP="007F6370" w14:paraId="3A4D3DB3" w14:textId="77777777">
            <w:pPr>
              <w:pStyle w:val="Normal6"/>
              <w:rPr>
                <w:szCs w:val="24"/>
              </w:rPr>
            </w:pPr>
            <w:r w:rsidRPr="00A02F8C">
              <w:rPr>
                <w:b/>
                <w:i/>
              </w:rPr>
              <w:t>(2b)</w:t>
            </w:r>
            <w:r w:rsidRPr="00A02F8C">
              <w:rPr>
                <w:b/>
                <w:i/>
              </w:rPr>
              <w:tab/>
              <w:t>Zmiany poziomów orientacyjnych powinny bazować na zasadzie, zgodnie z którą produkty należące do nowych kategorii określonych w dyrektywie (UE) .../... (UE) [Urząd Publikacji: proszę wstawić numer dyrektywy zawartej w dokumencie 2025/0580(CNS] stanowią alternatywy dla produktów już objętych poziomami orientacyjnymi na mocy dyrektywy Rady (UE) 2020/262. Poziomy orientacyjne dla tych nowych kategorii powinny być zatem porównywalne z poziomami dla produktów już objętych poziomami orientacyjnymi na podstawie dyrektywy Rady (UE) 2020/262.</w:t>
            </w:r>
          </w:p>
        </w:tc>
      </w:tr>
    </w:tbl>
    <w:p w:rsidR="00E365E1" w:rsidRPr="00A02F8C" w:rsidP="00FB009A" w14:paraId="725536A4" w14:textId="3606EDC5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</w:pPr>
    </w:p>
    <w:sectPr w:rsidSect="00A02F8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02F8C" w14:paraId="10DB58C5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02F8C" w14:paraId="14CB84FC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02F8C" w14:paraId="749A7843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02F8C" w14:paraId="33151771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02F8C" w14:paraId="36E19783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02F8C" w14:paraId="0E258A7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68491318">
    <w:abstractNumId w:val="9"/>
  </w:num>
  <w:num w:numId="2" w16cid:durableId="1947812791">
    <w:abstractNumId w:val="9"/>
  </w:num>
  <w:num w:numId="3" w16cid:durableId="1971587596">
    <w:abstractNumId w:val="7"/>
  </w:num>
  <w:num w:numId="4" w16cid:durableId="1053506857">
    <w:abstractNumId w:val="7"/>
  </w:num>
  <w:num w:numId="5" w16cid:durableId="284969756">
    <w:abstractNumId w:val="6"/>
  </w:num>
  <w:num w:numId="6" w16cid:durableId="983847808">
    <w:abstractNumId w:val="6"/>
  </w:num>
  <w:num w:numId="7" w16cid:durableId="1634141354">
    <w:abstractNumId w:val="5"/>
  </w:num>
  <w:num w:numId="8" w16cid:durableId="1030187954">
    <w:abstractNumId w:val="5"/>
  </w:num>
  <w:num w:numId="9" w16cid:durableId="1209340936">
    <w:abstractNumId w:val="4"/>
  </w:num>
  <w:num w:numId="10" w16cid:durableId="1584299140">
    <w:abstractNumId w:val="4"/>
  </w:num>
  <w:num w:numId="11" w16cid:durableId="1520388392">
    <w:abstractNumId w:val="8"/>
  </w:num>
  <w:num w:numId="12" w16cid:durableId="30499554">
    <w:abstractNumId w:val="8"/>
  </w:num>
  <w:num w:numId="13" w16cid:durableId="1817333399">
    <w:abstractNumId w:val="3"/>
  </w:num>
  <w:num w:numId="14" w16cid:durableId="600375610">
    <w:abstractNumId w:val="3"/>
  </w:num>
  <w:num w:numId="15" w16cid:durableId="592008444">
    <w:abstractNumId w:val="2"/>
  </w:num>
  <w:num w:numId="16" w16cid:durableId="769156433">
    <w:abstractNumId w:val="2"/>
  </w:num>
  <w:num w:numId="17" w16cid:durableId="6518839">
    <w:abstractNumId w:val="1"/>
  </w:num>
  <w:num w:numId="18" w16cid:durableId="633289127">
    <w:abstractNumId w:val="1"/>
  </w:num>
  <w:num w:numId="19" w16cid:durableId="191311478">
    <w:abstractNumId w:val="0"/>
  </w:num>
  <w:num w:numId="20" w16cid:durableId="1900166468">
    <w:abstractNumId w:val="0"/>
  </w:num>
  <w:num w:numId="21" w16cid:durableId="1984775836">
    <w:abstractNumId w:val="9"/>
  </w:num>
  <w:num w:numId="22" w16cid:durableId="243339534">
    <w:abstractNumId w:val="7"/>
  </w:num>
  <w:num w:numId="23" w16cid:durableId="994450899">
    <w:abstractNumId w:val="6"/>
  </w:num>
  <w:num w:numId="24" w16cid:durableId="1460757911">
    <w:abstractNumId w:val="5"/>
  </w:num>
  <w:num w:numId="25" w16cid:durableId="8681194">
    <w:abstractNumId w:val="4"/>
  </w:num>
  <w:num w:numId="26" w16cid:durableId="803424614">
    <w:abstractNumId w:val="8"/>
  </w:num>
  <w:num w:numId="27" w16cid:durableId="494763843">
    <w:abstractNumId w:val="3"/>
  </w:num>
  <w:num w:numId="28" w16cid:durableId="1897279886">
    <w:abstractNumId w:val="2"/>
  </w:num>
  <w:num w:numId="29" w16cid:durableId="964310629">
    <w:abstractNumId w:val="1"/>
  </w:num>
  <w:num w:numId="30" w16cid:durableId="669136329">
    <w:abstractNumId w:val="0"/>
  </w:num>
  <w:num w:numId="31" w16cid:durableId="925460731">
    <w:abstractNumId w:val="9"/>
  </w:num>
  <w:num w:numId="32" w16cid:durableId="37780170">
    <w:abstractNumId w:val="7"/>
  </w:num>
  <w:num w:numId="33" w16cid:durableId="21833800">
    <w:abstractNumId w:val="6"/>
  </w:num>
  <w:num w:numId="34" w16cid:durableId="984744401">
    <w:abstractNumId w:val="5"/>
  </w:num>
  <w:num w:numId="35" w16cid:durableId="1020621930">
    <w:abstractNumId w:val="4"/>
  </w:num>
  <w:num w:numId="36" w16cid:durableId="1676808068">
    <w:abstractNumId w:val="8"/>
  </w:num>
  <w:num w:numId="37" w16cid:durableId="1183475353">
    <w:abstractNumId w:val="3"/>
  </w:num>
  <w:num w:numId="38" w16cid:durableId="463158841">
    <w:abstractNumId w:val="2"/>
  </w:num>
  <w:num w:numId="39" w16cid:durableId="1017466724">
    <w:abstractNumId w:val="1"/>
  </w:num>
  <w:num w:numId="40" w16cid:durableId="987630767">
    <w:abstractNumId w:val="0"/>
  </w:num>
  <w:num w:numId="41" w16cid:durableId="2144031137">
    <w:abstractNumId w:val="10"/>
  </w:num>
  <w:num w:numId="42" w16cid:durableId="1606769598">
    <w:abstractNumId w:val="10"/>
  </w:num>
  <w:num w:numId="43" w16cid:durableId="824586521">
    <w:abstractNumId w:val="10"/>
  </w:num>
  <w:num w:numId="44" w16cid:durableId="18548779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F02"/>
    <w:rsid w:val="00002272"/>
    <w:rsid w:val="00064002"/>
    <w:rsid w:val="000677B9"/>
    <w:rsid w:val="000831BA"/>
    <w:rsid w:val="000A42CC"/>
    <w:rsid w:val="000E7DD9"/>
    <w:rsid w:val="0010095E"/>
    <w:rsid w:val="00125B37"/>
    <w:rsid w:val="0018651A"/>
    <w:rsid w:val="00187494"/>
    <w:rsid w:val="001F32AE"/>
    <w:rsid w:val="002767FF"/>
    <w:rsid w:val="002B18FE"/>
    <w:rsid w:val="002B5493"/>
    <w:rsid w:val="00343214"/>
    <w:rsid w:val="00361C00"/>
    <w:rsid w:val="00395F02"/>
    <w:rsid w:val="00395FA1"/>
    <w:rsid w:val="003E15D4"/>
    <w:rsid w:val="00411CCE"/>
    <w:rsid w:val="0041666E"/>
    <w:rsid w:val="00421060"/>
    <w:rsid w:val="004579AC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17B6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6370"/>
    <w:rsid w:val="00817416"/>
    <w:rsid w:val="00822BC1"/>
    <w:rsid w:val="00842779"/>
    <w:rsid w:val="00865F67"/>
    <w:rsid w:val="00881A7B"/>
    <w:rsid w:val="008840E5"/>
    <w:rsid w:val="00887B3E"/>
    <w:rsid w:val="008C2AC6"/>
    <w:rsid w:val="008F4A03"/>
    <w:rsid w:val="00930C23"/>
    <w:rsid w:val="0093193B"/>
    <w:rsid w:val="009509D8"/>
    <w:rsid w:val="00950B64"/>
    <w:rsid w:val="00981893"/>
    <w:rsid w:val="00A02F8C"/>
    <w:rsid w:val="00A1687D"/>
    <w:rsid w:val="00A43E52"/>
    <w:rsid w:val="00A445AB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009A"/>
    <w:rsid w:val="00FB4360"/>
    <w:rsid w:val="00FD0C70"/>
  </w:rsids>
  <w:docVars>
    <w:docVar w:name="dvdocse" w:val="A10-0160/2026"/>
    <w:docVar w:name="dvlangue" w:val="PL"/>
    <w:docVar w:name="dvnumam" w:val="3"/>
    <w:docVar w:name="dvpe" w:val="784.421"/>
    <w:docVar w:name="dvrapporteur" w:val="Sprawozdawca: "/>
    <w:docVar w:name="dvstar" w:val="*"/>
    <w:docVar w:name="dvtitre" w:val="Rezolucja ustawodawcza Parlamentu Europejskiego z dnia  2026 r. w sprawie wniosku dotyczącego dyrektywy Rady zmieniającej dyrektywę (UE) 2020/262 w odniesieniu do ogólnych zasad dotyczących podatku akcyzowego stosowanego do tytoniu i substytucyjnych wyrobów tytoniowych(COM(2025)0581 – C10-0296/2025 – 2025/0581(CNS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D206801"/>
  <w15:chartTrackingRefBased/>
  <w15:docId w15:val="{98127FB1-B7A2-4A87-9614-08E36C8E8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22BC1"/>
    <w:pPr>
      <w:spacing w:before="480" w:after="240"/>
    </w:pPr>
  </w:style>
  <w:style w:type="paragraph" w:customStyle="1" w:styleId="Normal6a">
    <w:name w:val="Normal6a"/>
    <w:basedOn w:val="Normal"/>
    <w:rsid w:val="00822BC1"/>
    <w:pPr>
      <w:spacing w:after="120"/>
    </w:pPr>
  </w:style>
  <w:style w:type="paragraph" w:customStyle="1" w:styleId="PageHeading">
    <w:name w:val="PageHeading"/>
    <w:basedOn w:val="Normal"/>
    <w:rsid w:val="00822BC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822BC1"/>
    <w:rPr>
      <w:b/>
    </w:rPr>
  </w:style>
  <w:style w:type="paragraph" w:customStyle="1" w:styleId="NormalBold12a">
    <w:name w:val="NormalBold12a"/>
    <w:basedOn w:val="Normal"/>
    <w:rsid w:val="00822BC1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822BC1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822BC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822BC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822BC1"/>
    <w:pPr>
      <w:spacing w:before="240"/>
    </w:pPr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822BC1"/>
    <w:rPr>
      <w:b/>
      <w:sz w:val="24"/>
      <w:lang w:val="pl-PL"/>
    </w:rPr>
  </w:style>
  <w:style w:type="paragraph" w:customStyle="1" w:styleId="Normal6">
    <w:name w:val="Normal6"/>
    <w:basedOn w:val="Normal"/>
    <w:link w:val="Normal6Char"/>
    <w:rsid w:val="00822BC1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822BC1"/>
    <w:rPr>
      <w:sz w:val="24"/>
      <w:lang w:val="pl-PL"/>
    </w:rPr>
  </w:style>
  <w:style w:type="paragraph" w:customStyle="1" w:styleId="ColumnHeading">
    <w:name w:val="ColumnHeading"/>
    <w:basedOn w:val="Normal"/>
    <w:rsid w:val="00822BC1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822BC1"/>
    <w:rPr>
      <w:b/>
      <w:sz w:val="24"/>
      <w:lang w:val="pl-PL"/>
    </w:rPr>
  </w:style>
  <w:style w:type="paragraph" w:styleId="Revision">
    <w:name w:val="Revision"/>
    <w:hidden/>
    <w:uiPriority w:val="99"/>
    <w:semiHidden/>
    <w:rsid w:val="0018651A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359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2026-06-17T13:30:00Z</dcterms:created>
  <dcterms:modified xsi:type="dcterms:W3CDTF">2026-06-17T13:30:00Z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A10-0160/2026</vt:lpwstr>
  </property>
  <property fmtid="{D5CDD505-2E9C-101B-9397-08002B2CF9AE}" pid="4" name="&lt;Type&gt;">
    <vt:lpwstr>RR</vt:lpwstr>
  </property>
</Properties>
</file>