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7BE93F8" w14:textId="77777777" w:rsidTr="0010095E">
        <w:tblPrEx>
          <w:tblW w:w="9072" w:type="dxa"/>
          <w:tblLook w:val="01E0"/>
        </w:tblPrEx>
        <w:trPr>
          <w:trHeight w:hRule="exact" w:val="1418"/>
        </w:trPr>
        <w:tc>
          <w:tcPr>
            <w:tcW w:w="6804" w:type="dxa"/>
            <w:shd w:val="clear" w:color="auto" w:fill="auto"/>
            <w:vAlign w:val="center"/>
          </w:tcPr>
          <w:p w:rsidR="00751A4A" w:rsidRPr="007D38BF" w:rsidP="0010095E" w14:paraId="6963F940" w14:textId="77777777">
            <w:pPr>
              <w:pStyle w:val="EPName"/>
            </w:pPr>
            <w:r w:rsidRPr="007D38BF">
              <w:t>Evropski parlament</w:t>
            </w:r>
          </w:p>
          <w:p w:rsidR="00751A4A" w:rsidRPr="007D38BF" w:rsidP="005F1B17" w14:paraId="3B5DF107" w14:textId="77777777">
            <w:pPr>
              <w:pStyle w:val="EPTerm"/>
              <w:rPr>
                <w:rStyle w:val="HideTWBExt"/>
                <w:noProof w:val="0"/>
                <w:vanish w:val="0"/>
                <w:color w:val="auto"/>
              </w:rPr>
            </w:pPr>
            <w:r w:rsidRPr="007D38BF">
              <w:t>2024</w:t>
            </w:r>
            <w:r w:rsidRPr="007D38BF" w:rsidR="00817416">
              <w:t>-202</w:t>
            </w:r>
            <w:r w:rsidRPr="007D38BF">
              <w:t>9</w:t>
            </w:r>
          </w:p>
        </w:tc>
        <w:tc>
          <w:tcPr>
            <w:tcW w:w="2268" w:type="dxa"/>
            <w:shd w:val="clear" w:color="auto" w:fill="auto"/>
          </w:tcPr>
          <w:p w:rsidR="00751A4A" w:rsidRPr="007D38BF" w:rsidP="0010095E" w14:paraId="1DF47F26" w14:textId="77777777">
            <w:pPr>
              <w:pStyle w:val="EPLogo"/>
            </w:pPr>
            <w:r w:rsidRPr="007D38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38BF" w:rsidP="004C5D52" w14:paraId="753F6FA6" w14:textId="77777777">
      <w:pPr>
        <w:pStyle w:val="LineTop"/>
      </w:pPr>
    </w:p>
    <w:p w:rsidR="00680577" w:rsidRPr="007D38BF" w:rsidP="00680577" w14:paraId="1DAB3C5A" w14:textId="77777777">
      <w:pPr>
        <w:pStyle w:val="EPBodyTA1"/>
      </w:pPr>
      <w:r w:rsidRPr="007D38BF">
        <w:t>SPREJETA BESEDILA</w:t>
      </w:r>
    </w:p>
    <w:p w:rsidR="00D058B8" w:rsidRPr="007D38BF" w:rsidP="00D058B8" w14:paraId="4D3704B6" w14:textId="77777777">
      <w:pPr>
        <w:pStyle w:val="LineBottom"/>
      </w:pPr>
    </w:p>
    <w:p w:rsidR="003C526E" w:rsidRPr="007D38BF" w:rsidP="003C526E" w14:paraId="52BCA6EA" w14:textId="7841EF32">
      <w:pPr>
        <w:pStyle w:val="ATHeading1"/>
      </w:pPr>
      <w:bookmarkStart w:id="0" w:name="TANumber"/>
      <w:r w:rsidRPr="007D38BF">
        <w:t>P10_TA(2026)</w:t>
      </w:r>
      <w:bookmarkEnd w:id="0"/>
      <w:r w:rsidRPr="007D38BF" w:rsidR="00AE5A07">
        <w:t>0</w:t>
      </w:r>
      <w:r w:rsidRPr="007D38BF" w:rsidR="00AE5A07">
        <w:t>213</w:t>
      </w:r>
    </w:p>
    <w:p w:rsidR="003C526E" w:rsidRPr="007D38BF" w:rsidP="003C526E" w14:paraId="2A5C2EF5" w14:textId="77777777">
      <w:pPr>
        <w:pStyle w:val="ATHeading2"/>
      </w:pPr>
      <w:bookmarkStart w:id="1" w:name="title"/>
      <w:r w:rsidRPr="007D38BF">
        <w:t>Evropsko javno tožilstvo (EJT) in Evropski urad za boj proti goljufijam (OLAF): dostop do informacij o davku na dodano vrednost na ravni Unije</w:t>
      </w:r>
      <w:bookmarkEnd w:id="1"/>
    </w:p>
    <w:p w:rsidR="003C526E" w:rsidRPr="007D38BF" w:rsidP="003C526E" w14:paraId="2D823F94" w14:textId="77777777">
      <w:pPr>
        <w:rPr>
          <w:i/>
          <w:vanish/>
        </w:rPr>
      </w:pPr>
      <w:r>
        <w:rPr>
          <w:i/>
        </w:rPr>
        <w:fldChar w:fldCharType="begin"/>
      </w:r>
      <w:r w:rsidRPr="007D38BF">
        <w:rPr>
          <w:i/>
        </w:rPr>
        <w:instrText xml:space="preserve"> TC"(</w:instrText>
      </w:r>
      <w:bookmarkStart w:id="2" w:name="DocNumber"/>
      <w:r w:rsidRPr="007D38BF">
        <w:rPr>
          <w:i/>
        </w:rPr>
        <w:instrText>A10-0159/2026</w:instrText>
      </w:r>
      <w:bookmarkEnd w:id="2"/>
      <w:r w:rsidRPr="007D38BF">
        <w:rPr>
          <w:i/>
        </w:rPr>
        <w:instrText xml:space="preserve"> - Poročevalec: Michalis Hadjipantela)"\l3 \n&gt; \* MERGEFORMAT </w:instrText>
      </w:r>
      <w:r>
        <w:rPr>
          <w:i/>
        </w:rPr>
        <w:fldChar w:fldCharType="end"/>
      </w:r>
    </w:p>
    <w:p w:rsidR="003C526E" w:rsidRPr="007D38BF" w:rsidP="003C526E" w14:paraId="78CDCAAF" w14:textId="77777777">
      <w:pPr>
        <w:rPr>
          <w:vanish/>
        </w:rPr>
      </w:pPr>
      <w:bookmarkStart w:id="3" w:name="Commission"/>
      <w:r w:rsidRPr="007D38BF">
        <w:rPr>
          <w:vanish/>
        </w:rPr>
        <w:t>Odbor za ekonomske in monetarne zadeve</w:t>
      </w:r>
      <w:bookmarkEnd w:id="3"/>
    </w:p>
    <w:p w:rsidR="003C526E" w:rsidRPr="007D38BF" w:rsidP="003C526E" w14:paraId="09E58514" w14:textId="77777777">
      <w:pPr>
        <w:rPr>
          <w:vanish/>
        </w:rPr>
      </w:pPr>
      <w:bookmarkStart w:id="4" w:name="PE"/>
      <w:r w:rsidRPr="007D38BF">
        <w:rPr>
          <w:vanish/>
        </w:rPr>
        <w:t>PE784.400</w:t>
      </w:r>
      <w:bookmarkEnd w:id="4"/>
    </w:p>
    <w:p w:rsidR="003C526E" w:rsidRPr="007D38BF" w:rsidP="003C526E" w14:paraId="452EFA27" w14:textId="40CD3626">
      <w:pPr>
        <w:pStyle w:val="ATHeading3"/>
      </w:pPr>
      <w:bookmarkStart w:id="5" w:name="Sujet"/>
      <w:r w:rsidRPr="007D38BF">
        <w:t xml:space="preserve">Zakonodajna resolucija Evropskega parlamenta z dne </w:t>
      </w:r>
      <w:r w:rsidRPr="007D38BF" w:rsidR="00936AB4">
        <w:t>17</w:t>
      </w:r>
      <w:r w:rsidRPr="007D38BF">
        <w:t>. junija 2026 o predlogu uredbe Sveta o spremembi Uredbe (EU) št. 904/2010 glede dostopa Evropskega javnega tožilstva (EJT) in Evropskega urada za boj proti goljufijam (OLAF) do informacij o davku na dodano vrednost na ravni Unije</w:t>
      </w:r>
      <w:bookmarkEnd w:id="5"/>
      <w:r w:rsidRPr="007D38BF">
        <w:t xml:space="preserve"> </w:t>
      </w:r>
      <w:bookmarkStart w:id="6" w:name="References"/>
      <w:r w:rsidRPr="007D38BF">
        <w:t>(COM(2025)0685 – C10-0298/2025 – 2025/0348(CNS))</w:t>
      </w:r>
      <w:bookmarkEnd w:id="6"/>
    </w:p>
    <w:p w:rsidR="007F5C8D" w:rsidRPr="007D38BF" w:rsidP="007F5C8D" w14:paraId="2733A215" w14:textId="77777777">
      <w:pPr>
        <w:pStyle w:val="NormalBold"/>
      </w:pPr>
      <w:r w:rsidRPr="007D38BF">
        <w:t>(Posebni zakonodajni postopek – posvetovanje)</w:t>
      </w:r>
    </w:p>
    <w:p w:rsidR="007F5C8D" w:rsidRPr="007D38BF" w:rsidP="007F5C8D" w14:paraId="02DDC671" w14:textId="77777777">
      <w:pPr>
        <w:pStyle w:val="EPComma"/>
      </w:pPr>
      <w:r w:rsidRPr="007D38BF">
        <w:rPr>
          <w:i/>
        </w:rPr>
        <w:t>Evropski parlament</w:t>
      </w:r>
      <w:r w:rsidRPr="007D38BF">
        <w:t>,</w:t>
      </w:r>
    </w:p>
    <w:p w:rsidR="007F5C8D" w:rsidRPr="007D38BF" w:rsidP="007F5C8D" w14:paraId="1112831E" w14:textId="77777777">
      <w:pPr>
        <w:pStyle w:val="NormalHanging12a"/>
      </w:pPr>
      <w:r w:rsidRPr="007D38BF">
        <w:t>–</w:t>
      </w:r>
      <w:r w:rsidRPr="007D38BF">
        <w:tab/>
        <w:t>ob upoštevanju predloga Komisije Svetu (COM(2025)0685),</w:t>
      </w:r>
    </w:p>
    <w:p w:rsidR="007F5C8D" w:rsidRPr="007D38BF" w:rsidP="007F5C8D" w14:paraId="0E3CD3DF" w14:textId="77777777">
      <w:pPr>
        <w:pStyle w:val="NormalHanging12a"/>
      </w:pPr>
      <w:r w:rsidRPr="007D38BF">
        <w:t>–</w:t>
      </w:r>
      <w:r w:rsidRPr="007D38BF">
        <w:tab/>
        <w:t>ob upoštevanju člena 113 Pogodbe o delovanju Evropske unije, na podlagi katerega se je Svet posvetoval s Parlamentom (C10</w:t>
      </w:r>
      <w:r w:rsidRPr="007D38BF">
        <w:noBreakHyphen/>
        <w:t>0298/2025),</w:t>
      </w:r>
    </w:p>
    <w:p w:rsidR="007F5C8D" w:rsidRPr="007D38BF" w:rsidP="007F5C8D" w14:paraId="4E98BE72" w14:textId="77777777">
      <w:pPr>
        <w:pStyle w:val="NormalHanging12a"/>
      </w:pPr>
      <w:r w:rsidRPr="007D38BF">
        <w:t>–</w:t>
      </w:r>
      <w:r w:rsidRPr="007D38BF">
        <w:tab/>
        <w:t>ob upoštevanju člena 84 Poslovnika,</w:t>
      </w:r>
    </w:p>
    <w:p w:rsidR="007F5C8D" w:rsidRPr="007D38BF" w:rsidP="007F5C8D" w14:paraId="54CEEA3D" w14:textId="77777777">
      <w:pPr>
        <w:pStyle w:val="NormalHanging12a"/>
      </w:pPr>
      <w:r w:rsidRPr="007D38BF">
        <w:t>–</w:t>
      </w:r>
      <w:r w:rsidRPr="007D38BF">
        <w:tab/>
        <w:t>ob upoštevanju mnenja Odbora za proračunski nadzor,</w:t>
      </w:r>
    </w:p>
    <w:p w:rsidR="007F5C8D" w:rsidRPr="007D38BF" w:rsidP="007F5C8D" w14:paraId="20FD034C" w14:textId="77777777">
      <w:pPr>
        <w:pStyle w:val="NormalHanging12a"/>
      </w:pPr>
      <w:r w:rsidRPr="007D38BF">
        <w:t>–</w:t>
      </w:r>
      <w:r w:rsidRPr="007D38BF">
        <w:tab/>
        <w:t>ob upoštevanju poročila Odbora za ekonomske in monetarne zadeve (A10</w:t>
      </w:r>
      <w:r w:rsidRPr="007D38BF">
        <w:noBreakHyphen/>
        <w:t>0159/2026),</w:t>
      </w:r>
    </w:p>
    <w:p w:rsidR="007F5C8D" w:rsidRPr="007D38BF" w:rsidP="007F5C8D" w14:paraId="25744BFC" w14:textId="77777777">
      <w:pPr>
        <w:pStyle w:val="NormalHanging12a"/>
      </w:pPr>
      <w:r w:rsidRPr="007D38BF">
        <w:t>1.</w:t>
      </w:r>
      <w:r w:rsidRPr="007D38BF">
        <w:tab/>
        <w:t>odobri predlog Komisije, kakor je bil spremenjen;</w:t>
      </w:r>
    </w:p>
    <w:p w:rsidR="007F5C8D" w:rsidRPr="007D38BF" w:rsidP="007F5C8D" w14:paraId="7993C00F" w14:textId="77777777">
      <w:pPr>
        <w:pStyle w:val="NormalHanging12a"/>
      </w:pPr>
      <w:r w:rsidRPr="007D38BF">
        <w:t>2.</w:t>
      </w:r>
      <w:r w:rsidRPr="007D38BF">
        <w:tab/>
        <w:t>poziva Komisijo, naj ustrezno spremeni svoj predlog na podlagi člena 293(2) Pogodbe o delovanju Evropske unije;</w:t>
      </w:r>
    </w:p>
    <w:p w:rsidR="007F5C8D" w:rsidRPr="007D38BF" w:rsidP="007F5C8D" w14:paraId="343C0486" w14:textId="77777777">
      <w:pPr>
        <w:pStyle w:val="NormalHanging12a"/>
      </w:pPr>
      <w:r w:rsidRPr="007D38BF">
        <w:t>3.</w:t>
      </w:r>
      <w:r w:rsidRPr="007D38BF">
        <w:tab/>
        <w:t>poziva Svet, naj ga obvesti, če namerava odstopiti od besedila, ki ga je odobril Parlament;</w:t>
      </w:r>
    </w:p>
    <w:p w:rsidR="007F5C8D" w:rsidRPr="007D38BF" w:rsidP="007F5C8D" w14:paraId="7D8652EE" w14:textId="148238F1">
      <w:pPr>
        <w:pStyle w:val="NormalHanging12a"/>
      </w:pPr>
      <w:r w:rsidRPr="007D38BF">
        <w:t>4.</w:t>
      </w:r>
      <w:r w:rsidRPr="007D38BF">
        <w:tab/>
        <w:t xml:space="preserve">poziva Svet, naj se ponovno posvetuje </w:t>
      </w:r>
      <w:r w:rsidRPr="007D38BF" w:rsidR="005E3C9B">
        <w:t>z njim</w:t>
      </w:r>
      <w:r w:rsidRPr="007D38BF">
        <w:t>, če namerava bistveno spremeniti predlog Komisije;</w:t>
      </w:r>
    </w:p>
    <w:p w:rsidR="007F5C8D" w:rsidRPr="007D38BF" w:rsidP="00936AB4" w14:paraId="1C190F32" w14:textId="3D081CE7">
      <w:pPr>
        <w:pStyle w:val="NormalHanging12a"/>
      </w:pPr>
      <w:r w:rsidRPr="007D38BF">
        <w:t>5.</w:t>
      </w:r>
      <w:r w:rsidRPr="007D38BF">
        <w:tab/>
        <w:t>naroči svoji predsednici, naj stališče Parlamenta posreduje Svetu in Komisiji ter nacionalnim parlamentom.</w:t>
      </w:r>
      <w:r w:rsidRPr="007D38BF">
        <w:br w:type="page"/>
      </w:r>
    </w:p>
    <w:p w:rsidR="007F5C8D" w:rsidRPr="007D38BF" w:rsidP="00AE5A07" w14:paraId="0868A5C4" w14:textId="6227BC57">
      <w:pPr>
        <w:pStyle w:val="AMNumberTabs0"/>
      </w:pPr>
      <w:r w:rsidRPr="007D38BF">
        <w:t>Sprememba</w:t>
      </w:r>
      <w:r w:rsidRPr="007D38BF">
        <w:t xml:space="preserve"> 1</w:t>
      </w:r>
    </w:p>
    <w:p w:rsidR="007F5C8D" w:rsidRPr="007D38BF" w:rsidP="007F5C8D" w14:paraId="31AC1750" w14:textId="77777777">
      <w:pPr>
        <w:pStyle w:val="NormalBold12b"/>
      </w:pPr>
      <w:r w:rsidRPr="007D38BF">
        <w:t>Predlog uredbe</w:t>
      </w:r>
    </w:p>
    <w:p w:rsidR="007F5C8D" w:rsidRPr="007D38BF" w:rsidP="007F5C8D" w14:paraId="32071A00" w14:textId="77777777">
      <w:pPr>
        <w:pStyle w:val="NormalBold"/>
      </w:pPr>
      <w:r w:rsidRPr="007D38BF">
        <w:t>Uvodna izjava 2</w:t>
      </w:r>
    </w:p>
    <w:tbl>
      <w:tblPr>
        <w:tblW w:w="0" w:type="auto"/>
        <w:jc w:val="center"/>
        <w:tblLayout w:type="fixed"/>
        <w:tblCellMar>
          <w:left w:w="340" w:type="dxa"/>
          <w:right w:w="340" w:type="dxa"/>
        </w:tblCellMar>
        <w:tblLook w:val="0000"/>
      </w:tblPr>
      <w:tblGrid>
        <w:gridCol w:w="4876"/>
        <w:gridCol w:w="4876"/>
      </w:tblGrid>
      <w:tr w14:paraId="41ED5320" w14:textId="77777777" w:rsidTr="00495A96">
        <w:tblPrEx>
          <w:tblW w:w="0" w:type="auto"/>
          <w:jc w:val="center"/>
          <w:tblLayout w:type="fixed"/>
          <w:tblLook w:val="0000"/>
        </w:tblPrEx>
        <w:trPr>
          <w:jc w:val="center"/>
        </w:trPr>
        <w:tc>
          <w:tcPr>
            <w:tcW w:w="9752" w:type="dxa"/>
            <w:gridSpan w:val="2"/>
          </w:tcPr>
          <w:p w:rsidR="007F5C8D" w:rsidRPr="007D38BF" w:rsidP="00495A96" w14:paraId="557D45D8" w14:textId="77777777">
            <w:pPr>
              <w:keepNext/>
            </w:pPr>
          </w:p>
        </w:tc>
      </w:tr>
      <w:tr w14:paraId="513F6CB4" w14:textId="77777777" w:rsidTr="00495A96">
        <w:tblPrEx>
          <w:tblW w:w="0" w:type="auto"/>
          <w:jc w:val="center"/>
          <w:tblLayout w:type="fixed"/>
          <w:tblLook w:val="0000"/>
        </w:tblPrEx>
        <w:trPr>
          <w:jc w:val="center"/>
        </w:trPr>
        <w:tc>
          <w:tcPr>
            <w:tcW w:w="4876" w:type="dxa"/>
          </w:tcPr>
          <w:p w:rsidR="007F5C8D" w:rsidRPr="007D38BF" w:rsidP="00495A96" w14:paraId="489ABC6E" w14:textId="77777777">
            <w:pPr>
              <w:pStyle w:val="ColumnHeading"/>
              <w:keepNext/>
            </w:pPr>
            <w:r w:rsidRPr="007D38BF">
              <w:t>Besedilo, ki ga predlaga Komisija</w:t>
            </w:r>
          </w:p>
        </w:tc>
        <w:tc>
          <w:tcPr>
            <w:tcW w:w="4876" w:type="dxa"/>
          </w:tcPr>
          <w:p w:rsidR="007F5C8D" w:rsidRPr="007D38BF" w:rsidP="00495A96" w14:paraId="733B9E93" w14:textId="7ABC65F7">
            <w:pPr>
              <w:pStyle w:val="ColumnHeading"/>
              <w:keepNext/>
            </w:pPr>
            <w:r w:rsidRPr="007D38BF">
              <w:t>Sprememba</w:t>
            </w:r>
          </w:p>
        </w:tc>
      </w:tr>
      <w:tr w14:paraId="5B7F1F15" w14:textId="77777777" w:rsidTr="00495A96">
        <w:tblPrEx>
          <w:tblW w:w="0" w:type="auto"/>
          <w:jc w:val="center"/>
          <w:tblLayout w:type="fixed"/>
          <w:tblLook w:val="0000"/>
        </w:tblPrEx>
        <w:trPr>
          <w:jc w:val="center"/>
        </w:trPr>
        <w:tc>
          <w:tcPr>
            <w:tcW w:w="4876" w:type="dxa"/>
          </w:tcPr>
          <w:p w:rsidR="007F5C8D" w:rsidRPr="007D38BF" w:rsidP="00495A96" w14:paraId="093A269C" w14:textId="77777777">
            <w:pPr>
              <w:pStyle w:val="Normal6"/>
            </w:pPr>
            <w:r w:rsidRPr="007D38BF">
              <w:t>(2)</w:t>
            </w:r>
            <w:r w:rsidRPr="007D38BF">
              <w:tab/>
              <w:t xml:space="preserve">Na podlagi člena 24(1) Uredbe (EU) 2017/1939 morajo institucije, organi, uradi in agencije Unije ter organi držav članic, ki so pristojni na podlagi veljavnega nacionalnega prava, brez nepotrebnega odlašanja poročati EJT o vsakem kaznivem ravnanju, vključno s čezmejnimi goljufijami na področju DDV, za katero bi lahko izvajalo svojo pristojnost v skladu s členom 22 ter členom 25(2) in (3) navedene uredbe. Čezmejne goljufije na področju DDV že po definiciji vključujejo več držav članic, pretok informacij med posameznimi državami članicami in EJT pa ne ustreza namenu boja proti goljufijam na področju DDV na ravni EU. Da bi bilo EJT obveščeno o tveganjih goljufij na področju DDV na ravni EU in da bi lahko izvajalo svoj regulativni mandat je treba podrobneje opredeliti načine, v skladu s katerimi bi morale države članice v okviru mreže Eurofisc iz člena 33 Uredbe (EU) št. 904/2010 poročati EJT o vseh sumljivih znakih in morebitnih natančnih informacijah o </w:t>
            </w:r>
            <w:r w:rsidRPr="007D38BF">
              <w:rPr>
                <w:b/>
                <w:bCs/>
                <w:i/>
                <w:iCs/>
              </w:rPr>
              <w:t>goljufijah na področju DDV</w:t>
            </w:r>
            <w:r w:rsidRPr="007D38BF">
              <w:t>. Poleg tega lahko EJT na podlagi člena 24(9) Uredbe (EU) 2017/1939 v posebnih primerih zahteva dodatne ustrezne informacije, ki so na voljo institucijam, organom, uradom in agencijam Unije ter organom držav članic. Zato je primerno določiti pravila, v skladu s katerimi bi morale države članice v okviru Eurofisca EJT na njegovo zahtevo sporočiti informacije o čezmejnih goljufijah na področju DDV.</w:t>
            </w:r>
          </w:p>
        </w:tc>
        <w:tc>
          <w:tcPr>
            <w:tcW w:w="4876" w:type="dxa"/>
          </w:tcPr>
          <w:p w:rsidR="007F5C8D" w:rsidRPr="007D38BF" w:rsidP="00495A96" w14:paraId="16E7F3C2" w14:textId="77777777">
            <w:pPr>
              <w:pStyle w:val="Normal6"/>
              <w:rPr>
                <w:szCs w:val="24"/>
              </w:rPr>
            </w:pPr>
            <w:r w:rsidRPr="007D38BF">
              <w:t>(2)</w:t>
            </w:r>
            <w:r w:rsidRPr="007D38BF">
              <w:tab/>
              <w:t xml:space="preserve">Na podlagi člena 24(1) Uredbe (EU) 2017/1939 morajo institucije, organi, uradi in agencije Unije ter organi držav članic, ki so pristojni na podlagi veljavnega nacionalnega prava, brez nepotrebnega odlašanja poročati EJT o vsakem kaznivem ravnanju, vključno s čezmejnimi goljufijami na področju DDV, za katero bi lahko izvajalo svojo pristojnost v skladu s členom 22 ter členom 25(2) in (3) navedene uredbe </w:t>
            </w:r>
            <w:r w:rsidRPr="007D38BF">
              <w:rPr>
                <w:b/>
                <w:bCs/>
                <w:i/>
                <w:iCs/>
              </w:rPr>
              <w:t>na pravočasen način, ki bi omogočal analizo ali preiskavo takega kaznivega ravnanja</w:t>
            </w:r>
            <w:r w:rsidRPr="007D38BF">
              <w:t xml:space="preserve">. Čezmejne goljufije na področju DDV že po definiciji vključujejo več držav članic, pretok informacij med posameznimi državami članicami in EJT pa ne ustreza namenu boja proti goljufijam na področju DDV na ravni EU. Da bi bilo EJT obveščeno o tveganjih goljufij na področju DDV na ravni EU in da bi lahko izvajalo svoj regulativni mandat je treba podrobneje opredeliti načine, v skladu s katerimi bi morale države članice v okviru mreže Eurofisc iz člena 33 Uredbe (EU) št. 904/2010 poročati EJT </w:t>
            </w:r>
            <w:r w:rsidRPr="007D38BF">
              <w:rPr>
                <w:b/>
                <w:bCs/>
                <w:i/>
                <w:iCs/>
              </w:rPr>
              <w:t>o rezultatih obdelave in analize v okviru Eurofisc glede domnevnih čezmejnih primerov goljufije ter o vseh sumljivih znakih in</w:t>
            </w:r>
            <w:r w:rsidRPr="007D38BF">
              <w:t xml:space="preserve"> morebitnih natančnih informacijah</w:t>
            </w:r>
            <w:r w:rsidRPr="007D38BF">
              <w:rPr>
                <w:b/>
                <w:bCs/>
                <w:i/>
                <w:iCs/>
              </w:rPr>
              <w:t>, potrebnih za to, da bi lahko EJT ocenil, ali naj izvaja svojo pristojnost</w:t>
            </w:r>
            <w:r w:rsidRPr="007D38BF">
              <w:t>. Poleg tega lahko EJT na podlagi člena 24(9) Uredbe (EU) 2017/1939 v posebnih primerih zahteva dodatne ustrezne informacije, ki so na voljo institucijam, organom, uradom in agencijam Unije ter organom držav članic. Zato je primerno določiti pravila, v skladu s katerimi bi morale države članice v okviru Eurofisca EJT na njegovo zahtevo sporočiti informacije o čezmejnih goljufijah na področju DDV.</w:t>
            </w:r>
          </w:p>
        </w:tc>
      </w:tr>
    </w:tbl>
    <w:p w:rsidR="007F5C8D" w:rsidRPr="007D38BF" w:rsidP="007F5C8D" w14:paraId="36D85F04" w14:textId="368C7A8B">
      <w:pPr>
        <w:pStyle w:val="AMNumberTabs0"/>
        <w:keepNext/>
      </w:pPr>
      <w:r w:rsidRPr="007D38BF">
        <w:t>Sprememba</w:t>
      </w:r>
      <w:r w:rsidRPr="007D38BF">
        <w:tab/>
      </w:r>
      <w:r w:rsidRPr="007D38BF">
        <w:tab/>
        <w:t>2</w:t>
      </w:r>
    </w:p>
    <w:p w:rsidR="007F5C8D" w:rsidRPr="007D38BF" w:rsidP="007F5C8D" w14:paraId="25C1F5FF" w14:textId="77777777">
      <w:pPr>
        <w:pStyle w:val="NormalBold12b"/>
        <w:keepNext/>
      </w:pPr>
      <w:r w:rsidRPr="007D38BF">
        <w:t>Predlog uredbe</w:t>
      </w:r>
    </w:p>
    <w:p w:rsidR="007F5C8D" w:rsidRPr="007D38BF" w:rsidP="007F5C8D" w14:paraId="1D06ED70" w14:textId="77777777">
      <w:pPr>
        <w:pStyle w:val="NormalBold"/>
      </w:pPr>
      <w:r w:rsidRPr="007D38BF">
        <w:t>Uvodna izjava 4</w:t>
      </w:r>
    </w:p>
    <w:tbl>
      <w:tblPr>
        <w:tblW w:w="0" w:type="auto"/>
        <w:jc w:val="center"/>
        <w:tblLayout w:type="fixed"/>
        <w:tblCellMar>
          <w:left w:w="340" w:type="dxa"/>
          <w:right w:w="340" w:type="dxa"/>
        </w:tblCellMar>
        <w:tblLook w:val="0000"/>
      </w:tblPr>
      <w:tblGrid>
        <w:gridCol w:w="4876"/>
        <w:gridCol w:w="4876"/>
      </w:tblGrid>
      <w:tr w14:paraId="12016242" w14:textId="77777777" w:rsidTr="00495A96">
        <w:tblPrEx>
          <w:tblW w:w="0" w:type="auto"/>
          <w:jc w:val="center"/>
          <w:tblLayout w:type="fixed"/>
          <w:tblLook w:val="0000"/>
        </w:tblPrEx>
        <w:trPr>
          <w:jc w:val="center"/>
        </w:trPr>
        <w:tc>
          <w:tcPr>
            <w:tcW w:w="9752" w:type="dxa"/>
            <w:gridSpan w:val="2"/>
          </w:tcPr>
          <w:p w:rsidR="007F5C8D" w:rsidRPr="007D38BF" w:rsidP="00495A96" w14:paraId="2DCFA533" w14:textId="77777777">
            <w:pPr>
              <w:keepNext/>
            </w:pPr>
          </w:p>
        </w:tc>
      </w:tr>
      <w:tr w14:paraId="408504F4" w14:textId="77777777" w:rsidTr="00495A96">
        <w:tblPrEx>
          <w:tblW w:w="0" w:type="auto"/>
          <w:jc w:val="center"/>
          <w:tblLayout w:type="fixed"/>
          <w:tblLook w:val="0000"/>
        </w:tblPrEx>
        <w:trPr>
          <w:jc w:val="center"/>
        </w:trPr>
        <w:tc>
          <w:tcPr>
            <w:tcW w:w="4876" w:type="dxa"/>
          </w:tcPr>
          <w:p w:rsidR="007F5C8D" w:rsidRPr="007D38BF" w:rsidP="00495A96" w14:paraId="5A233173" w14:textId="77777777">
            <w:pPr>
              <w:pStyle w:val="ColumnHeading"/>
              <w:keepNext/>
            </w:pPr>
            <w:r w:rsidRPr="007D38BF">
              <w:t>Besedilo, ki ga predlaga Komisija</w:t>
            </w:r>
          </w:p>
        </w:tc>
        <w:tc>
          <w:tcPr>
            <w:tcW w:w="4876" w:type="dxa"/>
          </w:tcPr>
          <w:p w:rsidR="007F5C8D" w:rsidRPr="007D38BF" w:rsidP="00495A96" w14:paraId="132D00D1" w14:textId="0473ECD8">
            <w:pPr>
              <w:pStyle w:val="ColumnHeading"/>
              <w:keepNext/>
            </w:pPr>
            <w:r w:rsidRPr="007D38BF">
              <w:t>Sprememba</w:t>
            </w:r>
          </w:p>
        </w:tc>
      </w:tr>
      <w:tr w14:paraId="3919ED65" w14:textId="77777777" w:rsidTr="00495A96">
        <w:tblPrEx>
          <w:tblW w:w="0" w:type="auto"/>
          <w:jc w:val="center"/>
          <w:tblLayout w:type="fixed"/>
          <w:tblLook w:val="0000"/>
        </w:tblPrEx>
        <w:trPr>
          <w:jc w:val="center"/>
        </w:trPr>
        <w:tc>
          <w:tcPr>
            <w:tcW w:w="4876" w:type="dxa"/>
          </w:tcPr>
          <w:p w:rsidR="007F5C8D" w:rsidRPr="007D38BF" w:rsidP="00495A96" w14:paraId="4A1BD2DE" w14:textId="77777777">
            <w:pPr>
              <w:pStyle w:val="Normal6"/>
            </w:pPr>
            <w:r w:rsidRPr="007D38BF">
              <w:t>(4)</w:t>
            </w:r>
            <w:r w:rsidRPr="007D38BF">
              <w:tab/>
              <w:t>Države članice, ki ne sodelujejo v EJT, morajo v skladu z načelom lojalnega sodelovanja iz člena 4(3) Pogodbe o Evropski uniji podpirati dejavnosti EJT in se vzdržati vseh ukrepov, ki bi lahko ogrozili doseganje njegovih ciljev. Eurofisc sestavljajo tako države članice, ki sodelujejo v EJT, kot tudi tiste, ki v njem ne sodelujejo. Zato je pomembno, da imamo jasno pravno podlago za dostop EJT do informacij, ki jih obdeluje Eurofisc.</w:t>
            </w:r>
          </w:p>
        </w:tc>
        <w:tc>
          <w:tcPr>
            <w:tcW w:w="4876" w:type="dxa"/>
          </w:tcPr>
          <w:p w:rsidR="007F5C8D" w:rsidRPr="007D38BF" w:rsidP="00495A96" w14:paraId="28755A67" w14:textId="62CF3F0E">
            <w:pPr>
              <w:pStyle w:val="Normal6"/>
              <w:rPr>
                <w:szCs w:val="24"/>
              </w:rPr>
            </w:pPr>
            <w:r w:rsidRPr="007D38BF">
              <w:t>(4)</w:t>
            </w:r>
            <w:r w:rsidRPr="007D38BF">
              <w:tab/>
              <w:t>Države članice, ki ne sodelujejo v EJT, morajo v skladu z načelom lojalnega sodelovanja iz člena 4(3) Pogodbe o Evropski uniji podpirati dejavnosti EJT in se vzdržati vseh ukrepov, ki bi lahko ogrozili doseganje njegovih ciljev. Eurofisc sestavljajo tako države članice, ki sodelujejo v EJT, kot tudi tiste, ki v njem ne sodelujejo. Zato je pomembno, da imamo jasno pravno podlago za dostop EJT do informacij, ki jih obdeluje Eurofisc</w:t>
            </w:r>
            <w:r w:rsidRPr="007D38BF">
              <w:rPr>
                <w:b/>
                <w:bCs/>
                <w:i/>
                <w:iCs/>
              </w:rPr>
              <w:t xml:space="preserve">, za namene preprečevanja, odkrivanja in preiskovanja kaznivih dejanj, da lahko </w:t>
            </w:r>
            <w:r w:rsidRPr="007D38BF" w:rsidR="006D734C">
              <w:rPr>
                <w:b/>
                <w:bCs/>
                <w:i/>
                <w:iCs/>
              </w:rPr>
              <w:t xml:space="preserve">EJT </w:t>
            </w:r>
            <w:r w:rsidRPr="007D38BF">
              <w:rPr>
                <w:b/>
                <w:bCs/>
                <w:i/>
                <w:iCs/>
              </w:rPr>
              <w:t>uspešno izvaja svoj mandat iz člena 4 Uredbe Sveta (EU) 2017/1939, namreč preiskovanje in pregon kaznivih dejanj, ki vplivajo na finančne interese Unije.</w:t>
            </w:r>
          </w:p>
        </w:tc>
      </w:tr>
    </w:tbl>
    <w:p w:rsidR="007F5C8D" w:rsidRPr="007D38BF" w:rsidP="007F5C8D" w14:paraId="32B51C93" w14:textId="77777777"/>
    <w:p w:rsidR="007F5C8D" w:rsidRPr="007D38BF" w:rsidP="007F5C8D" w14:paraId="691607EB" w14:textId="528A77C4">
      <w:pPr>
        <w:pStyle w:val="AmNumberTabs"/>
      </w:pPr>
      <w:r w:rsidRPr="007D38BF">
        <w:t>Sprememba</w:t>
      </w:r>
      <w:r w:rsidRPr="007D38BF">
        <w:tab/>
      </w:r>
      <w:r w:rsidRPr="007D38BF">
        <w:tab/>
        <w:t>3</w:t>
      </w:r>
    </w:p>
    <w:p w:rsidR="007F5C8D" w:rsidRPr="007D38BF" w:rsidP="007F5C8D" w14:paraId="0D3ABE61" w14:textId="77777777">
      <w:pPr>
        <w:pStyle w:val="NormalBold12b"/>
      </w:pPr>
      <w:r w:rsidRPr="007D38BF">
        <w:t>Predlog uredbe</w:t>
      </w:r>
    </w:p>
    <w:p w:rsidR="007F5C8D" w:rsidRPr="007D38BF" w:rsidP="007F5C8D" w14:paraId="21A65A52" w14:textId="77777777">
      <w:pPr>
        <w:pStyle w:val="NormalBold"/>
      </w:pPr>
      <w:r w:rsidRPr="007D38BF">
        <w:t>Uvodna izjava 4 a (novo)</w:t>
      </w:r>
    </w:p>
    <w:tbl>
      <w:tblPr>
        <w:tblW w:w="0" w:type="auto"/>
        <w:jc w:val="center"/>
        <w:tblLayout w:type="fixed"/>
        <w:tblCellMar>
          <w:left w:w="340" w:type="dxa"/>
          <w:right w:w="340" w:type="dxa"/>
        </w:tblCellMar>
        <w:tblLook w:val="0000"/>
      </w:tblPr>
      <w:tblGrid>
        <w:gridCol w:w="4876"/>
        <w:gridCol w:w="4876"/>
      </w:tblGrid>
      <w:tr w14:paraId="0ACD551F" w14:textId="77777777" w:rsidTr="00495A96">
        <w:tblPrEx>
          <w:tblW w:w="0" w:type="auto"/>
          <w:jc w:val="center"/>
          <w:tblLayout w:type="fixed"/>
          <w:tblLook w:val="0000"/>
        </w:tblPrEx>
        <w:trPr>
          <w:jc w:val="center"/>
        </w:trPr>
        <w:tc>
          <w:tcPr>
            <w:tcW w:w="9752" w:type="dxa"/>
            <w:gridSpan w:val="2"/>
          </w:tcPr>
          <w:p w:rsidR="007F5C8D" w:rsidRPr="007D38BF" w:rsidP="00495A96" w14:paraId="05E3AF6B" w14:textId="77777777">
            <w:pPr>
              <w:keepNext/>
            </w:pPr>
          </w:p>
        </w:tc>
      </w:tr>
      <w:tr w14:paraId="027C6FF5" w14:textId="77777777" w:rsidTr="00495A96">
        <w:tblPrEx>
          <w:tblW w:w="0" w:type="auto"/>
          <w:jc w:val="center"/>
          <w:tblLayout w:type="fixed"/>
          <w:tblLook w:val="0000"/>
        </w:tblPrEx>
        <w:trPr>
          <w:jc w:val="center"/>
        </w:trPr>
        <w:tc>
          <w:tcPr>
            <w:tcW w:w="4876" w:type="dxa"/>
          </w:tcPr>
          <w:p w:rsidR="007F5C8D" w:rsidRPr="007D38BF" w:rsidP="00495A96" w14:paraId="0247310D" w14:textId="77777777">
            <w:pPr>
              <w:pStyle w:val="ColumnHeading"/>
              <w:keepNext/>
            </w:pPr>
            <w:r w:rsidRPr="007D38BF">
              <w:t>Besedilo, ki ga predlaga Komisija</w:t>
            </w:r>
          </w:p>
        </w:tc>
        <w:tc>
          <w:tcPr>
            <w:tcW w:w="4876" w:type="dxa"/>
          </w:tcPr>
          <w:p w:rsidR="007F5C8D" w:rsidRPr="007D38BF" w:rsidP="00495A96" w14:paraId="00316857" w14:textId="12F9F2CE">
            <w:pPr>
              <w:pStyle w:val="ColumnHeading"/>
              <w:keepNext/>
            </w:pPr>
            <w:r w:rsidRPr="007D38BF">
              <w:t>Sprememba</w:t>
            </w:r>
          </w:p>
        </w:tc>
      </w:tr>
      <w:tr w14:paraId="6B14BAA0" w14:textId="77777777" w:rsidTr="00495A96">
        <w:tblPrEx>
          <w:tblW w:w="0" w:type="auto"/>
          <w:jc w:val="center"/>
          <w:tblLayout w:type="fixed"/>
          <w:tblLook w:val="0000"/>
        </w:tblPrEx>
        <w:trPr>
          <w:jc w:val="center"/>
        </w:trPr>
        <w:tc>
          <w:tcPr>
            <w:tcW w:w="4876" w:type="dxa"/>
          </w:tcPr>
          <w:p w:rsidR="007F5C8D" w:rsidRPr="007D38BF" w:rsidP="00495A96" w14:paraId="7ADFC3C4" w14:textId="77777777">
            <w:pPr>
              <w:pStyle w:val="Normal6"/>
            </w:pPr>
          </w:p>
        </w:tc>
        <w:tc>
          <w:tcPr>
            <w:tcW w:w="4876" w:type="dxa"/>
          </w:tcPr>
          <w:p w:rsidR="007F5C8D" w:rsidRPr="007D38BF" w:rsidP="00495A96" w14:paraId="756627E0" w14:textId="77777777">
            <w:pPr>
              <w:pStyle w:val="Normal6"/>
              <w:rPr>
                <w:szCs w:val="24"/>
              </w:rPr>
            </w:pPr>
            <w:r w:rsidRPr="007D38BF">
              <w:rPr>
                <w:b/>
                <w:i/>
              </w:rPr>
              <w:t>(4a)</w:t>
            </w:r>
            <w:r w:rsidRPr="007D38BF">
              <w:rPr>
                <w:b/>
                <w:i/>
              </w:rPr>
              <w:tab/>
              <w:t xml:space="preserve">Evropsko računsko sodišče je večkrat ugotovilo, da so pomanjkljivosti glede dostopnosti in interoperabilnosti informacijskih sistemov, povezanih z DDV, v državah članicah in organih Unije velika ovira za učinkovite čezmejne preiskave goljufij na področju DDV, nazadnje v Posebnem poročilu št. 8/2025 o goljufijah na področju DDV pri uvozu. V tem poročilu so bile ugotovljene tudi znatne razlike v ravneh upravnih sankcij, ki jih države članice uporabljajo za goljufije na področju DDV pri uvozu, saj te razlike ustvarjajo pogoje, ki gospodarskim subjektom omogočajo izkoriščanje jurisdikcije z najnižjimi kaznimi. Dostop do podatkov o DDV, ki </w:t>
            </w:r>
            <w:r w:rsidRPr="007D38BF">
              <w:rPr>
                <w:b/>
                <w:i/>
              </w:rPr>
              <w:t>ga ta uredba omogoča EJT in uradu OLAF, povečuje zmogljivost odkrivanja in pregona, vendar ni odvračilno sredstvo za razliko v kaznih. Glede na to in v skladu z zavezo Komisije, da bo revidirala strukturo za boj proti goljufijam v sklopu ukrepov, vključenih v večletni finančni okvir za obdobje po letu 2027, se lahko preuči možnost nadaljnjih ukrepov za odpravo teh razlik, kot je zakonodajni predlog na ustrezni pravni podlagi, s katerim bi dosegli minimalno raven harmonizacije ali usklajenosti upravnih kazni, ki se uporabljajo za najhujše kršitve na področju DDV in za povezane carinske kršitve, saj je treba finančne interese Unije učinkovito zaščititi. Vsakemu takemu predlogu bi morala biti priložena celovita ocena učinka, dokazati pa bi moral skladnost z načeloma subsidiarnosti in sorazmernosti iz člena 5 PDEU.</w:t>
            </w:r>
          </w:p>
        </w:tc>
      </w:tr>
    </w:tbl>
    <w:p w:rsidR="007F5C8D" w:rsidRPr="007D38BF" w:rsidP="007F5C8D" w14:paraId="15488EE1" w14:textId="6DC117E3">
      <w:pPr>
        <w:pStyle w:val="AmNumberTabs"/>
      </w:pPr>
      <w:r w:rsidRPr="007D38BF">
        <w:t>Sprememba</w:t>
      </w:r>
      <w:r w:rsidRPr="007D38BF">
        <w:tab/>
      </w:r>
      <w:r w:rsidRPr="007D38BF">
        <w:tab/>
        <w:t>4</w:t>
      </w:r>
    </w:p>
    <w:p w:rsidR="007F5C8D" w:rsidRPr="007D38BF" w:rsidP="007F5C8D" w14:paraId="1B9DFFDE" w14:textId="77777777">
      <w:pPr>
        <w:pStyle w:val="NormalBold12b"/>
      </w:pPr>
      <w:r w:rsidRPr="007D38BF">
        <w:t>Predlog uredbe</w:t>
      </w:r>
    </w:p>
    <w:p w:rsidR="007F5C8D" w:rsidRPr="007D38BF" w:rsidP="007F5C8D" w14:paraId="176DAEFC" w14:textId="77777777">
      <w:pPr>
        <w:pStyle w:val="NormalBold"/>
      </w:pPr>
      <w:r w:rsidRPr="007D38BF">
        <w:t>Uvodna izjava 4 b (novo)</w:t>
      </w:r>
    </w:p>
    <w:tbl>
      <w:tblPr>
        <w:tblW w:w="0" w:type="auto"/>
        <w:jc w:val="center"/>
        <w:tblLayout w:type="fixed"/>
        <w:tblCellMar>
          <w:left w:w="340" w:type="dxa"/>
          <w:right w:w="340" w:type="dxa"/>
        </w:tblCellMar>
        <w:tblLook w:val="04A0"/>
      </w:tblPr>
      <w:tblGrid>
        <w:gridCol w:w="4876"/>
        <w:gridCol w:w="4876"/>
      </w:tblGrid>
      <w:tr w14:paraId="2A2D9607" w14:textId="77777777" w:rsidTr="00495A96">
        <w:tblPrEx>
          <w:tblW w:w="0" w:type="auto"/>
          <w:jc w:val="center"/>
          <w:tblLayout w:type="fixed"/>
          <w:tblLook w:val="04A0"/>
        </w:tblPrEx>
        <w:trPr>
          <w:trHeight w:val="240"/>
          <w:jc w:val="center"/>
        </w:trPr>
        <w:tc>
          <w:tcPr>
            <w:tcW w:w="9752" w:type="dxa"/>
            <w:gridSpan w:val="2"/>
          </w:tcPr>
          <w:p w:rsidR="007F5C8D" w:rsidRPr="007D38BF" w:rsidP="00495A96" w14:paraId="65DEAA06" w14:textId="77777777"/>
        </w:tc>
      </w:tr>
      <w:tr w14:paraId="0D5B53D7" w14:textId="77777777" w:rsidTr="00495A96">
        <w:tblPrEx>
          <w:tblW w:w="0" w:type="auto"/>
          <w:jc w:val="center"/>
          <w:tblLayout w:type="fixed"/>
          <w:tblLook w:val="04A0"/>
        </w:tblPrEx>
        <w:trPr>
          <w:trHeight w:val="240"/>
          <w:jc w:val="center"/>
        </w:trPr>
        <w:tc>
          <w:tcPr>
            <w:tcW w:w="4876" w:type="dxa"/>
            <w:hideMark/>
          </w:tcPr>
          <w:p w:rsidR="007F5C8D" w:rsidRPr="007D38BF" w:rsidP="00495A96" w14:paraId="31E148F6" w14:textId="77777777">
            <w:pPr>
              <w:pStyle w:val="AmColumnHeading"/>
            </w:pPr>
            <w:r w:rsidRPr="007D38BF">
              <w:t>Besedilo, ki ga predlaga Komisija</w:t>
            </w:r>
          </w:p>
        </w:tc>
        <w:tc>
          <w:tcPr>
            <w:tcW w:w="4876" w:type="dxa"/>
            <w:hideMark/>
          </w:tcPr>
          <w:p w:rsidR="007F5C8D" w:rsidRPr="007D38BF" w:rsidP="00495A96" w14:paraId="2AB8C49C" w14:textId="57410DB3">
            <w:pPr>
              <w:pStyle w:val="AmColumnHeading"/>
            </w:pPr>
            <w:r w:rsidRPr="007D38BF">
              <w:t>Sprememba</w:t>
            </w:r>
          </w:p>
        </w:tc>
      </w:tr>
      <w:tr w14:paraId="2B2633FA" w14:textId="77777777" w:rsidTr="00495A96">
        <w:tblPrEx>
          <w:tblW w:w="0" w:type="auto"/>
          <w:jc w:val="center"/>
          <w:tblLayout w:type="fixed"/>
          <w:tblLook w:val="04A0"/>
        </w:tblPrEx>
        <w:trPr>
          <w:jc w:val="center"/>
        </w:trPr>
        <w:tc>
          <w:tcPr>
            <w:tcW w:w="4876" w:type="dxa"/>
          </w:tcPr>
          <w:p w:rsidR="007F5C8D" w:rsidRPr="007D38BF" w:rsidP="00495A96" w14:paraId="03AC174E" w14:textId="77777777">
            <w:pPr>
              <w:pStyle w:val="Normal6a"/>
            </w:pPr>
          </w:p>
        </w:tc>
        <w:tc>
          <w:tcPr>
            <w:tcW w:w="4876" w:type="dxa"/>
            <w:hideMark/>
          </w:tcPr>
          <w:p w:rsidR="007F5C8D" w:rsidRPr="007D38BF" w:rsidP="00495A96" w14:paraId="7C06C7A6" w14:textId="43B2DD31">
            <w:pPr>
              <w:pStyle w:val="Normal6a"/>
            </w:pPr>
            <w:r w:rsidRPr="007D38BF">
              <w:rPr>
                <w:b/>
                <w:i/>
              </w:rPr>
              <w:t>(4b)</w:t>
            </w:r>
            <w:r w:rsidRPr="007D38BF">
              <w:tab/>
            </w:r>
            <w:r w:rsidRPr="007D38BF">
              <w:rPr>
                <w:b/>
                <w:i/>
              </w:rPr>
              <w:t xml:space="preserve">Komisija je v beli knjigi iz julija 2025 o pregledu strukture EU za boj proti goljufijam ugotovila, da razdrobljenost pretoka informacij med Eurofiscom, EJT, uradom OLAF, Europolom in Eurojustom pomeni sistemsko strukturno pomanjkljivost, ki preprečuje učinkovit odziv Unije na čezmejne goljufije na področju DDV. V revidirani strukturi za boj proti goljufijam ta uredba pomeni zakonodajno izvedbo stebra za souporabo podatkov in jo je treba razumeti v povezavi z nadaljnjimi ukrepi, ki so napovedani v tej beli knjigi in ki med drugim vključujejo povečanje operativne zmogljivosti Eurofisca, harmonizacijo pogojev in pravil o odgovornosti za davčne zastopnike, ki jih imenujejo davčni zavezanci, ki niso iz Unije, v sistemu UVEM in drugih uvoznih ureditvah za </w:t>
            </w:r>
            <w:r w:rsidRPr="007D38BF">
              <w:rPr>
                <w:b/>
                <w:i/>
              </w:rPr>
              <w:t>DDV, ter razširitev okvira za upravljanje podatkov v sistemu CESOP, da se doseže usklajenost z dostopom do carinskih podatkov, vzpostavljenim s to uredbo.</w:t>
            </w:r>
          </w:p>
        </w:tc>
      </w:tr>
    </w:tbl>
    <w:p w:rsidR="007F5C8D" w:rsidRPr="007D38BF" w:rsidP="007F5C8D" w14:paraId="73A4BD48" w14:textId="169DF4E7">
      <w:pPr>
        <w:pStyle w:val="AmNumberTabs"/>
      </w:pPr>
      <w:r w:rsidRPr="007D38BF">
        <w:t>Sprememba</w:t>
      </w:r>
      <w:r w:rsidRPr="007D38BF">
        <w:tab/>
      </w:r>
      <w:r w:rsidRPr="007D38BF">
        <w:tab/>
        <w:t>5</w:t>
      </w:r>
    </w:p>
    <w:p w:rsidR="007F5C8D" w:rsidRPr="007D38BF" w:rsidP="007F5C8D" w14:paraId="11FE6D98" w14:textId="77777777">
      <w:pPr>
        <w:pStyle w:val="NormalBold12b"/>
      </w:pPr>
      <w:r w:rsidRPr="007D38BF">
        <w:t>Predlog uredbe</w:t>
      </w:r>
    </w:p>
    <w:p w:rsidR="007F5C8D" w:rsidRPr="007D38BF" w:rsidP="007F5C8D" w14:paraId="68BF0C33" w14:textId="77777777">
      <w:pPr>
        <w:pStyle w:val="NormalBold"/>
      </w:pPr>
      <w:r w:rsidRPr="007D38BF">
        <w:t>Uvodna izjava 4 c (novo)</w:t>
      </w:r>
    </w:p>
    <w:tbl>
      <w:tblPr>
        <w:tblW w:w="0" w:type="auto"/>
        <w:jc w:val="center"/>
        <w:tblLayout w:type="fixed"/>
        <w:tblCellMar>
          <w:left w:w="340" w:type="dxa"/>
          <w:right w:w="340" w:type="dxa"/>
        </w:tblCellMar>
        <w:tblLook w:val="04A0"/>
      </w:tblPr>
      <w:tblGrid>
        <w:gridCol w:w="4876"/>
        <w:gridCol w:w="4876"/>
      </w:tblGrid>
      <w:tr w14:paraId="3DB21091" w14:textId="77777777" w:rsidTr="00495A96">
        <w:tblPrEx>
          <w:tblW w:w="0" w:type="auto"/>
          <w:jc w:val="center"/>
          <w:tblLayout w:type="fixed"/>
          <w:tblLook w:val="04A0"/>
        </w:tblPrEx>
        <w:trPr>
          <w:trHeight w:val="240"/>
          <w:jc w:val="center"/>
        </w:trPr>
        <w:tc>
          <w:tcPr>
            <w:tcW w:w="9752" w:type="dxa"/>
            <w:gridSpan w:val="2"/>
          </w:tcPr>
          <w:p w:rsidR="007F5C8D" w:rsidRPr="007D38BF" w:rsidP="00495A96" w14:paraId="0443F246" w14:textId="77777777"/>
        </w:tc>
      </w:tr>
      <w:tr w14:paraId="75C1C639" w14:textId="77777777" w:rsidTr="00495A96">
        <w:tblPrEx>
          <w:tblW w:w="0" w:type="auto"/>
          <w:jc w:val="center"/>
          <w:tblLayout w:type="fixed"/>
          <w:tblLook w:val="04A0"/>
        </w:tblPrEx>
        <w:trPr>
          <w:trHeight w:val="240"/>
          <w:jc w:val="center"/>
        </w:trPr>
        <w:tc>
          <w:tcPr>
            <w:tcW w:w="4876" w:type="dxa"/>
            <w:hideMark/>
          </w:tcPr>
          <w:p w:rsidR="007F5C8D" w:rsidRPr="007D38BF" w:rsidP="00495A96" w14:paraId="733259CC" w14:textId="77777777">
            <w:pPr>
              <w:pStyle w:val="AmColumnHeading"/>
            </w:pPr>
            <w:r w:rsidRPr="007D38BF">
              <w:t>Besedilo, ki ga predlaga Komisija</w:t>
            </w:r>
          </w:p>
        </w:tc>
        <w:tc>
          <w:tcPr>
            <w:tcW w:w="4876" w:type="dxa"/>
            <w:hideMark/>
          </w:tcPr>
          <w:p w:rsidR="007F5C8D" w:rsidRPr="007D38BF" w:rsidP="00495A96" w14:paraId="6DABE01E" w14:textId="6E07A384">
            <w:pPr>
              <w:pStyle w:val="AmColumnHeading"/>
            </w:pPr>
            <w:r w:rsidRPr="007D38BF">
              <w:t>Sprememba</w:t>
            </w:r>
          </w:p>
        </w:tc>
      </w:tr>
      <w:tr w14:paraId="5B022D8D" w14:textId="77777777" w:rsidTr="00495A96">
        <w:tblPrEx>
          <w:tblW w:w="0" w:type="auto"/>
          <w:jc w:val="center"/>
          <w:tblLayout w:type="fixed"/>
          <w:tblLook w:val="04A0"/>
        </w:tblPrEx>
        <w:trPr>
          <w:jc w:val="center"/>
        </w:trPr>
        <w:tc>
          <w:tcPr>
            <w:tcW w:w="4876" w:type="dxa"/>
          </w:tcPr>
          <w:p w:rsidR="007F5C8D" w:rsidRPr="007D38BF" w:rsidP="00495A96" w14:paraId="25DE6521" w14:textId="77777777">
            <w:pPr>
              <w:pStyle w:val="Normal6a"/>
            </w:pPr>
          </w:p>
        </w:tc>
        <w:tc>
          <w:tcPr>
            <w:tcW w:w="4876" w:type="dxa"/>
            <w:hideMark/>
          </w:tcPr>
          <w:p w:rsidR="007F5C8D" w:rsidRPr="007D38BF" w:rsidP="00495A96" w14:paraId="5FDA7688" w14:textId="15317AA9">
            <w:pPr>
              <w:pStyle w:val="Normal6a"/>
            </w:pPr>
            <w:r w:rsidRPr="007D38BF">
              <w:rPr>
                <w:b/>
                <w:i/>
              </w:rPr>
              <w:t>(4c)</w:t>
            </w:r>
            <w:r w:rsidRPr="007D38BF">
              <w:tab/>
            </w:r>
            <w:r w:rsidRPr="007D38BF">
              <w:rPr>
                <w:b/>
                <w:i/>
              </w:rPr>
              <w:t>Informacije, ki jih hranijo carinski organi v zvezi z uvoznimi postopki, v katerih so obveznosti v zvezi z DDV odložene ali oproščene, so za namene člena 113 PDEU same po sebi informacije, povezane z DDV. Področje uporabe člena 17(1)</w:t>
            </w:r>
            <w:r w:rsidRPr="007D38BF" w:rsidR="003B1920">
              <w:rPr>
                <w:b/>
                <w:i/>
              </w:rPr>
              <w:t xml:space="preserve">, točka </w:t>
            </w:r>
            <w:r w:rsidRPr="007D38BF">
              <w:rPr>
                <w:b/>
                <w:i/>
              </w:rPr>
              <w:t>(f)</w:t>
            </w:r>
            <w:r w:rsidRPr="007D38BF" w:rsidR="003B1920">
              <w:rPr>
                <w:b/>
                <w:i/>
              </w:rPr>
              <w:t>,</w:t>
            </w:r>
            <w:r w:rsidRPr="007D38BF">
              <w:rPr>
                <w:b/>
                <w:i/>
              </w:rPr>
              <w:t xml:space="preserve"> Uredbe (EU) št. 904/2010 je treba razširiti na vse uvozne postopke, ki vključujejo oprostitve ali odloge plačila DDV, tudi na postopke na podlagi uvozne ureditve „vse na enem mestu“, vzpostavljene z Direktivo 2006/112/ES, ter med obvezne podatkovne elemente dodati prijavljeno carinsko vrednost in državo porekla, da bodo lahko pristojni organi, med katerimi sta EJT in urad OLAF, uvozne deklaracije navzkrižno preverjali s prijavami DDV in odkrivali odstopanja, ki kažejo na goljufije. Ta razširitev ne bi smela posegati v materialna carinska pravila, ki urejajo omenjene uvozne postopke, za katere se še naprej uporablja Uredba (EU) št. 952/2013.</w:t>
            </w:r>
          </w:p>
        </w:tc>
      </w:tr>
    </w:tbl>
    <w:p w:rsidR="007F5C8D" w:rsidRPr="007D38BF" w:rsidP="007F5C8D" w14:paraId="7D9A5482" w14:textId="77777777"/>
    <w:p w:rsidR="007F5C8D" w:rsidRPr="007D38BF" w:rsidP="007F5C8D" w14:paraId="24A8FAB6" w14:textId="73332AA0">
      <w:pPr>
        <w:pStyle w:val="AmNumberTabs"/>
      </w:pPr>
      <w:r w:rsidRPr="007D38BF">
        <w:t>Sprememba</w:t>
      </w:r>
      <w:r w:rsidRPr="007D38BF">
        <w:tab/>
      </w:r>
      <w:r w:rsidRPr="007D38BF">
        <w:tab/>
        <w:t>6</w:t>
      </w:r>
    </w:p>
    <w:p w:rsidR="007F5C8D" w:rsidRPr="007D38BF" w:rsidP="007F5C8D" w14:paraId="01A6D8C9" w14:textId="77777777">
      <w:pPr>
        <w:pStyle w:val="NormalBold12b"/>
      </w:pPr>
      <w:r w:rsidRPr="007D38BF">
        <w:t>Predlog uredbe</w:t>
      </w:r>
    </w:p>
    <w:p w:rsidR="007F5C8D" w:rsidRPr="007D38BF" w:rsidP="007F5C8D" w14:paraId="78D74120" w14:textId="77777777">
      <w:pPr>
        <w:pStyle w:val="NormalBold"/>
      </w:pPr>
      <w:r w:rsidRPr="007D38BF">
        <w:t>Uvodna izjava 4 d (novo)</w:t>
      </w:r>
    </w:p>
    <w:tbl>
      <w:tblPr>
        <w:tblW w:w="0" w:type="auto"/>
        <w:jc w:val="center"/>
        <w:tblLayout w:type="fixed"/>
        <w:tblCellMar>
          <w:left w:w="340" w:type="dxa"/>
          <w:right w:w="340" w:type="dxa"/>
        </w:tblCellMar>
        <w:tblLook w:val="0000"/>
      </w:tblPr>
      <w:tblGrid>
        <w:gridCol w:w="4876"/>
        <w:gridCol w:w="4876"/>
      </w:tblGrid>
      <w:tr w14:paraId="603D24DE" w14:textId="77777777" w:rsidTr="00495A96">
        <w:tblPrEx>
          <w:tblW w:w="0" w:type="auto"/>
          <w:jc w:val="center"/>
          <w:tblLayout w:type="fixed"/>
          <w:tblLook w:val="0000"/>
        </w:tblPrEx>
        <w:trPr>
          <w:jc w:val="center"/>
        </w:trPr>
        <w:tc>
          <w:tcPr>
            <w:tcW w:w="9752" w:type="dxa"/>
            <w:gridSpan w:val="2"/>
          </w:tcPr>
          <w:p w:rsidR="007F5C8D" w:rsidRPr="007D38BF" w:rsidP="00495A96" w14:paraId="74EA6BF9" w14:textId="77777777">
            <w:pPr>
              <w:keepNext/>
            </w:pPr>
          </w:p>
        </w:tc>
      </w:tr>
      <w:tr w14:paraId="4C3F7E98" w14:textId="77777777" w:rsidTr="00495A96">
        <w:tblPrEx>
          <w:tblW w:w="0" w:type="auto"/>
          <w:jc w:val="center"/>
          <w:tblLayout w:type="fixed"/>
          <w:tblLook w:val="0000"/>
        </w:tblPrEx>
        <w:trPr>
          <w:jc w:val="center"/>
        </w:trPr>
        <w:tc>
          <w:tcPr>
            <w:tcW w:w="4876" w:type="dxa"/>
          </w:tcPr>
          <w:p w:rsidR="007F5C8D" w:rsidRPr="007D38BF" w:rsidP="00495A96" w14:paraId="24BC4AC4" w14:textId="77777777">
            <w:pPr>
              <w:pStyle w:val="ColumnHeading"/>
              <w:keepNext/>
            </w:pPr>
            <w:r w:rsidRPr="007D38BF">
              <w:t>Besedilo, ki ga predlaga Komisija</w:t>
            </w:r>
          </w:p>
        </w:tc>
        <w:tc>
          <w:tcPr>
            <w:tcW w:w="4876" w:type="dxa"/>
          </w:tcPr>
          <w:p w:rsidR="007F5C8D" w:rsidRPr="007D38BF" w:rsidP="00495A96" w14:paraId="668D0D2E" w14:textId="04A9CAA4">
            <w:pPr>
              <w:pStyle w:val="ColumnHeading"/>
              <w:keepNext/>
            </w:pPr>
            <w:r w:rsidRPr="007D38BF">
              <w:t>Sprememba</w:t>
            </w:r>
          </w:p>
        </w:tc>
      </w:tr>
      <w:tr w14:paraId="440D2C6A" w14:textId="77777777" w:rsidTr="00495A96">
        <w:tblPrEx>
          <w:tblW w:w="0" w:type="auto"/>
          <w:jc w:val="center"/>
          <w:tblLayout w:type="fixed"/>
          <w:tblLook w:val="0000"/>
        </w:tblPrEx>
        <w:trPr>
          <w:jc w:val="center"/>
        </w:trPr>
        <w:tc>
          <w:tcPr>
            <w:tcW w:w="4876" w:type="dxa"/>
          </w:tcPr>
          <w:p w:rsidR="007F5C8D" w:rsidRPr="007D38BF" w:rsidP="00495A96" w14:paraId="3AE861BD" w14:textId="77777777">
            <w:pPr>
              <w:pStyle w:val="Normal6"/>
            </w:pPr>
          </w:p>
        </w:tc>
        <w:tc>
          <w:tcPr>
            <w:tcW w:w="4876" w:type="dxa"/>
          </w:tcPr>
          <w:p w:rsidR="007F5C8D" w:rsidRPr="007D38BF" w:rsidP="00495A96" w14:paraId="7FFA654D" w14:textId="0E0DF4E7">
            <w:pPr>
              <w:pStyle w:val="Normal6"/>
              <w:rPr>
                <w:szCs w:val="24"/>
              </w:rPr>
            </w:pPr>
            <w:r w:rsidRPr="007D38BF">
              <w:rPr>
                <w:b/>
                <w:i/>
              </w:rPr>
              <w:t>(4d)</w:t>
            </w:r>
            <w:r w:rsidRPr="007D38BF">
              <w:rPr>
                <w:b/>
                <w:i/>
              </w:rPr>
              <w:tab/>
              <w:t xml:space="preserve">Da bi se zmogljivost izvrševanja, vzpostavljena s to uredbo, učinkovito razširila na vse države članice, s čimer bi odpravili dolgotrajne asimetrije na enotnem trgu in na področju boja proti </w:t>
            </w:r>
            <w:r w:rsidRPr="007D38BF">
              <w:rPr>
                <w:b/>
                <w:i/>
              </w:rPr>
              <w:t>goljufijam v Uniji, ter v skladu z zavezo Komisije, da bo revidirala strukturo za boj proti goljufijam, bi bilo treba od držav članic, ki ne sodelujejo v EJT, zahtevati, da imenujejo pristojni nacionalni organ, ki bo odgovoren za izpolnjevanje enakovrednih funkcij za namene sodelovanja z Eurofiscom in uradom OLAF v zvezi z bojem proti goljufijam na področju DDV. Te države članice bi morale v šestih mesecih od začetka veljavnosti te uredbe uradno obvestiti Komisijo o imenovanem organu in ji vsako leto poročati o uporabi prejetih informacij, vključno s številom začetih preiskav in njihovimi rezultati.</w:t>
            </w:r>
          </w:p>
        </w:tc>
      </w:tr>
    </w:tbl>
    <w:p w:rsidR="007F5C8D" w:rsidRPr="007D38BF" w:rsidP="007F5C8D" w14:paraId="486DB8A5" w14:textId="77777777"/>
    <w:p w:rsidR="007F5C8D" w:rsidRPr="007D38BF" w:rsidP="007F5C8D" w14:paraId="34517F7D" w14:textId="3B475C3B">
      <w:pPr>
        <w:pStyle w:val="AMNumberTabs0"/>
        <w:keepNext/>
      </w:pPr>
      <w:r w:rsidRPr="007D38BF">
        <w:t>Sprememba</w:t>
      </w:r>
      <w:r w:rsidRPr="007D38BF">
        <w:tab/>
      </w:r>
      <w:r w:rsidRPr="007D38BF">
        <w:tab/>
        <w:t>7</w:t>
      </w:r>
    </w:p>
    <w:p w:rsidR="007F5C8D" w:rsidRPr="007D38BF" w:rsidP="007F5C8D" w14:paraId="3594A751" w14:textId="77777777">
      <w:pPr>
        <w:pStyle w:val="NormalBold12b"/>
        <w:keepNext/>
      </w:pPr>
      <w:r w:rsidRPr="007D38BF">
        <w:t>Predlog uredbe</w:t>
      </w:r>
    </w:p>
    <w:p w:rsidR="007F5C8D" w:rsidRPr="007D38BF" w:rsidP="007F5C8D" w14:paraId="22E39E27" w14:textId="77777777">
      <w:pPr>
        <w:pStyle w:val="NormalBold"/>
      </w:pPr>
      <w:r w:rsidRPr="007D38BF">
        <w:t>Uvodna izjava 5</w:t>
      </w:r>
    </w:p>
    <w:tbl>
      <w:tblPr>
        <w:tblW w:w="0" w:type="auto"/>
        <w:jc w:val="center"/>
        <w:tblLayout w:type="fixed"/>
        <w:tblCellMar>
          <w:left w:w="340" w:type="dxa"/>
          <w:right w:w="340" w:type="dxa"/>
        </w:tblCellMar>
        <w:tblLook w:val="0000"/>
      </w:tblPr>
      <w:tblGrid>
        <w:gridCol w:w="4876"/>
        <w:gridCol w:w="4876"/>
      </w:tblGrid>
      <w:tr w14:paraId="05680707" w14:textId="77777777" w:rsidTr="00495A96">
        <w:tblPrEx>
          <w:tblW w:w="0" w:type="auto"/>
          <w:jc w:val="center"/>
          <w:tblLayout w:type="fixed"/>
          <w:tblLook w:val="0000"/>
        </w:tblPrEx>
        <w:trPr>
          <w:jc w:val="center"/>
        </w:trPr>
        <w:tc>
          <w:tcPr>
            <w:tcW w:w="9752" w:type="dxa"/>
            <w:gridSpan w:val="2"/>
          </w:tcPr>
          <w:p w:rsidR="007F5C8D" w:rsidRPr="007D38BF" w:rsidP="00495A96" w14:paraId="1136FBD6" w14:textId="77777777">
            <w:pPr>
              <w:keepNext/>
            </w:pPr>
          </w:p>
        </w:tc>
      </w:tr>
      <w:tr w14:paraId="4DFB6397" w14:textId="77777777" w:rsidTr="00495A96">
        <w:tblPrEx>
          <w:tblW w:w="0" w:type="auto"/>
          <w:jc w:val="center"/>
          <w:tblLayout w:type="fixed"/>
          <w:tblLook w:val="0000"/>
        </w:tblPrEx>
        <w:trPr>
          <w:jc w:val="center"/>
        </w:trPr>
        <w:tc>
          <w:tcPr>
            <w:tcW w:w="4876" w:type="dxa"/>
          </w:tcPr>
          <w:p w:rsidR="007F5C8D" w:rsidRPr="007D38BF" w:rsidP="00495A96" w14:paraId="02E2598F" w14:textId="77777777">
            <w:pPr>
              <w:pStyle w:val="ColumnHeading"/>
              <w:keepNext/>
            </w:pPr>
            <w:r w:rsidRPr="007D38BF">
              <w:t>Besedilo, ki ga predlaga Komisija</w:t>
            </w:r>
          </w:p>
        </w:tc>
        <w:tc>
          <w:tcPr>
            <w:tcW w:w="4876" w:type="dxa"/>
          </w:tcPr>
          <w:p w:rsidR="007F5C8D" w:rsidRPr="007D38BF" w:rsidP="00495A96" w14:paraId="40927766" w14:textId="06DBD2F6">
            <w:pPr>
              <w:pStyle w:val="ColumnHeading"/>
              <w:keepNext/>
            </w:pPr>
            <w:r w:rsidRPr="007D38BF">
              <w:t>Sprememba</w:t>
            </w:r>
          </w:p>
        </w:tc>
      </w:tr>
      <w:tr w14:paraId="1648C4EB" w14:textId="77777777" w:rsidTr="00495A96">
        <w:tblPrEx>
          <w:tblW w:w="0" w:type="auto"/>
          <w:jc w:val="center"/>
          <w:tblLayout w:type="fixed"/>
          <w:tblLook w:val="0000"/>
        </w:tblPrEx>
        <w:trPr>
          <w:jc w:val="center"/>
        </w:trPr>
        <w:tc>
          <w:tcPr>
            <w:tcW w:w="4876" w:type="dxa"/>
          </w:tcPr>
          <w:p w:rsidR="007F5C8D" w:rsidRPr="007D38BF" w:rsidP="00495A96" w14:paraId="4028790A" w14:textId="77777777">
            <w:pPr>
              <w:pStyle w:val="Normal6"/>
            </w:pPr>
            <w:r w:rsidRPr="007D38BF">
              <w:t>(5)</w:t>
            </w:r>
            <w:r w:rsidRPr="007D38BF">
              <w:tab/>
              <w:t>Evropsko računsko sodišče je Komisiji in državam članicam priporočilo, naj odpravijo pravne ovire, ki preprečujejo izmenjavo informacij med upravnimi in pravosodni organi ter organi preprečevanja, odkrivanja in preiskovanja kaznivih dejanj na nacionalni ravni in na ravni Unije, ter zlasti, naj dobi urad OLAF dostop do podatkov v sistemu izmenjave podatkov o DDV (VIES) in podatkov Eurofisca</w:t>
            </w:r>
            <w:r w:rsidRPr="007D38BF">
              <w:rPr>
                <w:vertAlign w:val="superscript"/>
              </w:rPr>
              <w:t>6</w:t>
            </w:r>
            <w:r w:rsidRPr="007D38BF">
              <w:t xml:space="preserve"> . V zvezi s tem je pomembno, da je osrednji dostop do informacijskih sistemov EU določen v jasni pravni podlagi.</w:t>
            </w:r>
          </w:p>
        </w:tc>
        <w:tc>
          <w:tcPr>
            <w:tcW w:w="4876" w:type="dxa"/>
          </w:tcPr>
          <w:p w:rsidR="007F5C8D" w:rsidRPr="007D38BF" w:rsidP="00495A96" w14:paraId="6BB83EA9" w14:textId="4878EAFA">
            <w:pPr>
              <w:pStyle w:val="Normal6"/>
              <w:rPr>
                <w:szCs w:val="24"/>
              </w:rPr>
            </w:pPr>
            <w:r w:rsidRPr="007D38BF">
              <w:t>(5)</w:t>
            </w:r>
            <w:r w:rsidRPr="007D38BF">
              <w:tab/>
              <w:t>Evropsko računsko sodišče je Komisiji in državam članicam priporočilo, naj odpravijo pravne ovire, ki preprečujejo izmenjavo informacij med upravnimi in pravosodni organi ter organi preprečevanja, odkrivanja in preiskovanja kaznivih dejanj na nacionalni ravni in na ravni Unije, ter zlasti, naj dobi urad OLAF dostop do podatkov v sistemu izmenjave podatkov o DDV (VIES) in podatkov Eurofisca. V zvezi s tem je pomembno, da je osrednji dostop do informacijskih sistemov EU</w:t>
            </w:r>
            <w:r w:rsidRPr="007D38BF">
              <w:rPr>
                <w:b/>
                <w:bCs/>
                <w:i/>
                <w:iCs/>
              </w:rPr>
              <w:t xml:space="preserve">, ki spoštuje načela </w:t>
            </w:r>
            <w:r w:rsidRPr="007D38BF" w:rsidR="00337764">
              <w:rPr>
                <w:b/>
                <w:bCs/>
                <w:i/>
                <w:iCs/>
              </w:rPr>
              <w:t xml:space="preserve">nujnosti </w:t>
            </w:r>
            <w:r w:rsidRPr="007D38BF">
              <w:rPr>
                <w:b/>
                <w:bCs/>
                <w:i/>
                <w:iCs/>
              </w:rPr>
              <w:t xml:space="preserve">in sorazmernosti, </w:t>
            </w:r>
            <w:r w:rsidRPr="007D38BF">
              <w:t>določen v jasni pravni podlagi</w:t>
            </w:r>
            <w:r w:rsidRPr="007D38BF">
              <w:rPr>
                <w:b/>
                <w:bCs/>
                <w:i/>
                <w:iCs/>
              </w:rPr>
              <w:t>, da lahko urad OLAF uspešno izvaja svoj mandat iz člena 4 Uredbe (EU, Euratom) št. 883/2013</w:t>
            </w:r>
            <w:r w:rsidRPr="007D38BF">
              <w:t>.</w:t>
            </w:r>
          </w:p>
        </w:tc>
      </w:tr>
      <w:tr w14:paraId="14B3F585" w14:textId="77777777" w:rsidTr="00495A96">
        <w:tblPrEx>
          <w:tblW w:w="0" w:type="auto"/>
          <w:jc w:val="center"/>
          <w:tblLayout w:type="fixed"/>
          <w:tblLook w:val="0000"/>
        </w:tblPrEx>
        <w:trPr>
          <w:jc w:val="center"/>
        </w:trPr>
        <w:tc>
          <w:tcPr>
            <w:tcW w:w="4876" w:type="dxa"/>
          </w:tcPr>
          <w:p w:rsidR="007F5C8D" w:rsidRPr="007D38BF" w:rsidP="00495A96" w14:paraId="00B73807" w14:textId="77777777">
            <w:pPr>
              <w:pStyle w:val="Normal6"/>
            </w:pPr>
            <w:r w:rsidRPr="007D38BF">
              <w:t>__________________</w:t>
            </w:r>
          </w:p>
        </w:tc>
        <w:tc>
          <w:tcPr>
            <w:tcW w:w="4876" w:type="dxa"/>
          </w:tcPr>
          <w:p w:rsidR="007F5C8D" w:rsidRPr="007D38BF" w:rsidP="00495A96" w14:paraId="0FED110E" w14:textId="77777777">
            <w:pPr>
              <w:pStyle w:val="Normal6"/>
              <w:rPr>
                <w:szCs w:val="24"/>
              </w:rPr>
            </w:pPr>
            <w:r w:rsidRPr="007D38BF">
              <w:t>__________________</w:t>
            </w:r>
          </w:p>
        </w:tc>
      </w:tr>
      <w:tr w14:paraId="37792EB8" w14:textId="77777777" w:rsidTr="00495A96">
        <w:tblPrEx>
          <w:tblW w:w="0" w:type="auto"/>
          <w:jc w:val="center"/>
          <w:tblLayout w:type="fixed"/>
          <w:tblLook w:val="0000"/>
        </w:tblPrEx>
        <w:trPr>
          <w:jc w:val="center"/>
        </w:trPr>
        <w:tc>
          <w:tcPr>
            <w:tcW w:w="4876" w:type="dxa"/>
          </w:tcPr>
          <w:p w:rsidR="007F5C8D" w:rsidRPr="007D38BF" w:rsidP="00495A96" w14:paraId="56DEAD78" w14:textId="77777777">
            <w:pPr>
              <w:pStyle w:val="Normal6"/>
            </w:pPr>
            <w:r w:rsidRPr="007D38BF">
              <w:rPr>
                <w:vertAlign w:val="superscript"/>
              </w:rPr>
              <w:t>6</w:t>
            </w:r>
            <w:r w:rsidRPr="007D38BF">
              <w:t xml:space="preserve"> Posebno poročilo Evropskega računskega sodišča št. 24/2015, Boj proti goljufijam na področju DDV znotraj Skupnosti: potrebnih je več ukrepov (https://www.eca.europa.eu/sl/publications/sr15_24).</w:t>
            </w:r>
          </w:p>
        </w:tc>
        <w:tc>
          <w:tcPr>
            <w:tcW w:w="4876" w:type="dxa"/>
          </w:tcPr>
          <w:p w:rsidR="007F5C8D" w:rsidRPr="007D38BF" w:rsidP="00495A96" w14:paraId="37B1B4FD" w14:textId="77777777">
            <w:pPr>
              <w:pStyle w:val="Normal6"/>
              <w:rPr>
                <w:szCs w:val="24"/>
              </w:rPr>
            </w:pPr>
            <w:r w:rsidRPr="007D38BF">
              <w:rPr>
                <w:vertAlign w:val="superscript"/>
              </w:rPr>
              <w:t>6</w:t>
            </w:r>
            <w:r w:rsidRPr="007D38BF">
              <w:t xml:space="preserve"> Posebno poročilo Evropskega računskega sodišča št. 24/2015, Boj proti goljufijam na področju DDV znotraj Skupnosti: potrebnih je več ukrepov (https://www.eca.europa.eu/sl/publications/sr15_24).</w:t>
            </w:r>
          </w:p>
        </w:tc>
      </w:tr>
    </w:tbl>
    <w:p w:rsidR="007F5C8D" w:rsidRPr="007D38BF" w:rsidP="007F5C8D" w14:paraId="3F021665" w14:textId="77777777"/>
    <w:p w:rsidR="007F5C8D" w:rsidRPr="007D38BF" w:rsidP="007F5C8D" w14:paraId="4E21FA74" w14:textId="2FAC7F1C">
      <w:pPr>
        <w:pStyle w:val="AMNumberTabs0"/>
        <w:keepNext/>
      </w:pPr>
      <w:r w:rsidRPr="007D38BF">
        <w:t>Sprememba</w:t>
      </w:r>
      <w:r w:rsidRPr="007D38BF">
        <w:tab/>
      </w:r>
      <w:r w:rsidRPr="007D38BF">
        <w:tab/>
        <w:t>8</w:t>
      </w:r>
    </w:p>
    <w:p w:rsidR="007F5C8D" w:rsidRPr="007D38BF" w:rsidP="007F5C8D" w14:paraId="08922536" w14:textId="77777777">
      <w:pPr>
        <w:pStyle w:val="NormalBold12b"/>
        <w:keepNext/>
      </w:pPr>
      <w:r w:rsidRPr="007D38BF">
        <w:t>Predlog uredbe</w:t>
      </w:r>
    </w:p>
    <w:p w:rsidR="007F5C8D" w:rsidRPr="007D38BF" w:rsidP="007F5C8D" w14:paraId="69AA3FC3" w14:textId="77777777">
      <w:pPr>
        <w:pStyle w:val="NormalBold"/>
      </w:pPr>
      <w:r w:rsidRPr="007D38BF">
        <w:t>Uvodna izjava 5 a (novo)</w:t>
      </w:r>
    </w:p>
    <w:tbl>
      <w:tblPr>
        <w:tblW w:w="9752" w:type="dxa"/>
        <w:jc w:val="center"/>
        <w:tblLayout w:type="fixed"/>
        <w:tblCellMar>
          <w:left w:w="340" w:type="dxa"/>
          <w:right w:w="340" w:type="dxa"/>
        </w:tblCellMar>
        <w:tblLook w:val="0000"/>
      </w:tblPr>
      <w:tblGrid>
        <w:gridCol w:w="4876"/>
        <w:gridCol w:w="4876"/>
      </w:tblGrid>
      <w:tr w14:paraId="643DB85C" w14:textId="77777777" w:rsidTr="00495A96">
        <w:tblPrEx>
          <w:tblW w:w="9752" w:type="dxa"/>
          <w:jc w:val="center"/>
          <w:tblLayout w:type="fixed"/>
          <w:tblLook w:val="0000"/>
        </w:tblPrEx>
        <w:trPr>
          <w:jc w:val="center"/>
        </w:trPr>
        <w:tc>
          <w:tcPr>
            <w:tcW w:w="9752" w:type="dxa"/>
            <w:gridSpan w:val="2"/>
          </w:tcPr>
          <w:p w:rsidR="007F5C8D" w:rsidRPr="007D38BF" w:rsidP="00495A96" w14:paraId="435D100E" w14:textId="77777777">
            <w:pPr>
              <w:keepNext/>
            </w:pPr>
          </w:p>
        </w:tc>
      </w:tr>
      <w:tr w14:paraId="7FFA05A3" w14:textId="77777777" w:rsidTr="00495A96">
        <w:tblPrEx>
          <w:tblW w:w="9752" w:type="dxa"/>
          <w:jc w:val="center"/>
          <w:tblLayout w:type="fixed"/>
          <w:tblLook w:val="0000"/>
        </w:tblPrEx>
        <w:trPr>
          <w:jc w:val="center"/>
        </w:trPr>
        <w:tc>
          <w:tcPr>
            <w:tcW w:w="4876" w:type="dxa"/>
          </w:tcPr>
          <w:p w:rsidR="007F5C8D" w:rsidRPr="007D38BF" w:rsidP="00495A96" w14:paraId="2ED68201" w14:textId="77777777">
            <w:pPr>
              <w:pStyle w:val="ColumnHeading"/>
              <w:keepNext/>
            </w:pPr>
            <w:r w:rsidRPr="007D38BF">
              <w:t>Besedilo, ki ga predlaga Komisija</w:t>
            </w:r>
          </w:p>
        </w:tc>
        <w:tc>
          <w:tcPr>
            <w:tcW w:w="4876" w:type="dxa"/>
          </w:tcPr>
          <w:p w:rsidR="007F5C8D" w:rsidRPr="007D38BF" w:rsidP="00495A96" w14:paraId="76463F5F" w14:textId="01841467">
            <w:pPr>
              <w:pStyle w:val="ColumnHeading"/>
              <w:keepNext/>
            </w:pPr>
            <w:r w:rsidRPr="007D38BF">
              <w:t>Sprememba</w:t>
            </w:r>
          </w:p>
        </w:tc>
      </w:tr>
      <w:tr w14:paraId="6938155F" w14:textId="77777777" w:rsidTr="00495A96">
        <w:tblPrEx>
          <w:tblW w:w="9752" w:type="dxa"/>
          <w:jc w:val="center"/>
          <w:tblLayout w:type="fixed"/>
          <w:tblLook w:val="0000"/>
        </w:tblPrEx>
        <w:trPr>
          <w:jc w:val="center"/>
        </w:trPr>
        <w:tc>
          <w:tcPr>
            <w:tcW w:w="4876" w:type="dxa"/>
          </w:tcPr>
          <w:p w:rsidR="007F5C8D" w:rsidRPr="007D38BF" w:rsidP="00495A96" w14:paraId="35B72E3C" w14:textId="77777777">
            <w:pPr>
              <w:pStyle w:val="Normal6"/>
            </w:pPr>
          </w:p>
        </w:tc>
        <w:tc>
          <w:tcPr>
            <w:tcW w:w="4876" w:type="dxa"/>
          </w:tcPr>
          <w:p w:rsidR="007F5C8D" w:rsidRPr="007D38BF" w:rsidP="00495A96" w14:paraId="4F757C8D" w14:textId="77777777">
            <w:pPr>
              <w:pStyle w:val="Normal6"/>
              <w:rPr>
                <w:b/>
                <w:bCs/>
                <w:i/>
                <w:iCs/>
                <w:szCs w:val="24"/>
              </w:rPr>
            </w:pPr>
            <w:r w:rsidRPr="007D38BF">
              <w:rPr>
                <w:b/>
                <w:i/>
              </w:rPr>
              <w:t>(5a)</w:t>
            </w:r>
            <w:r w:rsidRPr="007D38BF">
              <w:rPr>
                <w:b/>
                <w:i/>
              </w:rPr>
              <w:tab/>
              <w:t>Med zakoreninjenimi ovirami za učinkovito sodelovanje med organi Unije so nezdružljivost informacijskih sistemov, razdrobljenost komunikacijskih kanalov in omejena interoperabilnost sistemov za vodenje zadev, kar povzroča neučinkovitost, zamude in večje upravno breme. Zato je treba povečati interoperabilnost in razviti skupno digitalno infrastrukturo, da bi zagotovili nemoteno in varno izmenjavo informacij.</w:t>
            </w:r>
          </w:p>
        </w:tc>
      </w:tr>
    </w:tbl>
    <w:p w:rsidR="007F5C8D" w:rsidRPr="007D38BF" w:rsidP="007F5C8D" w14:paraId="2798C9C9" w14:textId="77777777"/>
    <w:p w:rsidR="007F5C8D" w:rsidRPr="007D38BF" w:rsidP="007F5C8D" w14:paraId="2B81E98E" w14:textId="420AA3EF">
      <w:pPr>
        <w:pStyle w:val="AmNumberTabs"/>
      </w:pPr>
      <w:r w:rsidRPr="007D38BF">
        <w:t>Sprememba</w:t>
      </w:r>
      <w:r w:rsidRPr="007D38BF">
        <w:tab/>
      </w:r>
      <w:r w:rsidRPr="007D38BF">
        <w:tab/>
        <w:t>9</w:t>
      </w:r>
    </w:p>
    <w:p w:rsidR="007F5C8D" w:rsidRPr="007D38BF" w:rsidP="007F5C8D" w14:paraId="31E9B5A4" w14:textId="77777777">
      <w:pPr>
        <w:pStyle w:val="NormalBold12b"/>
      </w:pPr>
      <w:r w:rsidRPr="007D38BF">
        <w:t>Predlog uredbe</w:t>
      </w:r>
    </w:p>
    <w:p w:rsidR="007F5C8D" w:rsidRPr="007D38BF" w:rsidP="007F5C8D" w14:paraId="6DEA323C" w14:textId="77777777">
      <w:pPr>
        <w:pStyle w:val="NormalBold"/>
      </w:pPr>
      <w:r w:rsidRPr="007D38BF">
        <w:t>Uvodna izjava 8 a (novo)</w:t>
      </w:r>
    </w:p>
    <w:tbl>
      <w:tblPr>
        <w:tblW w:w="0" w:type="auto"/>
        <w:jc w:val="center"/>
        <w:tblLayout w:type="fixed"/>
        <w:tblCellMar>
          <w:left w:w="340" w:type="dxa"/>
          <w:right w:w="340" w:type="dxa"/>
        </w:tblCellMar>
        <w:tblLook w:val="04A0"/>
      </w:tblPr>
      <w:tblGrid>
        <w:gridCol w:w="4876"/>
        <w:gridCol w:w="4876"/>
      </w:tblGrid>
      <w:tr w14:paraId="37D41663" w14:textId="77777777" w:rsidTr="00495A96">
        <w:tblPrEx>
          <w:tblW w:w="0" w:type="auto"/>
          <w:jc w:val="center"/>
          <w:tblLayout w:type="fixed"/>
          <w:tblLook w:val="04A0"/>
        </w:tblPrEx>
        <w:trPr>
          <w:trHeight w:val="240"/>
          <w:jc w:val="center"/>
        </w:trPr>
        <w:tc>
          <w:tcPr>
            <w:tcW w:w="9752" w:type="dxa"/>
            <w:gridSpan w:val="2"/>
          </w:tcPr>
          <w:p w:rsidR="007F5C8D" w:rsidRPr="007D38BF" w:rsidP="00495A96" w14:paraId="4C9629F2" w14:textId="77777777"/>
        </w:tc>
      </w:tr>
      <w:tr w14:paraId="40A5267F" w14:textId="77777777" w:rsidTr="00495A96">
        <w:tblPrEx>
          <w:tblW w:w="0" w:type="auto"/>
          <w:jc w:val="center"/>
          <w:tblLayout w:type="fixed"/>
          <w:tblLook w:val="04A0"/>
        </w:tblPrEx>
        <w:trPr>
          <w:trHeight w:val="240"/>
          <w:jc w:val="center"/>
        </w:trPr>
        <w:tc>
          <w:tcPr>
            <w:tcW w:w="4876" w:type="dxa"/>
            <w:hideMark/>
          </w:tcPr>
          <w:p w:rsidR="007F5C8D" w:rsidRPr="007D38BF" w:rsidP="00495A96" w14:paraId="5E6B95E6" w14:textId="77777777">
            <w:pPr>
              <w:pStyle w:val="AmColumnHeading"/>
            </w:pPr>
            <w:r w:rsidRPr="007D38BF">
              <w:t>Besedilo, ki ga predlaga Komisija</w:t>
            </w:r>
          </w:p>
        </w:tc>
        <w:tc>
          <w:tcPr>
            <w:tcW w:w="4876" w:type="dxa"/>
            <w:hideMark/>
          </w:tcPr>
          <w:p w:rsidR="007F5C8D" w:rsidRPr="007D38BF" w:rsidP="00495A96" w14:paraId="606292C3" w14:textId="04234691">
            <w:pPr>
              <w:pStyle w:val="AmColumnHeading"/>
            </w:pPr>
            <w:r w:rsidRPr="007D38BF">
              <w:t>Sprememba</w:t>
            </w:r>
          </w:p>
        </w:tc>
      </w:tr>
      <w:tr w14:paraId="1345C590" w14:textId="77777777" w:rsidTr="00495A96">
        <w:tblPrEx>
          <w:tblW w:w="0" w:type="auto"/>
          <w:jc w:val="center"/>
          <w:tblLayout w:type="fixed"/>
          <w:tblLook w:val="04A0"/>
        </w:tblPrEx>
        <w:trPr>
          <w:jc w:val="center"/>
        </w:trPr>
        <w:tc>
          <w:tcPr>
            <w:tcW w:w="4876" w:type="dxa"/>
          </w:tcPr>
          <w:p w:rsidR="007F5C8D" w:rsidRPr="007D38BF" w:rsidP="00495A96" w14:paraId="1AC29FF2" w14:textId="77777777">
            <w:pPr>
              <w:pStyle w:val="Normal6a"/>
            </w:pPr>
          </w:p>
        </w:tc>
        <w:tc>
          <w:tcPr>
            <w:tcW w:w="4876" w:type="dxa"/>
            <w:hideMark/>
          </w:tcPr>
          <w:p w:rsidR="007F5C8D" w:rsidRPr="007D38BF" w:rsidP="00495A96" w14:paraId="377EB72B" w14:textId="008A3789">
            <w:pPr>
              <w:pStyle w:val="Normal6a"/>
            </w:pPr>
            <w:r w:rsidRPr="007D38BF">
              <w:rPr>
                <w:b/>
                <w:i/>
              </w:rPr>
              <w:t>(8a)</w:t>
            </w:r>
            <w:r w:rsidRPr="007D38BF">
              <w:tab/>
            </w:r>
            <w:r w:rsidRPr="007D38BF">
              <w:rPr>
                <w:b/>
                <w:i/>
              </w:rPr>
              <w:t xml:space="preserve">Čeprav člen 13 Uredbe (EU) št. 904/2010 že zahteva, da si pristojni organi za DDV držav članic na lastno pobudo izmenjujejo informacije, ki bi lahko bile koristne v boju proti goljufijam na področju DDV, se ta obveznost uporablja za organe, pristojne za DDV, in ne zajema pristojnih carinskih organov držav članic, ki niso organi, pristojni za DDV, v smislu te uredbe. Poleg tega niti obstoječi mehanizem iz člena 13 Uredbe (EU) št. 904/2010 niti mreža Eurofisc ne zagotavljata, da bi carinski organi pridobljene obveščevalne podatke o goljufijah na lastno pobudo sporočali neposredno EJT in uradu OLAF. Za sheme goljufij na področju DDV, povezane z uvoznimi postopki, so značilna sistematična odstopanja med informacijami, prijavljenimi carinskim organom ob uvozu, in prijavami DDV, naknadno vloženimi v namembni državi </w:t>
            </w:r>
            <w:r w:rsidRPr="007D38BF">
              <w:rPr>
                <w:b/>
                <w:i/>
              </w:rPr>
              <w:t>članici. Tovrstna odstopanja pogosto prvi odkrijejo carinski organi, in sicer z analizo za obvladovanje tveganj. Da bi to vrzel zapolnili in zagotovili, da se bodo carinski obveščevalni podatki višje v verigi, ki jih pridobijo carinski organi, nemudoma posredovali organom, pristojnim za preiskovanje in pregon čezmejnih goljufij na področju DDV, ter glede na to, da je učinkovito uveljavljanje pravic dostopa iz členov 49a in 49b Uredbe (EU) št. 904/2010, odvisno od tega, ali sta EJT in urad OLAF obveščena o obstoju morebitnih primerov goljufij, je treba od pristojnih carinskih organov zahtevati, da te informacije posredujejo na lastno pobudo. Te podatke bi morali posredovati Eurofiscu, EJT in uradu OLAF vedno, ko podatki iz člena 17(1)</w:t>
            </w:r>
            <w:r w:rsidRPr="007D38BF" w:rsidR="00337764">
              <w:rPr>
                <w:b/>
                <w:i/>
              </w:rPr>
              <w:t xml:space="preserve">, točka </w:t>
            </w:r>
            <w:r w:rsidRPr="007D38BF">
              <w:rPr>
                <w:b/>
                <w:i/>
              </w:rPr>
              <w:t>(f)</w:t>
            </w:r>
            <w:r w:rsidRPr="007D38BF" w:rsidR="00337764">
              <w:rPr>
                <w:b/>
                <w:i/>
              </w:rPr>
              <w:t>,</w:t>
            </w:r>
            <w:r w:rsidRPr="007D38BF">
              <w:rPr>
                <w:b/>
                <w:i/>
              </w:rPr>
              <w:t xml:space="preserve"> kažejo na vzorce, značilne za goljufije na področju DDV. Ta ukrep je ključen za učinkovito zaščito finančnih interesov Unije in je skladen z zavezo Komisije, da bo kot bistveni del svežnja večletnega finančnega okvira za obdobje po letu 2027 revidirala splošno strukturo za boj proti goljufijam. Evropski parlament je v zadnjih letih v svojih resolucijah o zaščiti finančnih interesov Unije večkrat pozval k boljšemu usklajevanju med carinskimi organi in organi za DDV na nacionalni ravni, zlasti prek nacionalnih strategij za boj proti goljufijam. Omenjeni mehanizem za posredovanje podatkov na lastno pobudo deluje izključno v okviru upravnega sodelovanja na področju DDV iz Uredbe (EU) št. 904/2010 ter ne posega v vsebinske carinske postopke, vzpostavljene na podlagi Uredbe (EU) št. 952/2013, in povezana pravila o upravljanju podatkov.</w:t>
            </w:r>
          </w:p>
        </w:tc>
      </w:tr>
    </w:tbl>
    <w:p w:rsidR="007F5C8D" w:rsidRPr="007D38BF" w:rsidP="007F5C8D" w14:paraId="76B8F017" w14:textId="176274AE">
      <w:pPr>
        <w:pStyle w:val="AmNumberTabs"/>
      </w:pPr>
      <w:r w:rsidRPr="007D38BF">
        <w:t>Sprememba</w:t>
      </w:r>
      <w:r w:rsidRPr="007D38BF">
        <w:tab/>
      </w:r>
      <w:r w:rsidRPr="007D38BF">
        <w:tab/>
        <w:t>10</w:t>
      </w:r>
    </w:p>
    <w:p w:rsidR="007F5C8D" w:rsidRPr="007D38BF" w:rsidP="007F5C8D" w14:paraId="2FDF86D6" w14:textId="77777777">
      <w:pPr>
        <w:pStyle w:val="NormalBold12b"/>
      </w:pPr>
      <w:r w:rsidRPr="007D38BF">
        <w:t>Predlog uredbe</w:t>
      </w:r>
    </w:p>
    <w:p w:rsidR="007F5C8D" w:rsidRPr="007D38BF" w:rsidP="007F5C8D" w14:paraId="2D44898C" w14:textId="77777777">
      <w:pPr>
        <w:pStyle w:val="NormalBold"/>
      </w:pPr>
      <w:r w:rsidRPr="007D38BF">
        <w:t>Uvodna izjava 8 b (novo)</w:t>
      </w:r>
    </w:p>
    <w:tbl>
      <w:tblPr>
        <w:tblW w:w="0" w:type="auto"/>
        <w:jc w:val="center"/>
        <w:tblLayout w:type="fixed"/>
        <w:tblCellMar>
          <w:left w:w="340" w:type="dxa"/>
          <w:right w:w="340" w:type="dxa"/>
        </w:tblCellMar>
        <w:tblLook w:val="04A0"/>
      </w:tblPr>
      <w:tblGrid>
        <w:gridCol w:w="4876"/>
        <w:gridCol w:w="4876"/>
      </w:tblGrid>
      <w:tr w14:paraId="56629F42" w14:textId="77777777" w:rsidTr="00495A96">
        <w:tblPrEx>
          <w:tblW w:w="0" w:type="auto"/>
          <w:jc w:val="center"/>
          <w:tblLayout w:type="fixed"/>
          <w:tblLook w:val="04A0"/>
        </w:tblPrEx>
        <w:trPr>
          <w:trHeight w:val="240"/>
          <w:jc w:val="center"/>
        </w:trPr>
        <w:tc>
          <w:tcPr>
            <w:tcW w:w="9752" w:type="dxa"/>
            <w:gridSpan w:val="2"/>
          </w:tcPr>
          <w:p w:rsidR="007F5C8D" w:rsidRPr="007D38BF" w:rsidP="00495A96" w14:paraId="395D967A" w14:textId="77777777"/>
        </w:tc>
      </w:tr>
      <w:tr w14:paraId="5971A1F7" w14:textId="77777777" w:rsidTr="00495A96">
        <w:tblPrEx>
          <w:tblW w:w="0" w:type="auto"/>
          <w:jc w:val="center"/>
          <w:tblLayout w:type="fixed"/>
          <w:tblLook w:val="04A0"/>
        </w:tblPrEx>
        <w:trPr>
          <w:trHeight w:val="240"/>
          <w:jc w:val="center"/>
        </w:trPr>
        <w:tc>
          <w:tcPr>
            <w:tcW w:w="4876" w:type="dxa"/>
            <w:hideMark/>
          </w:tcPr>
          <w:p w:rsidR="007F5C8D" w:rsidRPr="007D38BF" w:rsidP="00495A96" w14:paraId="2084981F" w14:textId="77777777">
            <w:pPr>
              <w:pStyle w:val="AmColumnHeading"/>
            </w:pPr>
            <w:r w:rsidRPr="007D38BF">
              <w:t>Besedilo, ki ga predlaga Komisija</w:t>
            </w:r>
          </w:p>
        </w:tc>
        <w:tc>
          <w:tcPr>
            <w:tcW w:w="4876" w:type="dxa"/>
            <w:hideMark/>
          </w:tcPr>
          <w:p w:rsidR="007F5C8D" w:rsidRPr="007D38BF" w:rsidP="00495A96" w14:paraId="19CC9B61" w14:textId="51B1D230">
            <w:pPr>
              <w:pStyle w:val="AmColumnHeading"/>
            </w:pPr>
            <w:r w:rsidRPr="007D38BF">
              <w:t>Sprememba</w:t>
            </w:r>
          </w:p>
        </w:tc>
      </w:tr>
      <w:tr w14:paraId="59E9FA8B" w14:textId="77777777" w:rsidTr="00495A96">
        <w:tblPrEx>
          <w:tblW w:w="0" w:type="auto"/>
          <w:jc w:val="center"/>
          <w:tblLayout w:type="fixed"/>
          <w:tblLook w:val="04A0"/>
        </w:tblPrEx>
        <w:trPr>
          <w:jc w:val="center"/>
        </w:trPr>
        <w:tc>
          <w:tcPr>
            <w:tcW w:w="4876" w:type="dxa"/>
          </w:tcPr>
          <w:p w:rsidR="007F5C8D" w:rsidRPr="007D38BF" w:rsidP="00495A96" w14:paraId="775F76BD" w14:textId="77777777">
            <w:pPr>
              <w:pStyle w:val="Normal6a"/>
            </w:pPr>
          </w:p>
        </w:tc>
        <w:tc>
          <w:tcPr>
            <w:tcW w:w="4876" w:type="dxa"/>
            <w:hideMark/>
          </w:tcPr>
          <w:p w:rsidR="007F5C8D" w:rsidRPr="007D38BF" w:rsidP="00495A96" w14:paraId="245B3416" w14:textId="39184B60">
            <w:pPr>
              <w:pStyle w:val="Normal6a"/>
            </w:pPr>
            <w:r w:rsidRPr="007D38BF">
              <w:rPr>
                <w:b/>
                <w:i/>
              </w:rPr>
              <w:t>(8b)</w:t>
            </w:r>
            <w:r w:rsidRPr="007D38BF">
              <w:tab/>
            </w:r>
            <w:r w:rsidRPr="007D38BF" w:rsidR="00561190">
              <w:rPr>
                <w:b/>
                <w:bCs/>
                <w:i/>
                <w:iCs/>
              </w:rPr>
              <w:t>U</w:t>
            </w:r>
            <w:r w:rsidRPr="007D38BF">
              <w:rPr>
                <w:b/>
                <w:i/>
              </w:rPr>
              <w:t>činkovitost mehanizma za posredovanje podatkov na lastno pobudo iz te uredbe je odvisna od ustreznega usklajevanja na nacionalni ravni med pristojnimi carinskimi organi in pristojnimi organi za DDV v državah članicah. Ti organi so v veliko državah članicah ločeni upravni subjekti z ločenimi nadzornimi verigami in informacijskimi sistemi. Države članice bi zato morale poskrbeti, da bodo njihovi pristojni carinski organi in organi, pristojni za DDV, vzpostavili redne mehanizme za usklajevanje, tudi prek okvira Eurofisc, da bi lažje ugotovili odstopanja, ki kažejo na goljufije na področju DDV, ter ustrezne carinske podatke pravočasno posredovali Eurofiscu, EJT in uradu OLAF. To usklajevanje je postopkovni in organizacijski ukrep, ki nacionalnim organom ne nalaga dodatnih obveznosti v zvezi z informacijsko tehnologijo.</w:t>
            </w:r>
          </w:p>
        </w:tc>
      </w:tr>
    </w:tbl>
    <w:p w:rsidR="007F5C8D" w:rsidRPr="007D38BF" w:rsidP="007F5C8D" w14:paraId="003D9C70" w14:textId="048CC346">
      <w:pPr>
        <w:pStyle w:val="AMNumberTabs0"/>
        <w:keepNext/>
      </w:pPr>
      <w:r w:rsidRPr="007D38BF">
        <w:t>Sprememba</w:t>
      </w:r>
      <w:r w:rsidRPr="007D38BF">
        <w:tab/>
      </w:r>
      <w:r w:rsidRPr="007D38BF">
        <w:tab/>
        <w:t>11</w:t>
      </w:r>
    </w:p>
    <w:p w:rsidR="007F5C8D" w:rsidRPr="007D38BF" w:rsidP="007F5C8D" w14:paraId="56A7246A" w14:textId="77777777">
      <w:pPr>
        <w:pStyle w:val="NormalBold12b"/>
        <w:keepNext/>
      </w:pPr>
      <w:r w:rsidRPr="007D38BF">
        <w:t>Predlog uredbe</w:t>
      </w:r>
    </w:p>
    <w:p w:rsidR="007F5C8D" w:rsidRPr="007D38BF" w:rsidP="007F5C8D" w14:paraId="652CEB65" w14:textId="77777777">
      <w:pPr>
        <w:pStyle w:val="NormalBold"/>
      </w:pPr>
      <w:r w:rsidRPr="007D38BF">
        <w:t>Uvodna izjava 9</w:t>
      </w:r>
    </w:p>
    <w:tbl>
      <w:tblPr>
        <w:tblW w:w="9752" w:type="dxa"/>
        <w:jc w:val="center"/>
        <w:tblLayout w:type="fixed"/>
        <w:tblCellMar>
          <w:left w:w="340" w:type="dxa"/>
          <w:right w:w="340" w:type="dxa"/>
        </w:tblCellMar>
        <w:tblLook w:val="0000"/>
      </w:tblPr>
      <w:tblGrid>
        <w:gridCol w:w="4876"/>
        <w:gridCol w:w="4876"/>
      </w:tblGrid>
      <w:tr w14:paraId="0EB01174" w14:textId="77777777" w:rsidTr="00495A96">
        <w:tblPrEx>
          <w:tblW w:w="9752" w:type="dxa"/>
          <w:jc w:val="center"/>
          <w:tblLayout w:type="fixed"/>
          <w:tblLook w:val="0000"/>
        </w:tblPrEx>
        <w:trPr>
          <w:jc w:val="center"/>
        </w:trPr>
        <w:tc>
          <w:tcPr>
            <w:tcW w:w="9752" w:type="dxa"/>
            <w:gridSpan w:val="2"/>
          </w:tcPr>
          <w:p w:rsidR="007F5C8D" w:rsidRPr="007D38BF" w:rsidP="00495A96" w14:paraId="074F77B5" w14:textId="77777777">
            <w:pPr>
              <w:keepNext/>
            </w:pPr>
          </w:p>
        </w:tc>
      </w:tr>
      <w:tr w14:paraId="372E1379" w14:textId="77777777" w:rsidTr="00495A96">
        <w:tblPrEx>
          <w:tblW w:w="9752" w:type="dxa"/>
          <w:jc w:val="center"/>
          <w:tblLayout w:type="fixed"/>
          <w:tblLook w:val="0000"/>
        </w:tblPrEx>
        <w:trPr>
          <w:jc w:val="center"/>
        </w:trPr>
        <w:tc>
          <w:tcPr>
            <w:tcW w:w="4876" w:type="dxa"/>
          </w:tcPr>
          <w:p w:rsidR="007F5C8D" w:rsidRPr="007D38BF" w:rsidP="00495A96" w14:paraId="139A598C" w14:textId="77777777">
            <w:pPr>
              <w:pStyle w:val="ColumnHeading"/>
              <w:keepNext/>
            </w:pPr>
            <w:r w:rsidRPr="007D38BF">
              <w:t>Besedilo, ki ga predlaga Komisija</w:t>
            </w:r>
          </w:p>
        </w:tc>
        <w:tc>
          <w:tcPr>
            <w:tcW w:w="4876" w:type="dxa"/>
          </w:tcPr>
          <w:p w:rsidR="007F5C8D" w:rsidRPr="007D38BF" w:rsidP="00495A96" w14:paraId="236A1180" w14:textId="5D0D59E9">
            <w:pPr>
              <w:pStyle w:val="ColumnHeading"/>
              <w:keepNext/>
            </w:pPr>
            <w:r w:rsidRPr="007D38BF">
              <w:t>Sprememba</w:t>
            </w:r>
          </w:p>
        </w:tc>
      </w:tr>
      <w:tr w14:paraId="3BB7A2B9" w14:textId="77777777" w:rsidTr="00495A96">
        <w:tblPrEx>
          <w:tblW w:w="9752" w:type="dxa"/>
          <w:jc w:val="center"/>
          <w:tblLayout w:type="fixed"/>
          <w:tblLook w:val="0000"/>
        </w:tblPrEx>
        <w:trPr>
          <w:jc w:val="center"/>
        </w:trPr>
        <w:tc>
          <w:tcPr>
            <w:tcW w:w="4876" w:type="dxa"/>
          </w:tcPr>
          <w:p w:rsidR="007F5C8D" w:rsidRPr="007D38BF" w:rsidP="00495A96" w14:paraId="7DADD6BB" w14:textId="77777777">
            <w:pPr>
              <w:pStyle w:val="Normal6"/>
            </w:pPr>
            <w:r w:rsidRPr="007D38BF">
              <w:t>(9)</w:t>
            </w:r>
            <w:r w:rsidRPr="007D38BF">
              <w:tab/>
              <w:t>Da se zaščiti dostop do osebnih podatkov, bi morali do informacij o DDV za opravljanje svojih nalog pod nadzorom uradnikov za zvezo Eurofisca dostopati le evropski tožilci, evropski delegirani tožilci ter izbrano osebje EJT in urada OLAF, ki sta ga prehodno pooblastila EJT oziroma urad OLAF. Za zagotovitev enotnih pogojev za ta dostop bi bilo treba na Komisijo prenesti izvedbena pooblastila v zvezi s tehničnimi podrobnostmi in praktičnimi postopki, vključno z mehanizmom za nadzor dostopa ter uporabniškim profilom in identifikacijo. Ta pooblastila bi bilo treba izvajati v skladu z Uredbo (EU) št. 182/2011 Evropskega parlamenta in Sveta</w:t>
            </w:r>
            <w:r w:rsidRPr="007D38BF">
              <w:rPr>
                <w:vertAlign w:val="superscript"/>
              </w:rPr>
              <w:t>9</w:t>
            </w:r>
            <w:r w:rsidRPr="007D38BF">
              <w:t xml:space="preserve"> .</w:t>
            </w:r>
          </w:p>
        </w:tc>
        <w:tc>
          <w:tcPr>
            <w:tcW w:w="4876" w:type="dxa"/>
          </w:tcPr>
          <w:p w:rsidR="007F5C8D" w:rsidRPr="007D38BF" w:rsidP="00495A96" w14:paraId="1113B29B" w14:textId="339B58DE">
            <w:pPr>
              <w:pStyle w:val="Normal6"/>
              <w:rPr>
                <w:szCs w:val="24"/>
              </w:rPr>
            </w:pPr>
            <w:r w:rsidRPr="007D38BF">
              <w:t>(9)</w:t>
            </w:r>
            <w:r w:rsidRPr="007D38BF">
              <w:tab/>
              <w:t xml:space="preserve">Da se zaščiti dostop do osebnih podatkov, bi morali do informacij o DDV za opravljanje svojih nalog pod nadzorom uradnikov za zvezo Eurofisca dostopati le evropski tožilci, evropski delegirani tožilci ter izbrano osebje EJT in urada OLAF, ki sta ga prehodno pooblastila EJT oziroma urad OLAF. Za zagotovitev enotnih pogojev za ta dostop bi bilo treba na Komisijo prenesti izvedbena pooblastila v zvezi s tehničnimi podrobnostmi in praktičnimi postopki, vključno z mehanizmom za nadzor dostopa ter uporabniškim profilom in identifikacijo </w:t>
            </w:r>
            <w:r w:rsidRPr="007D38BF">
              <w:rPr>
                <w:b/>
                <w:bCs/>
                <w:i/>
                <w:iCs/>
              </w:rPr>
              <w:t>ter zagotoviti zasnovo, ki spoštuje visoko raven varstva podatkov, hkrati pa povečuje operativno učinkovitost z avtomatičnimi procesi brez nepotrebnega upravnega odlašanja</w:t>
            </w:r>
            <w:r w:rsidRPr="007D38BF">
              <w:t xml:space="preserve">. Ta pooblastila bi </w:t>
            </w:r>
            <w:r w:rsidRPr="007D38BF">
              <w:t>bilo treba izvajati v skladu z Uredbo (EU) št. 182/2011 Evropskega parlamenta in Sveta</w:t>
            </w:r>
            <w:r w:rsidRPr="007D38BF">
              <w:rPr>
                <w:vertAlign w:val="superscript"/>
              </w:rPr>
              <w:t>9</w:t>
            </w:r>
            <w:r w:rsidRPr="007D38BF">
              <w:t xml:space="preserve">. </w:t>
            </w:r>
            <w:r w:rsidRPr="007D38BF">
              <w:rPr>
                <w:b/>
                <w:bCs/>
                <w:i/>
                <w:iCs/>
              </w:rPr>
              <w:t>Ta ukrep bi bilo treba razumeti kot takojšen korak, medtem ko bo prihodnji pregled arhitekture za boj proti goljufijam priložnost za zagotovitev večje skladnosti in doslednosti.</w:t>
            </w:r>
          </w:p>
        </w:tc>
      </w:tr>
      <w:tr w14:paraId="5788F821" w14:textId="77777777" w:rsidTr="00495A96">
        <w:tblPrEx>
          <w:tblW w:w="9752" w:type="dxa"/>
          <w:jc w:val="center"/>
          <w:tblLayout w:type="fixed"/>
          <w:tblLook w:val="0000"/>
        </w:tblPrEx>
        <w:trPr>
          <w:jc w:val="center"/>
        </w:trPr>
        <w:tc>
          <w:tcPr>
            <w:tcW w:w="4876" w:type="dxa"/>
          </w:tcPr>
          <w:p w:rsidR="007F5C8D" w:rsidRPr="007D38BF" w:rsidP="00495A96" w14:paraId="0EEA78D0" w14:textId="77777777">
            <w:pPr>
              <w:pStyle w:val="Normal6"/>
              <w:rPr>
                <w:b/>
                <w:bCs/>
                <w:i/>
                <w:iCs/>
              </w:rPr>
            </w:pPr>
            <w:r w:rsidRPr="007D38BF">
              <w:t>__________________</w:t>
            </w:r>
          </w:p>
        </w:tc>
        <w:tc>
          <w:tcPr>
            <w:tcW w:w="4876" w:type="dxa"/>
          </w:tcPr>
          <w:p w:rsidR="007F5C8D" w:rsidRPr="007D38BF" w:rsidP="00495A96" w14:paraId="542982BA" w14:textId="77777777">
            <w:pPr>
              <w:pStyle w:val="Normal6"/>
              <w:rPr>
                <w:b/>
                <w:bCs/>
                <w:i/>
                <w:iCs/>
              </w:rPr>
            </w:pPr>
            <w:r w:rsidRPr="007D38BF">
              <w:t>__________________</w:t>
            </w:r>
          </w:p>
        </w:tc>
      </w:tr>
      <w:tr w14:paraId="6556C16C" w14:textId="77777777" w:rsidTr="00495A96">
        <w:tblPrEx>
          <w:tblW w:w="9752" w:type="dxa"/>
          <w:jc w:val="center"/>
          <w:tblLayout w:type="fixed"/>
          <w:tblLook w:val="0000"/>
        </w:tblPrEx>
        <w:trPr>
          <w:jc w:val="center"/>
        </w:trPr>
        <w:tc>
          <w:tcPr>
            <w:tcW w:w="4876" w:type="dxa"/>
          </w:tcPr>
          <w:p w:rsidR="007F5C8D" w:rsidRPr="007D38BF" w:rsidP="00495A96" w14:paraId="3CA3ECAB" w14:textId="77777777">
            <w:pPr>
              <w:pStyle w:val="Normal6"/>
              <w:rPr>
                <w:b/>
                <w:bCs/>
                <w:i/>
                <w:iCs/>
              </w:rPr>
            </w:pPr>
            <w:r w:rsidRPr="007D38BF">
              <w:rPr>
                <w:vertAlign w:val="superscript"/>
              </w:rPr>
              <w:t>9</w:t>
            </w:r>
            <w:r w:rsidRPr="007D38BF">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c>
          <w:tcPr>
            <w:tcW w:w="4876" w:type="dxa"/>
          </w:tcPr>
          <w:p w:rsidR="007F5C8D" w:rsidRPr="007D38BF" w:rsidP="00495A96" w14:paraId="77BB3E6D" w14:textId="77777777">
            <w:pPr>
              <w:pStyle w:val="Normal6"/>
              <w:rPr>
                <w:b/>
                <w:bCs/>
                <w:i/>
                <w:iCs/>
              </w:rPr>
            </w:pPr>
            <w:r w:rsidRPr="007D38BF">
              <w:rPr>
                <w:vertAlign w:val="superscript"/>
              </w:rPr>
              <w:t>9</w:t>
            </w:r>
            <w:r w:rsidRPr="007D38BF">
              <w:t xml:space="preserve"> Uredba (EU) št. 182/2011 Evropskega parlamenta in Sveta z dne 16. februarja 2011 o določitvi splošnih pravil in načel, na podlagi katerih države članice nadzirajo izvajanje izvedbenih pooblastil Komisije (UL L 55, 28.2.2011, str. 13, ELI: http://data.europa.eu/eli/reg/2011/182/oj</w:t>
            </w:r>
          </w:p>
        </w:tc>
      </w:tr>
    </w:tbl>
    <w:p w:rsidR="007F5C8D" w:rsidRPr="007D38BF" w:rsidP="007F5C8D" w14:paraId="4C4746BE" w14:textId="77777777"/>
    <w:p w:rsidR="007F5C8D" w:rsidRPr="007D38BF" w:rsidP="007F5C8D" w14:paraId="6571C030" w14:textId="67E62BFF">
      <w:pPr>
        <w:pStyle w:val="AmNumberTabs"/>
      </w:pPr>
      <w:r w:rsidRPr="007D38BF">
        <w:t>Sprememba</w:t>
      </w:r>
      <w:r w:rsidRPr="007D38BF">
        <w:tab/>
      </w:r>
      <w:r w:rsidRPr="007D38BF">
        <w:tab/>
        <w:t>12</w:t>
      </w:r>
    </w:p>
    <w:p w:rsidR="007F5C8D" w:rsidRPr="007D38BF" w:rsidP="007F5C8D" w14:paraId="57E6D11F" w14:textId="77777777">
      <w:pPr>
        <w:pStyle w:val="NormalBold12b"/>
      </w:pPr>
      <w:r w:rsidRPr="007D38BF">
        <w:t>Predlog uredbe</w:t>
      </w:r>
    </w:p>
    <w:p w:rsidR="007F5C8D" w:rsidRPr="007D38BF" w:rsidP="007F5C8D" w14:paraId="4CF16A60" w14:textId="77777777">
      <w:pPr>
        <w:pStyle w:val="NormalBold"/>
      </w:pPr>
      <w:r w:rsidRPr="007D38BF">
        <w:t>Uvodna izjava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41BCE"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648AD617" w14:textId="77777777"/>
        </w:tc>
      </w:tr>
      <w:tr w14:paraId="76BC1E39"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78EB7371"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7BB8AC6F" w14:textId="298535D8">
            <w:pPr>
              <w:pStyle w:val="AmColumnHeading"/>
            </w:pPr>
            <w:r w:rsidRPr="007D38BF">
              <w:t>Sprememba</w:t>
            </w:r>
          </w:p>
        </w:tc>
      </w:tr>
      <w:tr w14:paraId="7E10552F"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29E0734F" w14:textId="77777777">
            <w:pPr>
              <w:pStyle w:val="Normal6a"/>
            </w:pPr>
            <w:r w:rsidRPr="007D38BF">
              <w:t>(10)</w:t>
            </w:r>
            <w:r w:rsidRPr="007D38BF">
              <w:tab/>
              <w:t>Ta uredba spoštuje temeljne pravice in upošteva načela iz Listine Evropske unije o temeljnih pravicah, zlasti pravico do varstva osebnih podatkov.</w:t>
            </w:r>
          </w:p>
        </w:tc>
        <w:tc>
          <w:tcPr>
            <w:tcW w:w="4876" w:type="dxa"/>
            <w:tcBorders>
              <w:top w:val="nil"/>
              <w:left w:val="nil"/>
              <w:bottom w:val="nil"/>
              <w:right w:val="nil"/>
            </w:tcBorders>
          </w:tcPr>
          <w:p w:rsidR="007F5C8D" w:rsidRPr="007D38BF" w:rsidP="00495A96" w14:paraId="22B46841" w14:textId="77777777">
            <w:pPr>
              <w:pStyle w:val="Normal6a"/>
            </w:pPr>
            <w:r w:rsidRPr="007D38BF">
              <w:t>(10)</w:t>
            </w:r>
            <w:r w:rsidRPr="007D38BF">
              <w:tab/>
              <w:t>Ta uredba spoštuje temeljne pravice in upošteva načela iz Listine Evropske unije o temeljnih pravicah, zlasti pravico do varstva osebnih podatkov.</w:t>
            </w:r>
          </w:p>
        </w:tc>
      </w:tr>
    </w:tbl>
    <w:p w:rsidR="007F5C8D" w:rsidRPr="007D38BF" w:rsidP="007F5C8D" w14:paraId="53A0E887" w14:textId="77777777"/>
    <w:p w:rsidR="007F5C8D" w:rsidRPr="007D38BF" w:rsidP="007F5C8D" w14:paraId="5F057801" w14:textId="2C2C0D48">
      <w:pPr>
        <w:pStyle w:val="AMNumberTabs0"/>
        <w:keepNext/>
      </w:pPr>
      <w:r w:rsidRPr="007D38BF">
        <w:t>Sprememba</w:t>
      </w:r>
      <w:r w:rsidRPr="007D38BF">
        <w:tab/>
      </w:r>
      <w:r w:rsidRPr="007D38BF">
        <w:tab/>
        <w:t>13</w:t>
      </w:r>
    </w:p>
    <w:p w:rsidR="007F5C8D" w:rsidRPr="007D38BF" w:rsidP="007F5C8D" w14:paraId="6FD9ACF4" w14:textId="77777777">
      <w:pPr>
        <w:pStyle w:val="NormalBold12b"/>
        <w:keepNext/>
      </w:pPr>
      <w:r w:rsidRPr="007D38BF">
        <w:t>Predlog uredbe</w:t>
      </w:r>
    </w:p>
    <w:p w:rsidR="007F5C8D" w:rsidRPr="007D38BF" w:rsidP="007F5C8D" w14:paraId="0CCD10BE" w14:textId="77777777">
      <w:pPr>
        <w:pStyle w:val="NormalBold"/>
      </w:pPr>
      <w:r w:rsidRPr="007D38BF">
        <w:t>Uvodna izjava 10 a (novo)</w:t>
      </w:r>
    </w:p>
    <w:tbl>
      <w:tblPr>
        <w:tblW w:w="0" w:type="auto"/>
        <w:jc w:val="center"/>
        <w:tblLayout w:type="fixed"/>
        <w:tblCellMar>
          <w:left w:w="340" w:type="dxa"/>
          <w:right w:w="340" w:type="dxa"/>
        </w:tblCellMar>
        <w:tblLook w:val="0000"/>
      </w:tblPr>
      <w:tblGrid>
        <w:gridCol w:w="4876"/>
        <w:gridCol w:w="4876"/>
      </w:tblGrid>
      <w:tr w14:paraId="78C77CA6" w14:textId="77777777" w:rsidTr="00495A96">
        <w:tblPrEx>
          <w:tblW w:w="0" w:type="auto"/>
          <w:jc w:val="center"/>
          <w:tblLayout w:type="fixed"/>
          <w:tblLook w:val="0000"/>
        </w:tblPrEx>
        <w:trPr>
          <w:jc w:val="center"/>
        </w:trPr>
        <w:tc>
          <w:tcPr>
            <w:tcW w:w="9752" w:type="dxa"/>
            <w:gridSpan w:val="2"/>
          </w:tcPr>
          <w:p w:rsidR="007F5C8D" w:rsidRPr="007D38BF" w:rsidP="00495A96" w14:paraId="3208057E" w14:textId="77777777">
            <w:pPr>
              <w:keepNext/>
            </w:pPr>
          </w:p>
        </w:tc>
      </w:tr>
      <w:tr w14:paraId="1AD8C75A" w14:textId="77777777" w:rsidTr="00495A96">
        <w:tblPrEx>
          <w:tblW w:w="0" w:type="auto"/>
          <w:jc w:val="center"/>
          <w:tblLayout w:type="fixed"/>
          <w:tblLook w:val="0000"/>
        </w:tblPrEx>
        <w:trPr>
          <w:jc w:val="center"/>
        </w:trPr>
        <w:tc>
          <w:tcPr>
            <w:tcW w:w="4876" w:type="dxa"/>
          </w:tcPr>
          <w:p w:rsidR="007F5C8D" w:rsidRPr="007D38BF" w:rsidP="00495A96" w14:paraId="1805F042" w14:textId="77777777">
            <w:pPr>
              <w:pStyle w:val="ColumnHeading"/>
              <w:keepNext/>
            </w:pPr>
            <w:r w:rsidRPr="007D38BF">
              <w:t>Besedilo, ki ga predlaga Komisija</w:t>
            </w:r>
          </w:p>
        </w:tc>
        <w:tc>
          <w:tcPr>
            <w:tcW w:w="4876" w:type="dxa"/>
          </w:tcPr>
          <w:p w:rsidR="007F5C8D" w:rsidRPr="007D38BF" w:rsidP="00495A96" w14:paraId="36DEC282" w14:textId="5795A913">
            <w:pPr>
              <w:pStyle w:val="ColumnHeading"/>
              <w:keepNext/>
            </w:pPr>
            <w:r w:rsidRPr="007D38BF">
              <w:t>Sprememba</w:t>
            </w:r>
          </w:p>
        </w:tc>
      </w:tr>
      <w:tr w14:paraId="617D4A0C" w14:textId="77777777" w:rsidTr="00495A96">
        <w:tblPrEx>
          <w:tblW w:w="0" w:type="auto"/>
          <w:jc w:val="center"/>
          <w:tblLayout w:type="fixed"/>
          <w:tblLook w:val="0000"/>
        </w:tblPrEx>
        <w:trPr>
          <w:jc w:val="center"/>
        </w:trPr>
        <w:tc>
          <w:tcPr>
            <w:tcW w:w="4876" w:type="dxa"/>
          </w:tcPr>
          <w:p w:rsidR="007F5C8D" w:rsidRPr="007D38BF" w:rsidP="00495A96" w14:paraId="09647E2C" w14:textId="77777777">
            <w:pPr>
              <w:pStyle w:val="Normal6"/>
            </w:pPr>
          </w:p>
        </w:tc>
        <w:tc>
          <w:tcPr>
            <w:tcW w:w="4876" w:type="dxa"/>
          </w:tcPr>
          <w:p w:rsidR="007F5C8D" w:rsidRPr="007D38BF" w:rsidP="00495A96" w14:paraId="6F49137B" w14:textId="40FCE129">
            <w:pPr>
              <w:pStyle w:val="Normal6"/>
              <w:rPr>
                <w:szCs w:val="24"/>
              </w:rPr>
            </w:pPr>
            <w:r w:rsidRPr="007D38BF">
              <w:rPr>
                <w:b/>
                <w:i/>
              </w:rPr>
              <w:t>(10a)</w:t>
            </w:r>
            <w:r w:rsidRPr="007D38BF">
              <w:rPr>
                <w:b/>
                <w:i/>
              </w:rPr>
              <w:tab/>
              <w:t xml:space="preserve">Dostop EJT in urada OLAF do sistema VIES, sistema nadzora in osrednjega elektronskega sistema informacij o plačilih (CESOP) ter vseh drugih sistemov in podatkovnih zbirk bi moral zadevati naslednje glavne kategorije podatkov: informacije o identifikacijskih številkah za DDV in transakcijah z DDV znotraj Skupnosti, relevantne informacije o uvozu, oproščenem DDV, v zvezi z uvozno ureditvijo „vse na enem mestu“ (ureditev </w:t>
            </w:r>
            <w:r w:rsidRPr="007D38BF">
              <w:rPr>
                <w:b/>
                <w:i/>
              </w:rPr>
              <w:t xml:space="preserve">UVEM) in carinskim postopkom 42/63 ter informacije o zbirnih plačilih. Ta dostop bi bilo treba EJT in uradu OLAF odobriti le za namene opravljanja njunih nalog iz člena 4 Uredbe (EU) 2017/1939 in člena 1(1) Uredbe (EU, Euratom) št. 883/2013. Na Komisijo bi bilo treba prenesti pooblastila </w:t>
            </w:r>
            <w:r w:rsidRPr="007D38BF" w:rsidR="00561190">
              <w:rPr>
                <w:b/>
                <w:i/>
              </w:rPr>
              <w:t xml:space="preserve">za </w:t>
            </w:r>
            <w:r w:rsidRPr="007D38BF">
              <w:rPr>
                <w:b/>
                <w:i/>
              </w:rPr>
              <w:t>sprejetje izvedbenih aktov, s katerimi bi določila točne kategorije podatkov, ki so lahko EJT in uradu OLAF na voljo za namene izvajanja njunih nalog iz navedenih členov. Osnutki teh izvedbenih aktov bi se morali predložiti Evropskemu parlamentu v vednost, da lahko izvršuje svoje pravice.</w:t>
            </w:r>
          </w:p>
        </w:tc>
      </w:tr>
    </w:tbl>
    <w:p w:rsidR="007F5C8D" w:rsidRPr="007D38BF" w:rsidP="007F5C8D" w14:paraId="1E8E8BA6" w14:textId="77777777"/>
    <w:p w:rsidR="007F5C8D" w:rsidRPr="007D38BF" w:rsidP="007F5C8D" w14:paraId="5D901840" w14:textId="1C8171DB">
      <w:pPr>
        <w:pStyle w:val="AMNumberTabs0"/>
        <w:keepNext/>
      </w:pPr>
      <w:r w:rsidRPr="007D38BF">
        <w:t>Sprememba</w:t>
      </w:r>
      <w:r w:rsidRPr="007D38BF">
        <w:tab/>
      </w:r>
      <w:r w:rsidRPr="007D38BF">
        <w:tab/>
        <w:t>14</w:t>
      </w:r>
    </w:p>
    <w:p w:rsidR="007F5C8D" w:rsidRPr="007D38BF" w:rsidP="007F5C8D" w14:paraId="7BFF2AE2" w14:textId="77777777">
      <w:pPr>
        <w:pStyle w:val="NormalBold12b"/>
        <w:keepNext/>
      </w:pPr>
      <w:r w:rsidRPr="007D38BF">
        <w:t>Predlog uredbe</w:t>
      </w:r>
    </w:p>
    <w:p w:rsidR="007F5C8D" w:rsidRPr="007D38BF" w:rsidP="007F5C8D" w14:paraId="071D25ED" w14:textId="77777777">
      <w:pPr>
        <w:pStyle w:val="NormalBold"/>
      </w:pPr>
      <w:r w:rsidRPr="007D38BF">
        <w:t>Uvodna izjava 11</w:t>
      </w:r>
    </w:p>
    <w:tbl>
      <w:tblPr>
        <w:tblW w:w="0" w:type="auto"/>
        <w:jc w:val="center"/>
        <w:tblLayout w:type="fixed"/>
        <w:tblCellMar>
          <w:left w:w="340" w:type="dxa"/>
          <w:right w:w="340" w:type="dxa"/>
        </w:tblCellMar>
        <w:tblLook w:val="0000"/>
      </w:tblPr>
      <w:tblGrid>
        <w:gridCol w:w="4876"/>
        <w:gridCol w:w="4876"/>
      </w:tblGrid>
      <w:tr w14:paraId="5B6545A8" w14:textId="77777777" w:rsidTr="00495A96">
        <w:tblPrEx>
          <w:tblW w:w="0" w:type="auto"/>
          <w:jc w:val="center"/>
          <w:tblLayout w:type="fixed"/>
          <w:tblLook w:val="0000"/>
        </w:tblPrEx>
        <w:trPr>
          <w:jc w:val="center"/>
        </w:trPr>
        <w:tc>
          <w:tcPr>
            <w:tcW w:w="9752" w:type="dxa"/>
            <w:gridSpan w:val="2"/>
          </w:tcPr>
          <w:p w:rsidR="007F5C8D" w:rsidRPr="007D38BF" w:rsidP="00495A96" w14:paraId="0444B876" w14:textId="77777777">
            <w:pPr>
              <w:keepNext/>
            </w:pPr>
          </w:p>
        </w:tc>
      </w:tr>
      <w:tr w14:paraId="5D476DEF" w14:textId="77777777" w:rsidTr="00495A96">
        <w:tblPrEx>
          <w:tblW w:w="0" w:type="auto"/>
          <w:jc w:val="center"/>
          <w:tblLayout w:type="fixed"/>
          <w:tblLook w:val="0000"/>
        </w:tblPrEx>
        <w:trPr>
          <w:jc w:val="center"/>
        </w:trPr>
        <w:tc>
          <w:tcPr>
            <w:tcW w:w="4876" w:type="dxa"/>
          </w:tcPr>
          <w:p w:rsidR="007F5C8D" w:rsidRPr="007D38BF" w:rsidP="00495A96" w14:paraId="572E201C" w14:textId="77777777">
            <w:pPr>
              <w:pStyle w:val="ColumnHeading"/>
              <w:keepNext/>
            </w:pPr>
            <w:r w:rsidRPr="007D38BF">
              <w:t>Besedilo, ki ga predlaga Komisija</w:t>
            </w:r>
          </w:p>
        </w:tc>
        <w:tc>
          <w:tcPr>
            <w:tcW w:w="4876" w:type="dxa"/>
          </w:tcPr>
          <w:p w:rsidR="007F5C8D" w:rsidRPr="007D38BF" w:rsidP="00495A96" w14:paraId="1F92C976" w14:textId="7DE2AF3F">
            <w:pPr>
              <w:pStyle w:val="ColumnHeading"/>
              <w:keepNext/>
            </w:pPr>
            <w:r w:rsidRPr="007D38BF">
              <w:t>Sprememba</w:t>
            </w:r>
          </w:p>
        </w:tc>
      </w:tr>
      <w:tr w14:paraId="61129229" w14:textId="77777777" w:rsidTr="00495A96">
        <w:tblPrEx>
          <w:tblW w:w="0" w:type="auto"/>
          <w:jc w:val="center"/>
          <w:tblLayout w:type="fixed"/>
          <w:tblLook w:val="0000"/>
        </w:tblPrEx>
        <w:trPr>
          <w:jc w:val="center"/>
        </w:trPr>
        <w:tc>
          <w:tcPr>
            <w:tcW w:w="4876" w:type="dxa"/>
          </w:tcPr>
          <w:p w:rsidR="007F5C8D" w:rsidRPr="007D38BF" w:rsidP="00495A96" w14:paraId="18516143" w14:textId="77777777">
            <w:pPr>
              <w:pStyle w:val="Normal6"/>
            </w:pPr>
            <w:r w:rsidRPr="007D38BF">
              <w:t>(11)</w:t>
            </w:r>
            <w:r w:rsidRPr="007D38BF">
              <w:tab/>
              <w:t xml:space="preserve">Ker je treba sisteme, infrastrukturo in tehnična sredstva za lažjo izmenjavo informacij o DDV na ravni Unije prilagoditi, da se omogoči varen dostop EJT in urada OLAF, je treba odložiti uporabo ustreznih določb, da se državam članicam, Komisiji, EJT in uradu OLAF omogoči, da izvedejo potrebne prilagoditve. Pri tem bi bilo treba upoštevati datume, ko bo centralni sistem VIES začel delovati, obstoječi sistem VIES pa bo postopoma opuščen. EJT in urad OLAF bi morala </w:t>
            </w:r>
            <w:r w:rsidRPr="007D38BF">
              <w:rPr>
                <w:b/>
                <w:bCs/>
                <w:i/>
                <w:iCs/>
              </w:rPr>
              <w:t>biti odgovorna za stroške vzpostavitve in vzdrževanja ustrezne infrastrukture in tehničnih sredstev za varen dostop do informacij o DDV</w:t>
            </w:r>
            <w:r w:rsidRPr="007D38BF">
              <w:t>.</w:t>
            </w:r>
          </w:p>
        </w:tc>
        <w:tc>
          <w:tcPr>
            <w:tcW w:w="4876" w:type="dxa"/>
          </w:tcPr>
          <w:p w:rsidR="007F5C8D" w:rsidRPr="007D38BF" w:rsidP="00495A96" w14:paraId="050D0F5A" w14:textId="77777777">
            <w:pPr>
              <w:pStyle w:val="Normal6"/>
              <w:rPr>
                <w:szCs w:val="24"/>
              </w:rPr>
            </w:pPr>
            <w:r w:rsidRPr="007D38BF">
              <w:t>(11)</w:t>
            </w:r>
            <w:r w:rsidRPr="007D38BF">
              <w:tab/>
              <w:t xml:space="preserve">Ker je treba sisteme, infrastrukturo in tehnična sredstva za lažjo izmenjavo informacij o DDV na ravni Unije prilagoditi, da se omogoči varen dostop EJT in urada OLAF, je treba odložiti uporabo ustreznih določb, da se državam članicam, Komisiji, EJT in uradu OLAF omogoči, da izvedejo potrebne prilagoditve. Pri tem bi bilo treba upoštevati datume, ko bo centralni sistem VIES začel delovati, obstoječi sistem VIES pa bo postopoma opuščen. </w:t>
            </w:r>
            <w:r w:rsidRPr="007D38BF">
              <w:rPr>
                <w:b/>
                <w:bCs/>
                <w:i/>
                <w:iCs/>
              </w:rPr>
              <w:t xml:space="preserve">Za zagotovitev učinkovitega izvajanja te uredbe </w:t>
            </w:r>
            <w:r w:rsidRPr="007D38BF">
              <w:t xml:space="preserve">bi morala imeti EJT in OLAF </w:t>
            </w:r>
            <w:r w:rsidRPr="007D38BF">
              <w:rPr>
                <w:b/>
                <w:bCs/>
                <w:i/>
                <w:iCs/>
              </w:rPr>
              <w:t>v skladu z načeli proračunske nevtralnosti dostop do ustreznih in stabilnih finančnih in človeških virov, vključno s specializiranim strokovnim znanjem na področju finančnih preiskav, digitalne forenzike in analize podatkov, po potrebi pa tudi do ločenega portala ali vmesnika, da se zagotovi skladnost z načelom najmanjšega obsega podatkov</w:t>
            </w:r>
            <w:r w:rsidRPr="007D38BF">
              <w:t>.</w:t>
            </w:r>
            <w:r w:rsidRPr="007D38BF">
              <w:rPr>
                <w:b/>
                <w:i/>
              </w:rPr>
              <w:t xml:space="preserve"> Financiranje Unije bi moralo dodatno podpirati interoperabilne informacijske sisteme in varna komunikacijska orodja, da se omogoči </w:t>
            </w:r>
            <w:r w:rsidRPr="007D38BF">
              <w:rPr>
                <w:b/>
                <w:i/>
              </w:rPr>
              <w:t xml:space="preserve">učinkovito sodelovanje. </w:t>
            </w:r>
            <w:r w:rsidRPr="007D38BF">
              <w:rPr>
                <w:b/>
                <w:bCs/>
                <w:i/>
                <w:iCs/>
              </w:rPr>
              <w:t>Za preprečevanje zlorab bi morali biti vzpostavljeni organizacijski ukrepi, notranji postopki izdaje dovoljenj, nadzorni mehanizmi in zaščitni ukrepi</w:t>
            </w:r>
            <w:r w:rsidRPr="007D38BF">
              <w:t>.</w:t>
            </w:r>
          </w:p>
        </w:tc>
      </w:tr>
    </w:tbl>
    <w:p w:rsidR="007F5C8D" w:rsidRPr="007D38BF" w:rsidP="007F5C8D" w14:paraId="207E1E04" w14:textId="77777777"/>
    <w:p w:rsidR="007F5C8D" w:rsidRPr="007D38BF" w:rsidP="007F5C8D" w14:paraId="2152413E" w14:textId="0BACE6C7">
      <w:pPr>
        <w:pStyle w:val="AmNumberTabs"/>
      </w:pPr>
      <w:r w:rsidRPr="007D38BF">
        <w:t>Sprememba</w:t>
      </w:r>
      <w:r w:rsidRPr="007D38BF">
        <w:tab/>
      </w:r>
      <w:r w:rsidRPr="007D38BF">
        <w:tab/>
        <w:t>15</w:t>
      </w:r>
    </w:p>
    <w:p w:rsidR="007F5C8D" w:rsidRPr="007D38BF" w:rsidP="007F5C8D" w14:paraId="6B9DAD6E" w14:textId="77777777">
      <w:pPr>
        <w:pStyle w:val="NormalBold12b"/>
      </w:pPr>
      <w:r w:rsidRPr="007D38BF">
        <w:t>Predlog uredbe</w:t>
      </w:r>
    </w:p>
    <w:p w:rsidR="007F5C8D" w:rsidRPr="007D38BF" w:rsidP="007F5C8D" w14:paraId="1B1340DC" w14:textId="77777777">
      <w:pPr>
        <w:pStyle w:val="NormalBold"/>
      </w:pPr>
      <w:r w:rsidRPr="007D38BF">
        <w:t>Uvodna izjava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AE547A"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4CAC00FA" w14:textId="77777777"/>
        </w:tc>
      </w:tr>
      <w:tr w14:paraId="091AB11E"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23EBCE79"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285CBF11" w14:textId="32A18CFC">
            <w:pPr>
              <w:pStyle w:val="AmColumnHeading"/>
            </w:pPr>
            <w:r w:rsidRPr="007D38BF">
              <w:t>Sprememba</w:t>
            </w:r>
          </w:p>
        </w:tc>
      </w:tr>
      <w:tr w14:paraId="32F257FF"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60097961" w14:textId="77777777">
            <w:pPr>
              <w:pStyle w:val="Normal6a"/>
            </w:pPr>
            <w:r w:rsidRPr="007D38BF">
              <w:t>(12)</w:t>
            </w:r>
            <w:r w:rsidRPr="007D38BF">
              <w:tab/>
              <w:t xml:space="preserve">V skladu s členom 42(1) Uredbe (EU) 2018/1725 je bilo opravljeno posvetovanje z Evropskim nadzornikom za varstvo podatkov, ki je mnenje podal </w:t>
            </w:r>
            <w:r w:rsidRPr="007D38BF">
              <w:rPr>
                <w:b/>
                <w:bCs/>
                <w:i/>
                <w:iCs/>
              </w:rPr>
              <w:t>[…]</w:t>
            </w:r>
            <w:r w:rsidRPr="007D38BF">
              <w:t>.</w:t>
            </w:r>
          </w:p>
        </w:tc>
        <w:tc>
          <w:tcPr>
            <w:tcW w:w="4876" w:type="dxa"/>
            <w:tcBorders>
              <w:top w:val="nil"/>
              <w:left w:val="nil"/>
              <w:bottom w:val="nil"/>
              <w:right w:val="nil"/>
            </w:tcBorders>
          </w:tcPr>
          <w:p w:rsidR="007F5C8D" w:rsidRPr="007D38BF" w:rsidP="00495A96" w14:paraId="668261E4" w14:textId="77777777">
            <w:pPr>
              <w:pStyle w:val="Normal6a"/>
            </w:pPr>
            <w:r w:rsidRPr="007D38BF">
              <w:t>(12)</w:t>
            </w:r>
            <w:r w:rsidRPr="007D38BF">
              <w:tab/>
              <w:t>V skladu s členom 42(1) Uredbe (EU) 2018/1725 je bilo opravljeno posvetovanje z Evropskim nadzornikom za varstvo podatkov, ki je mnenje podal </w:t>
            </w:r>
            <w:r w:rsidRPr="007D38BF">
              <w:rPr>
                <w:b/>
                <w:bCs/>
                <w:i/>
                <w:iCs/>
              </w:rPr>
              <w:t>7. januarja 2026</w:t>
            </w:r>
            <w:r w:rsidRPr="007D38BF">
              <w:t>.</w:t>
            </w:r>
          </w:p>
        </w:tc>
      </w:tr>
    </w:tbl>
    <w:p w:rsidR="007F5C8D" w:rsidRPr="007D38BF" w:rsidP="007F5C8D" w14:paraId="1626A842" w14:textId="77777777"/>
    <w:p w:rsidR="007F5C8D" w:rsidRPr="007D38BF" w:rsidP="007F5C8D" w14:paraId="64119E8D" w14:textId="7498E655">
      <w:pPr>
        <w:pStyle w:val="AmNumberTabs"/>
      </w:pPr>
      <w:r w:rsidRPr="007D38BF">
        <w:t>Sprememba</w:t>
      </w:r>
      <w:r w:rsidRPr="007D38BF">
        <w:tab/>
      </w:r>
      <w:r w:rsidRPr="007D38BF">
        <w:tab/>
        <w:t>16</w:t>
      </w:r>
    </w:p>
    <w:p w:rsidR="007F5C8D" w:rsidRPr="007D38BF" w:rsidP="007F5C8D" w14:paraId="12FC785E" w14:textId="77777777">
      <w:pPr>
        <w:pStyle w:val="NormalBold12b"/>
      </w:pPr>
      <w:r w:rsidRPr="007D38BF">
        <w:t>Predlog uredbe</w:t>
      </w:r>
    </w:p>
    <w:p w:rsidR="007F5C8D" w:rsidRPr="007D38BF" w:rsidP="007F5C8D" w14:paraId="7AA26C43" w14:textId="77777777">
      <w:pPr>
        <w:pStyle w:val="NormalBold"/>
      </w:pPr>
      <w:r w:rsidRPr="007D38BF">
        <w:t>Člen 1 – odstavek 1 – točka -1 (novo)</w:t>
      </w:r>
    </w:p>
    <w:p w:rsidR="007F5C8D" w:rsidRPr="007D38BF" w:rsidP="007F5C8D" w14:paraId="4420366F" w14:textId="77777777">
      <w:r w:rsidRPr="007D38BF">
        <w:t>Uredba (EU) št. 904/2010</w:t>
      </w:r>
    </w:p>
    <w:p w:rsidR="007F5C8D" w:rsidRPr="007D38BF" w:rsidP="007F5C8D" w14:paraId="22D50FFA" w14:textId="77777777">
      <w:r w:rsidRPr="007D38BF">
        <w:t>Člen 2 a (novo)</w:t>
      </w:r>
    </w:p>
    <w:tbl>
      <w:tblPr>
        <w:tblW w:w="9752" w:type="dxa"/>
        <w:jc w:val="center"/>
        <w:tblLayout w:type="fixed"/>
        <w:tblCellMar>
          <w:left w:w="340" w:type="dxa"/>
          <w:right w:w="340" w:type="dxa"/>
        </w:tblCellMar>
        <w:tblLook w:val="04A0"/>
      </w:tblPr>
      <w:tblGrid>
        <w:gridCol w:w="4876"/>
        <w:gridCol w:w="4876"/>
      </w:tblGrid>
      <w:tr w14:paraId="4564D8B8" w14:textId="77777777" w:rsidTr="00495A96">
        <w:tblPrEx>
          <w:tblW w:w="9752" w:type="dxa"/>
          <w:jc w:val="center"/>
          <w:tblLayout w:type="fixed"/>
          <w:tblLook w:val="04A0"/>
        </w:tblPrEx>
        <w:trPr>
          <w:trHeight w:val="240"/>
          <w:jc w:val="center"/>
        </w:trPr>
        <w:tc>
          <w:tcPr>
            <w:tcW w:w="9752" w:type="dxa"/>
            <w:gridSpan w:val="2"/>
          </w:tcPr>
          <w:p w:rsidR="007F5C8D" w:rsidRPr="007D38BF" w:rsidP="00495A96" w14:paraId="62D2A084" w14:textId="77777777"/>
        </w:tc>
      </w:tr>
      <w:tr w14:paraId="18147A9D" w14:textId="77777777" w:rsidTr="00495A96">
        <w:tblPrEx>
          <w:tblW w:w="9752" w:type="dxa"/>
          <w:jc w:val="center"/>
          <w:tblLayout w:type="fixed"/>
          <w:tblLook w:val="04A0"/>
        </w:tblPrEx>
        <w:trPr>
          <w:trHeight w:val="240"/>
          <w:jc w:val="center"/>
        </w:trPr>
        <w:tc>
          <w:tcPr>
            <w:tcW w:w="4876" w:type="dxa"/>
            <w:hideMark/>
          </w:tcPr>
          <w:p w:rsidR="007F5C8D" w:rsidRPr="007D38BF" w:rsidP="00495A96" w14:paraId="48DAF2D8" w14:textId="77777777">
            <w:pPr>
              <w:pStyle w:val="AmColumnHeading"/>
            </w:pPr>
            <w:r w:rsidRPr="007D38BF">
              <w:t>Besedilo, ki ga predlaga Komisija</w:t>
            </w:r>
          </w:p>
        </w:tc>
        <w:tc>
          <w:tcPr>
            <w:tcW w:w="4876" w:type="dxa"/>
            <w:hideMark/>
          </w:tcPr>
          <w:p w:rsidR="007F5C8D" w:rsidRPr="007D38BF" w:rsidP="00495A96" w14:paraId="12A326CE" w14:textId="4C88FF6E">
            <w:pPr>
              <w:pStyle w:val="AmColumnHeading"/>
            </w:pPr>
            <w:r w:rsidRPr="007D38BF">
              <w:t>Sprememba</w:t>
            </w:r>
          </w:p>
        </w:tc>
      </w:tr>
      <w:tr w14:paraId="61639455" w14:textId="77777777" w:rsidTr="00495A96">
        <w:tblPrEx>
          <w:tblW w:w="9752" w:type="dxa"/>
          <w:jc w:val="center"/>
          <w:tblLayout w:type="fixed"/>
          <w:tblLook w:val="04A0"/>
        </w:tblPrEx>
        <w:trPr>
          <w:jc w:val="center"/>
        </w:trPr>
        <w:tc>
          <w:tcPr>
            <w:tcW w:w="4876" w:type="dxa"/>
          </w:tcPr>
          <w:p w:rsidR="007F5C8D" w:rsidRPr="007D38BF" w:rsidP="00495A96" w14:paraId="64B0A157" w14:textId="77777777">
            <w:pPr>
              <w:pStyle w:val="Normal6a"/>
            </w:pPr>
          </w:p>
        </w:tc>
        <w:tc>
          <w:tcPr>
            <w:tcW w:w="4876" w:type="dxa"/>
            <w:hideMark/>
          </w:tcPr>
          <w:p w:rsidR="007F5C8D" w:rsidRPr="007D38BF" w:rsidP="00495A96" w14:paraId="672A6B4F" w14:textId="77777777">
            <w:pPr>
              <w:pStyle w:val="Normal6a"/>
            </w:pPr>
            <w:r w:rsidRPr="007D38BF">
              <w:rPr>
                <w:b/>
                <w:i/>
              </w:rPr>
              <w:t>(-1)</w:t>
            </w:r>
            <w:r w:rsidRPr="007D38BF">
              <w:tab/>
            </w:r>
            <w:r w:rsidRPr="007D38BF">
              <w:rPr>
                <w:b/>
                <w:i/>
              </w:rPr>
              <w:t>vstavi se naslednji člen:</w:t>
            </w:r>
          </w:p>
        </w:tc>
      </w:tr>
      <w:tr w14:paraId="1F14E646" w14:textId="77777777" w:rsidTr="00495A96">
        <w:tblPrEx>
          <w:tblW w:w="9752" w:type="dxa"/>
          <w:jc w:val="center"/>
          <w:tblLayout w:type="fixed"/>
          <w:tblLook w:val="04A0"/>
        </w:tblPrEx>
        <w:trPr>
          <w:jc w:val="center"/>
        </w:trPr>
        <w:tc>
          <w:tcPr>
            <w:tcW w:w="4876" w:type="dxa"/>
          </w:tcPr>
          <w:p w:rsidR="007F5C8D" w:rsidRPr="007D38BF" w:rsidP="00495A96" w14:paraId="443E6A87" w14:textId="77777777">
            <w:pPr>
              <w:pStyle w:val="Normal6a"/>
            </w:pPr>
          </w:p>
        </w:tc>
        <w:tc>
          <w:tcPr>
            <w:tcW w:w="4876" w:type="dxa"/>
            <w:hideMark/>
          </w:tcPr>
          <w:p w:rsidR="007F5C8D" w:rsidRPr="007D38BF" w:rsidP="00495A96" w14:paraId="29899B3B" w14:textId="77777777">
            <w:pPr>
              <w:pStyle w:val="Normal6a"/>
            </w:pPr>
            <w:r w:rsidRPr="007D38BF">
              <w:rPr>
                <w:b/>
                <w:i/>
              </w:rPr>
              <w:t>„Člen 2a</w:t>
            </w:r>
          </w:p>
        </w:tc>
      </w:tr>
      <w:tr w14:paraId="630E36C1" w14:textId="77777777" w:rsidTr="00495A96">
        <w:tblPrEx>
          <w:tblW w:w="9752" w:type="dxa"/>
          <w:jc w:val="center"/>
          <w:tblLayout w:type="fixed"/>
          <w:tblLook w:val="04A0"/>
        </w:tblPrEx>
        <w:trPr>
          <w:jc w:val="center"/>
        </w:trPr>
        <w:tc>
          <w:tcPr>
            <w:tcW w:w="4876" w:type="dxa"/>
          </w:tcPr>
          <w:p w:rsidR="007F5C8D" w:rsidRPr="007D38BF" w:rsidP="00495A96" w14:paraId="7FD2DBF9" w14:textId="77777777">
            <w:pPr>
              <w:pStyle w:val="Normal6a"/>
            </w:pPr>
          </w:p>
        </w:tc>
        <w:tc>
          <w:tcPr>
            <w:tcW w:w="4876" w:type="dxa"/>
          </w:tcPr>
          <w:p w:rsidR="007F5C8D" w:rsidRPr="007D38BF" w:rsidP="00495A96" w14:paraId="574DE9C6" w14:textId="77777777">
            <w:pPr>
              <w:pStyle w:val="Normal6a"/>
              <w:rPr>
                <w:b/>
                <w:i/>
              </w:rPr>
            </w:pPr>
            <w:r w:rsidRPr="007D38BF">
              <w:rPr>
                <w:b/>
                <w:i/>
              </w:rPr>
              <w:t>Nadaljnji predlog o minimalni harmonizaciji kazni</w:t>
            </w:r>
          </w:p>
        </w:tc>
      </w:tr>
      <w:tr w14:paraId="62EF19E3" w14:textId="77777777" w:rsidTr="00495A96">
        <w:tblPrEx>
          <w:tblW w:w="9752" w:type="dxa"/>
          <w:jc w:val="center"/>
          <w:tblLayout w:type="fixed"/>
          <w:tblLook w:val="04A0"/>
        </w:tblPrEx>
        <w:trPr>
          <w:jc w:val="center"/>
        </w:trPr>
        <w:tc>
          <w:tcPr>
            <w:tcW w:w="4876" w:type="dxa"/>
          </w:tcPr>
          <w:p w:rsidR="007F5C8D" w:rsidRPr="007D38BF" w:rsidP="00495A96" w14:paraId="3357848C" w14:textId="77777777">
            <w:pPr>
              <w:pStyle w:val="Normal6a"/>
            </w:pPr>
          </w:p>
        </w:tc>
        <w:tc>
          <w:tcPr>
            <w:tcW w:w="4876" w:type="dxa"/>
            <w:hideMark/>
          </w:tcPr>
          <w:p w:rsidR="007F5C8D" w:rsidRPr="007D38BF" w:rsidP="00495A96" w14:paraId="3F84C10E" w14:textId="2C39B9A4">
            <w:pPr>
              <w:pStyle w:val="Normal6a"/>
            </w:pPr>
            <w:r w:rsidRPr="007D38BF">
              <w:rPr>
                <w:b/>
                <w:i/>
              </w:rPr>
              <w:t xml:space="preserve">Komisija v ... [18 mesecih </w:t>
            </w:r>
            <w:r w:rsidRPr="007D38BF" w:rsidR="00936AB4">
              <w:rPr>
                <w:b/>
                <w:i/>
              </w:rPr>
              <w:t>od datuma</w:t>
            </w:r>
            <w:r w:rsidRPr="007D38BF">
              <w:rPr>
                <w:b/>
                <w:i/>
              </w:rPr>
              <w:t xml:space="preserve"> začetk</w:t>
            </w:r>
            <w:r w:rsidRPr="007D38BF" w:rsidR="00936AB4">
              <w:rPr>
                <w:b/>
                <w:i/>
              </w:rPr>
              <w:t>a</w:t>
            </w:r>
            <w:r w:rsidRPr="007D38BF">
              <w:rPr>
                <w:b/>
                <w:i/>
              </w:rPr>
              <w:t xml:space="preserve"> veljavnosti te uredbe o spremembi] in v skladu s cilji revizije strukture za boj proti goljufijam kot dopolnilni sklop ukrepov, vključenih v sveženj o večletnem finančnem okviru za obdobje po letu 2027, ter z namenom večje zaščite finančnih interesov Unije Evropskemu parlamentu in Svetu predloži zakonodajni predlog za minimalno harmonizacijo upravnih kazni, ki se uporabljajo za najhujše kršitve na področju davka na dodano vrednost in povezanih carinskih dajatev, zlasti v zvezi z goljufijami neplačujočega </w:t>
            </w:r>
            <w:r w:rsidRPr="007D38BF">
              <w:rPr>
                <w:b/>
                <w:i/>
              </w:rPr>
              <w:t>gospodarskega subjekta znotraj Skupnosti in zlorabo poenostavljenih uvoznih postopkov na podlagi carinskega postopka 42 in uvozne ureditve „vse na enem mestu“. Predlog ne posega v vsebinske carinske postopke, vzpostavljene na podlagi Uredbe (EU) št. 952/2013.“</w:t>
            </w:r>
          </w:p>
        </w:tc>
      </w:tr>
    </w:tbl>
    <w:p w:rsidR="007F5C8D" w:rsidRPr="007D38BF" w:rsidP="007F5C8D" w14:paraId="09C11793" w14:textId="4A7B96B5">
      <w:pPr>
        <w:pStyle w:val="AmNumberTabs"/>
      </w:pPr>
      <w:r w:rsidRPr="007D38BF">
        <w:t>Sprememba</w:t>
      </w:r>
      <w:r w:rsidRPr="007D38BF">
        <w:tab/>
      </w:r>
      <w:r w:rsidRPr="007D38BF">
        <w:tab/>
        <w:t>17</w:t>
      </w:r>
    </w:p>
    <w:p w:rsidR="007F5C8D" w:rsidRPr="007D38BF" w:rsidP="007F5C8D" w14:paraId="4FB20A6A" w14:textId="77777777">
      <w:pPr>
        <w:pStyle w:val="NormalBold12b"/>
      </w:pPr>
      <w:r w:rsidRPr="007D38BF">
        <w:t>Predlog uredbe</w:t>
      </w:r>
    </w:p>
    <w:p w:rsidR="007F5C8D" w:rsidRPr="007D38BF" w:rsidP="007F5C8D" w14:paraId="7C465E32" w14:textId="77777777">
      <w:pPr>
        <w:pStyle w:val="NormalBold"/>
      </w:pPr>
      <w:r w:rsidRPr="007D38BF">
        <w:t>Člen 1 – odstavek 1 – točka -1 a (novo)</w:t>
      </w:r>
    </w:p>
    <w:p w:rsidR="007F5C8D" w:rsidRPr="007D38BF" w:rsidP="007F5C8D" w14:paraId="32988E43" w14:textId="77777777">
      <w:r w:rsidRPr="007D38BF">
        <w:t>Uredba (EU) št. 904/2010</w:t>
      </w:r>
    </w:p>
    <w:p w:rsidR="007F5C8D" w:rsidRPr="007D38BF" w:rsidP="007F5C8D" w14:paraId="219681F9" w14:textId="77777777">
      <w:pPr>
        <w:pStyle w:val="NormalBold"/>
      </w:pPr>
      <w:r w:rsidRPr="007D38BF">
        <w:rPr>
          <w:b w:val="0"/>
        </w:rPr>
        <w:t>Člen 13 a (novo)</w:t>
      </w:r>
    </w:p>
    <w:tbl>
      <w:tblPr>
        <w:tblW w:w="9752" w:type="dxa"/>
        <w:jc w:val="center"/>
        <w:tblLayout w:type="fixed"/>
        <w:tblCellMar>
          <w:left w:w="340" w:type="dxa"/>
          <w:right w:w="340" w:type="dxa"/>
        </w:tblCellMar>
        <w:tblLook w:val="04A0"/>
      </w:tblPr>
      <w:tblGrid>
        <w:gridCol w:w="4876"/>
        <w:gridCol w:w="4876"/>
      </w:tblGrid>
      <w:tr w14:paraId="281B759F" w14:textId="77777777" w:rsidTr="00495A96">
        <w:tblPrEx>
          <w:tblW w:w="9752" w:type="dxa"/>
          <w:jc w:val="center"/>
          <w:tblLayout w:type="fixed"/>
          <w:tblLook w:val="04A0"/>
        </w:tblPrEx>
        <w:trPr>
          <w:trHeight w:val="240"/>
          <w:jc w:val="center"/>
        </w:trPr>
        <w:tc>
          <w:tcPr>
            <w:tcW w:w="9752" w:type="dxa"/>
            <w:gridSpan w:val="2"/>
          </w:tcPr>
          <w:p w:rsidR="007F5C8D" w:rsidRPr="007D38BF" w:rsidP="00495A96" w14:paraId="2604FAEF" w14:textId="77777777"/>
        </w:tc>
      </w:tr>
      <w:tr w14:paraId="1A3407DD" w14:textId="77777777" w:rsidTr="00495A96">
        <w:tblPrEx>
          <w:tblW w:w="9752" w:type="dxa"/>
          <w:jc w:val="center"/>
          <w:tblLayout w:type="fixed"/>
          <w:tblLook w:val="04A0"/>
        </w:tblPrEx>
        <w:trPr>
          <w:trHeight w:val="240"/>
          <w:jc w:val="center"/>
        </w:trPr>
        <w:tc>
          <w:tcPr>
            <w:tcW w:w="4876" w:type="dxa"/>
            <w:hideMark/>
          </w:tcPr>
          <w:p w:rsidR="007F5C8D" w:rsidRPr="007D38BF" w:rsidP="00495A96" w14:paraId="407C2396" w14:textId="77777777">
            <w:pPr>
              <w:pStyle w:val="AmColumnHeading"/>
            </w:pPr>
            <w:r w:rsidRPr="007D38BF">
              <w:t>Besedilo, ki ga predlaga Komisija</w:t>
            </w:r>
          </w:p>
        </w:tc>
        <w:tc>
          <w:tcPr>
            <w:tcW w:w="4876" w:type="dxa"/>
            <w:hideMark/>
          </w:tcPr>
          <w:p w:rsidR="007F5C8D" w:rsidRPr="007D38BF" w:rsidP="00495A96" w14:paraId="756E0EA0" w14:textId="0ACA6F5E">
            <w:pPr>
              <w:pStyle w:val="AmColumnHeading"/>
            </w:pPr>
            <w:r w:rsidRPr="007D38BF">
              <w:t>Sprememba</w:t>
            </w:r>
          </w:p>
        </w:tc>
      </w:tr>
      <w:tr w14:paraId="530C9A1C" w14:textId="77777777" w:rsidTr="00495A96">
        <w:tblPrEx>
          <w:tblW w:w="9752" w:type="dxa"/>
          <w:jc w:val="center"/>
          <w:tblLayout w:type="fixed"/>
          <w:tblLook w:val="04A0"/>
        </w:tblPrEx>
        <w:trPr>
          <w:trHeight w:val="240"/>
          <w:jc w:val="center"/>
        </w:trPr>
        <w:tc>
          <w:tcPr>
            <w:tcW w:w="4876" w:type="dxa"/>
          </w:tcPr>
          <w:p w:rsidR="007F5C8D" w:rsidRPr="007D38BF" w:rsidP="00495A96" w14:paraId="591E66F3" w14:textId="77777777">
            <w:pPr>
              <w:pStyle w:val="Normal6"/>
              <w:rPr>
                <w:b/>
                <w:bCs/>
                <w:i/>
                <w:iCs/>
              </w:rPr>
            </w:pPr>
          </w:p>
        </w:tc>
        <w:tc>
          <w:tcPr>
            <w:tcW w:w="4876" w:type="dxa"/>
          </w:tcPr>
          <w:p w:rsidR="007F5C8D" w:rsidRPr="007D38BF" w:rsidP="00495A96" w14:paraId="7E6064EB" w14:textId="77777777">
            <w:pPr>
              <w:pStyle w:val="Normal6"/>
              <w:rPr>
                <w:b/>
                <w:bCs/>
                <w:i/>
                <w:iCs/>
              </w:rPr>
            </w:pPr>
            <w:r w:rsidRPr="007D38BF">
              <w:rPr>
                <w:b/>
                <w:i/>
              </w:rPr>
              <w:t>(-1a)</w:t>
            </w:r>
            <w:r w:rsidRPr="007D38BF">
              <w:rPr>
                <w:b/>
                <w:i/>
              </w:rPr>
              <w:tab/>
              <w:t>vstavi se naslednji člen:</w:t>
            </w:r>
          </w:p>
        </w:tc>
      </w:tr>
      <w:tr w14:paraId="1EBAFEB3" w14:textId="77777777" w:rsidTr="00495A96">
        <w:tblPrEx>
          <w:tblW w:w="9752" w:type="dxa"/>
          <w:jc w:val="center"/>
          <w:tblLayout w:type="fixed"/>
          <w:tblLook w:val="04A0"/>
        </w:tblPrEx>
        <w:trPr>
          <w:jc w:val="center"/>
        </w:trPr>
        <w:tc>
          <w:tcPr>
            <w:tcW w:w="4876" w:type="dxa"/>
          </w:tcPr>
          <w:p w:rsidR="007F5C8D" w:rsidRPr="007D38BF" w:rsidP="00495A96" w14:paraId="2580FF10" w14:textId="77777777">
            <w:pPr>
              <w:pStyle w:val="Normal6a"/>
            </w:pPr>
          </w:p>
        </w:tc>
        <w:tc>
          <w:tcPr>
            <w:tcW w:w="4876" w:type="dxa"/>
            <w:hideMark/>
          </w:tcPr>
          <w:p w:rsidR="007F5C8D" w:rsidRPr="007D38BF" w:rsidP="00495A96" w14:paraId="60C5C8F3" w14:textId="77777777">
            <w:pPr>
              <w:pStyle w:val="Normal6a"/>
            </w:pPr>
            <w:r w:rsidRPr="007D38BF">
              <w:rPr>
                <w:b/>
                <w:i/>
              </w:rPr>
              <w:t>„Člen 13a</w:t>
            </w:r>
          </w:p>
        </w:tc>
      </w:tr>
      <w:tr w14:paraId="2EF2FA79" w14:textId="77777777" w:rsidTr="00495A96">
        <w:tblPrEx>
          <w:tblW w:w="9752" w:type="dxa"/>
          <w:jc w:val="center"/>
          <w:tblLayout w:type="fixed"/>
          <w:tblLook w:val="04A0"/>
        </w:tblPrEx>
        <w:trPr>
          <w:jc w:val="center"/>
        </w:trPr>
        <w:tc>
          <w:tcPr>
            <w:tcW w:w="4876" w:type="dxa"/>
          </w:tcPr>
          <w:p w:rsidR="007F5C8D" w:rsidRPr="007D38BF" w:rsidP="00495A96" w14:paraId="06C9EC80" w14:textId="77777777">
            <w:pPr>
              <w:pStyle w:val="Normal6a"/>
            </w:pPr>
          </w:p>
        </w:tc>
        <w:tc>
          <w:tcPr>
            <w:tcW w:w="4876" w:type="dxa"/>
          </w:tcPr>
          <w:p w:rsidR="007F5C8D" w:rsidRPr="007D38BF" w:rsidP="00495A96" w14:paraId="0B82AB51" w14:textId="77777777">
            <w:pPr>
              <w:pStyle w:val="Normal6a"/>
              <w:rPr>
                <w:b/>
                <w:i/>
              </w:rPr>
            </w:pPr>
            <w:r w:rsidRPr="007D38BF">
              <w:rPr>
                <w:b/>
                <w:i/>
              </w:rPr>
              <w:t>Posredovanje carinskih podatkov, ki kažejo na goljufije na področju DDV, na lastno pobudo</w:t>
            </w:r>
          </w:p>
        </w:tc>
      </w:tr>
      <w:tr w14:paraId="5B9C9D7B" w14:textId="77777777" w:rsidTr="00495A96">
        <w:tblPrEx>
          <w:tblW w:w="9752" w:type="dxa"/>
          <w:jc w:val="center"/>
          <w:tblLayout w:type="fixed"/>
          <w:tblLook w:val="04A0"/>
        </w:tblPrEx>
        <w:trPr>
          <w:jc w:val="center"/>
        </w:trPr>
        <w:tc>
          <w:tcPr>
            <w:tcW w:w="4876" w:type="dxa"/>
          </w:tcPr>
          <w:p w:rsidR="007F5C8D" w:rsidRPr="007D38BF" w:rsidP="00495A96" w14:paraId="3A7FC8B4" w14:textId="77777777">
            <w:pPr>
              <w:pStyle w:val="Normal6a"/>
            </w:pPr>
          </w:p>
        </w:tc>
        <w:tc>
          <w:tcPr>
            <w:tcW w:w="4876" w:type="dxa"/>
            <w:hideMark/>
          </w:tcPr>
          <w:p w:rsidR="007F5C8D" w:rsidRPr="007D38BF" w:rsidP="00495A96" w14:paraId="53436593" w14:textId="44E5C9A0">
            <w:pPr>
              <w:pStyle w:val="Normal6a"/>
            </w:pPr>
            <w:r w:rsidRPr="007D38BF">
              <w:rPr>
                <w:b/>
                <w:i/>
              </w:rPr>
              <w:t>1.</w:t>
            </w:r>
            <w:r w:rsidRPr="007D38BF">
              <w:rPr>
                <w:b/>
                <w:i/>
              </w:rPr>
              <w:tab/>
              <w:t>Pristojni organi držav članic koordinatorjem za delovna področja Eurofisca iz člena 36(1) ter EJT in uradu OLAF v okviru svojih mandatov na lastno pobudo sporočijo vse informacije, shranjene na podlagi člena 17(1)</w:t>
            </w:r>
            <w:r w:rsidRPr="007D38BF" w:rsidR="00561190">
              <w:rPr>
                <w:b/>
                <w:i/>
              </w:rPr>
              <w:t>,</w:t>
            </w:r>
            <w:r w:rsidRPr="007D38BF">
              <w:rPr>
                <w:b/>
                <w:i/>
              </w:rPr>
              <w:t xml:space="preserve"> točka (f), ki kažejo na vzorce, značilne za goljufije na področju DDV, zlasti:</w:t>
            </w:r>
          </w:p>
        </w:tc>
      </w:tr>
      <w:tr w14:paraId="524D853A" w14:textId="77777777" w:rsidTr="00495A96">
        <w:tblPrEx>
          <w:tblW w:w="9752" w:type="dxa"/>
          <w:jc w:val="center"/>
          <w:tblLayout w:type="fixed"/>
          <w:tblLook w:val="04A0"/>
        </w:tblPrEx>
        <w:trPr>
          <w:jc w:val="center"/>
        </w:trPr>
        <w:tc>
          <w:tcPr>
            <w:tcW w:w="4876" w:type="dxa"/>
          </w:tcPr>
          <w:p w:rsidR="007F5C8D" w:rsidRPr="007D38BF" w:rsidP="00495A96" w14:paraId="225252CC" w14:textId="77777777">
            <w:pPr>
              <w:pStyle w:val="Normal6a"/>
            </w:pPr>
          </w:p>
        </w:tc>
        <w:tc>
          <w:tcPr>
            <w:tcW w:w="4876" w:type="dxa"/>
            <w:hideMark/>
          </w:tcPr>
          <w:p w:rsidR="007F5C8D" w:rsidRPr="007D38BF" w:rsidP="00495A96" w14:paraId="4B3F3127" w14:textId="77777777">
            <w:pPr>
              <w:pStyle w:val="Normal6a"/>
            </w:pPr>
            <w:r w:rsidRPr="007D38BF">
              <w:rPr>
                <w:b/>
                <w:i/>
              </w:rPr>
              <w:t>(a)</w:t>
            </w:r>
            <w:r w:rsidRPr="007D38BF">
              <w:rPr>
                <w:b/>
                <w:i/>
              </w:rPr>
              <w:tab/>
              <w:t>sistematična odstopanja med prijavljeno namembno državo članico v uvozni deklaraciji in državo članico, v kateri je bil DDV naknadno prijavljen ali plačan;</w:t>
            </w:r>
          </w:p>
        </w:tc>
      </w:tr>
      <w:tr w14:paraId="554E4778" w14:textId="77777777" w:rsidTr="00495A96">
        <w:tblPrEx>
          <w:tblW w:w="9752" w:type="dxa"/>
          <w:jc w:val="center"/>
          <w:tblLayout w:type="fixed"/>
          <w:tblLook w:val="04A0"/>
        </w:tblPrEx>
        <w:trPr>
          <w:jc w:val="center"/>
        </w:trPr>
        <w:tc>
          <w:tcPr>
            <w:tcW w:w="4876" w:type="dxa"/>
          </w:tcPr>
          <w:p w:rsidR="007F5C8D" w:rsidRPr="007D38BF" w:rsidP="00495A96" w14:paraId="02FCD6AB" w14:textId="77777777">
            <w:pPr>
              <w:pStyle w:val="Normal6a"/>
            </w:pPr>
          </w:p>
        </w:tc>
        <w:tc>
          <w:tcPr>
            <w:tcW w:w="4876" w:type="dxa"/>
            <w:hideMark/>
          </w:tcPr>
          <w:p w:rsidR="007F5C8D" w:rsidRPr="007D38BF" w:rsidP="00495A96" w14:paraId="38C4145F" w14:textId="77777777">
            <w:pPr>
              <w:pStyle w:val="Normal6a"/>
            </w:pPr>
            <w:r w:rsidRPr="007D38BF">
              <w:rPr>
                <w:b/>
                <w:i/>
              </w:rPr>
              <w:t>(b)</w:t>
            </w:r>
            <w:r w:rsidRPr="007D38BF">
              <w:rPr>
                <w:b/>
                <w:i/>
              </w:rPr>
              <w:tab/>
              <w:t>sistematična odstopanja med prejemnikom, navedenim v uvozni deklaraciji na podlagi sistema UVEM, in davčnim zavezancem, ki je prijavil ustrezni DDV v namembni državi članici;</w:t>
            </w:r>
          </w:p>
        </w:tc>
      </w:tr>
      <w:tr w14:paraId="66CB58B1" w14:textId="77777777" w:rsidTr="00495A96">
        <w:tblPrEx>
          <w:tblW w:w="9752" w:type="dxa"/>
          <w:jc w:val="center"/>
          <w:tblLayout w:type="fixed"/>
          <w:tblLook w:val="04A0"/>
        </w:tblPrEx>
        <w:trPr>
          <w:jc w:val="center"/>
        </w:trPr>
        <w:tc>
          <w:tcPr>
            <w:tcW w:w="4876" w:type="dxa"/>
          </w:tcPr>
          <w:p w:rsidR="007F5C8D" w:rsidRPr="007D38BF" w:rsidP="00495A96" w14:paraId="3718B7F6" w14:textId="77777777">
            <w:pPr>
              <w:pStyle w:val="Normal6a"/>
            </w:pPr>
          </w:p>
        </w:tc>
        <w:tc>
          <w:tcPr>
            <w:tcW w:w="4876" w:type="dxa"/>
            <w:hideMark/>
          </w:tcPr>
          <w:p w:rsidR="007F5C8D" w:rsidRPr="007D38BF" w:rsidP="00495A96" w14:paraId="4A562B63" w14:textId="3D939561">
            <w:pPr>
              <w:pStyle w:val="Normal6a"/>
            </w:pPr>
            <w:r w:rsidRPr="007D38BF">
              <w:rPr>
                <w:b/>
                <w:i/>
              </w:rPr>
              <w:t>(c)</w:t>
            </w:r>
            <w:r w:rsidRPr="007D38BF">
              <w:rPr>
                <w:b/>
                <w:i/>
              </w:rPr>
              <w:tab/>
              <w:t>prijavljene carinske vrednosti, ki znatno odstopajo od tržne vrednosti, kadar je to odstopanje skladno s prenizko oceno vrednosti za namene DDV</w:t>
            </w:r>
            <w:r w:rsidRPr="007D38BF" w:rsidR="00561190">
              <w:rPr>
                <w:b/>
                <w:i/>
              </w:rPr>
              <w:t>,</w:t>
            </w:r>
            <w:r w:rsidRPr="007D38BF">
              <w:rPr>
                <w:b/>
                <w:i/>
              </w:rPr>
              <w:t xml:space="preserve"> ter</w:t>
            </w:r>
          </w:p>
        </w:tc>
      </w:tr>
      <w:tr w14:paraId="7CDA1063" w14:textId="77777777" w:rsidTr="00495A96">
        <w:tblPrEx>
          <w:tblW w:w="9752" w:type="dxa"/>
          <w:jc w:val="center"/>
          <w:tblLayout w:type="fixed"/>
          <w:tblLook w:val="04A0"/>
        </w:tblPrEx>
        <w:trPr>
          <w:jc w:val="center"/>
        </w:trPr>
        <w:tc>
          <w:tcPr>
            <w:tcW w:w="4876" w:type="dxa"/>
          </w:tcPr>
          <w:p w:rsidR="007F5C8D" w:rsidRPr="007D38BF" w:rsidP="00495A96" w14:paraId="22167570" w14:textId="77777777">
            <w:pPr>
              <w:pStyle w:val="Normal6a"/>
            </w:pPr>
          </w:p>
        </w:tc>
        <w:tc>
          <w:tcPr>
            <w:tcW w:w="4876" w:type="dxa"/>
            <w:hideMark/>
          </w:tcPr>
          <w:p w:rsidR="007F5C8D" w:rsidRPr="007D38BF" w:rsidP="00495A96" w14:paraId="52A41C2F" w14:textId="77777777">
            <w:pPr>
              <w:pStyle w:val="Normal6a"/>
            </w:pPr>
            <w:r w:rsidRPr="007D38BF">
              <w:rPr>
                <w:b/>
                <w:i/>
              </w:rPr>
              <w:t>(d)</w:t>
            </w:r>
            <w:r w:rsidRPr="007D38BF">
              <w:rPr>
                <w:b/>
                <w:i/>
              </w:rPr>
              <w:tab/>
              <w:t xml:space="preserve">vse druge kazalnike, ki so v izvedbenem aktu Komisije navedeni kot kazalniki tveganja goljufij na področju </w:t>
            </w:r>
            <w:r w:rsidRPr="007D38BF">
              <w:rPr>
                <w:b/>
                <w:i/>
              </w:rPr>
              <w:t>DDV, povezanih s carinami.</w:t>
            </w:r>
          </w:p>
        </w:tc>
      </w:tr>
      <w:tr w14:paraId="75710E9E" w14:textId="77777777" w:rsidTr="00495A96">
        <w:tblPrEx>
          <w:tblW w:w="9752" w:type="dxa"/>
          <w:jc w:val="center"/>
          <w:tblLayout w:type="fixed"/>
          <w:tblLook w:val="04A0"/>
        </w:tblPrEx>
        <w:trPr>
          <w:jc w:val="center"/>
        </w:trPr>
        <w:tc>
          <w:tcPr>
            <w:tcW w:w="4876" w:type="dxa"/>
          </w:tcPr>
          <w:p w:rsidR="007F5C8D" w:rsidRPr="007D38BF" w:rsidP="00495A96" w14:paraId="54B39396" w14:textId="77777777">
            <w:pPr>
              <w:pStyle w:val="Normal6a"/>
            </w:pPr>
          </w:p>
        </w:tc>
        <w:tc>
          <w:tcPr>
            <w:tcW w:w="4876" w:type="dxa"/>
            <w:hideMark/>
          </w:tcPr>
          <w:p w:rsidR="007F5C8D" w:rsidRPr="007D38BF" w:rsidP="00495A96" w14:paraId="0831B172" w14:textId="22798F1E">
            <w:pPr>
              <w:pStyle w:val="Normal6a"/>
            </w:pPr>
            <w:r w:rsidRPr="007D38BF">
              <w:rPr>
                <w:b/>
                <w:i/>
              </w:rPr>
              <w:t>2.</w:t>
            </w:r>
            <w:r w:rsidRPr="007D38BF">
              <w:rPr>
                <w:b/>
                <w:i/>
              </w:rPr>
              <w:tab/>
              <w:t>Informacije iz odstavka 1 se sporočijo nemudoma in vsebujejo vsaj podatkovne elemente iz člena 17(1)</w:t>
            </w:r>
            <w:r w:rsidRPr="007D38BF" w:rsidR="00561190">
              <w:rPr>
                <w:b/>
                <w:i/>
              </w:rPr>
              <w:t>,</w:t>
            </w:r>
            <w:r w:rsidRPr="007D38BF">
              <w:rPr>
                <w:b/>
                <w:i/>
              </w:rPr>
              <w:t xml:space="preserve"> točka (f)</w:t>
            </w:r>
            <w:r w:rsidRPr="007D38BF" w:rsidR="00561190">
              <w:rPr>
                <w:b/>
                <w:i/>
              </w:rPr>
              <w:t>,</w:t>
            </w:r>
            <w:r w:rsidRPr="007D38BF">
              <w:rPr>
                <w:b/>
                <w:i/>
              </w:rPr>
              <w:t xml:space="preserve"> za zadevni uvoz ali serijo uvozov.</w:t>
            </w:r>
          </w:p>
        </w:tc>
      </w:tr>
      <w:tr w14:paraId="75814541" w14:textId="77777777" w:rsidTr="00495A96">
        <w:tblPrEx>
          <w:tblW w:w="9752" w:type="dxa"/>
          <w:jc w:val="center"/>
          <w:tblLayout w:type="fixed"/>
          <w:tblLook w:val="04A0"/>
        </w:tblPrEx>
        <w:trPr>
          <w:jc w:val="center"/>
        </w:trPr>
        <w:tc>
          <w:tcPr>
            <w:tcW w:w="4876" w:type="dxa"/>
          </w:tcPr>
          <w:p w:rsidR="007F5C8D" w:rsidRPr="007D38BF" w:rsidP="00495A96" w14:paraId="0D4ACA0C" w14:textId="77777777">
            <w:pPr>
              <w:pStyle w:val="Normal6a"/>
            </w:pPr>
          </w:p>
        </w:tc>
        <w:tc>
          <w:tcPr>
            <w:tcW w:w="4876" w:type="dxa"/>
            <w:hideMark/>
          </w:tcPr>
          <w:p w:rsidR="007F5C8D" w:rsidRPr="007D38BF" w:rsidP="00495A96" w14:paraId="0935F193" w14:textId="7EA118E8">
            <w:pPr>
              <w:pStyle w:val="Normal6a"/>
            </w:pPr>
            <w:r w:rsidRPr="007D38BF">
              <w:rPr>
                <w:b/>
                <w:i/>
              </w:rPr>
              <w:t>3.</w:t>
            </w:r>
            <w:r w:rsidRPr="007D38BF">
              <w:rPr>
                <w:b/>
                <w:i/>
              </w:rPr>
              <w:tab/>
              <w:t xml:space="preserve">Države članice zagotovijo, da se njihovi pristojni carinski organi in organi, pristojni za DDV, usklajujejo </w:t>
            </w:r>
            <w:r w:rsidRPr="007D38BF" w:rsidR="00936AB4">
              <w:rPr>
                <w:b/>
                <w:i/>
              </w:rPr>
              <w:t>v zvezi z</w:t>
            </w:r>
            <w:r w:rsidRPr="007D38BF">
              <w:rPr>
                <w:b/>
                <w:i/>
              </w:rPr>
              <w:t xml:space="preserve"> ugotavljanj</w:t>
            </w:r>
            <w:r w:rsidRPr="007D38BF" w:rsidR="00936AB4">
              <w:rPr>
                <w:b/>
                <w:i/>
              </w:rPr>
              <w:t>em</w:t>
            </w:r>
            <w:r w:rsidRPr="007D38BF">
              <w:rPr>
                <w:b/>
                <w:i/>
              </w:rPr>
              <w:t xml:space="preserve"> odstopanj iz odstavka 1, tudi prek okvira Eurofisc.</w:t>
            </w:r>
          </w:p>
        </w:tc>
      </w:tr>
      <w:tr w14:paraId="78E253D7" w14:textId="77777777" w:rsidTr="00495A96">
        <w:tblPrEx>
          <w:tblW w:w="9752" w:type="dxa"/>
          <w:jc w:val="center"/>
          <w:tblLayout w:type="fixed"/>
          <w:tblLook w:val="04A0"/>
        </w:tblPrEx>
        <w:trPr>
          <w:jc w:val="center"/>
        </w:trPr>
        <w:tc>
          <w:tcPr>
            <w:tcW w:w="4876" w:type="dxa"/>
          </w:tcPr>
          <w:p w:rsidR="007F5C8D" w:rsidRPr="007D38BF" w:rsidP="00495A96" w14:paraId="7B4AB8EF" w14:textId="77777777">
            <w:pPr>
              <w:pStyle w:val="Normal6a"/>
            </w:pPr>
          </w:p>
        </w:tc>
        <w:tc>
          <w:tcPr>
            <w:tcW w:w="4876" w:type="dxa"/>
            <w:hideMark/>
          </w:tcPr>
          <w:p w:rsidR="007F5C8D" w:rsidRPr="007D38BF" w:rsidP="00495A96" w14:paraId="7CA59F6F" w14:textId="77777777">
            <w:pPr>
              <w:pStyle w:val="Normal6a"/>
            </w:pPr>
            <w:r w:rsidRPr="007D38BF">
              <w:rPr>
                <w:b/>
                <w:i/>
              </w:rPr>
              <w:t>4.</w:t>
            </w:r>
            <w:r w:rsidRPr="007D38BF">
              <w:rPr>
                <w:b/>
                <w:i/>
              </w:rPr>
              <w:tab/>
              <w:t>Komisija z izvedbenimi akti določi tehnične formate in postopke za sporočila iz tega člena. Ti izvedbeni akti se sprejmejo v skladu s postopkom pregleda iz člena 58(2).</w:t>
            </w:r>
          </w:p>
        </w:tc>
      </w:tr>
      <w:tr w14:paraId="781F0924" w14:textId="77777777" w:rsidTr="00495A96">
        <w:tblPrEx>
          <w:tblW w:w="9752" w:type="dxa"/>
          <w:jc w:val="center"/>
          <w:tblLayout w:type="fixed"/>
          <w:tblLook w:val="04A0"/>
        </w:tblPrEx>
        <w:trPr>
          <w:jc w:val="center"/>
        </w:trPr>
        <w:tc>
          <w:tcPr>
            <w:tcW w:w="4876" w:type="dxa"/>
          </w:tcPr>
          <w:p w:rsidR="007F5C8D" w:rsidRPr="007D38BF" w:rsidP="00495A96" w14:paraId="1DB75C50" w14:textId="77777777">
            <w:pPr>
              <w:pStyle w:val="Normal6a"/>
            </w:pPr>
          </w:p>
        </w:tc>
        <w:tc>
          <w:tcPr>
            <w:tcW w:w="4876" w:type="dxa"/>
            <w:hideMark/>
          </w:tcPr>
          <w:p w:rsidR="007F5C8D" w:rsidRPr="007D38BF" w:rsidP="00495A96" w14:paraId="1E5D309F" w14:textId="77777777">
            <w:pPr>
              <w:pStyle w:val="Normal6a"/>
            </w:pPr>
            <w:r w:rsidRPr="007D38BF">
              <w:rPr>
                <w:b/>
                <w:i/>
              </w:rPr>
              <w:t>5.</w:t>
            </w:r>
            <w:r w:rsidRPr="007D38BF">
              <w:rPr>
                <w:b/>
                <w:i/>
              </w:rPr>
              <w:tab/>
              <w:t>V državah članicah, ki ne sodelujejo v EJT na podlagi Uredbe Sveta (EU) 2017/1939, se sporočila iz odstavka 1 naslovijo na koordinatorje za delovna področja Eurofisca in urad OLAF v okviru njegovega mandata in ne na EJT.“</w:t>
            </w:r>
          </w:p>
        </w:tc>
      </w:tr>
    </w:tbl>
    <w:p w:rsidR="007F5C8D" w:rsidRPr="007D38BF" w:rsidP="007F5C8D" w14:paraId="59AEB1EC" w14:textId="2CEA5FA9">
      <w:pPr>
        <w:pStyle w:val="AmNumberTabs"/>
      </w:pPr>
      <w:r w:rsidRPr="007D38BF">
        <w:t>Sprememba</w:t>
      </w:r>
      <w:r w:rsidRPr="007D38BF">
        <w:tab/>
      </w:r>
      <w:r w:rsidRPr="007D38BF">
        <w:tab/>
        <w:t>18</w:t>
      </w:r>
    </w:p>
    <w:p w:rsidR="007F5C8D" w:rsidRPr="007D38BF" w:rsidP="007F5C8D" w14:paraId="1DEC90B7" w14:textId="77777777">
      <w:pPr>
        <w:pStyle w:val="NormalBold12b"/>
      </w:pPr>
      <w:r w:rsidRPr="007D38BF">
        <w:t>Predlog uredbe</w:t>
      </w:r>
    </w:p>
    <w:p w:rsidR="007F5C8D" w:rsidRPr="007D38BF" w:rsidP="007F5C8D" w14:paraId="17787820" w14:textId="77777777">
      <w:pPr>
        <w:pStyle w:val="NormalBold"/>
      </w:pPr>
      <w:r w:rsidRPr="007D38BF">
        <w:t>Člen 1 – odstavek 1 – točka -1 b (novo)</w:t>
      </w:r>
    </w:p>
    <w:p w:rsidR="007F5C8D" w:rsidRPr="007D38BF" w:rsidP="007F5C8D" w14:paraId="03A52D95" w14:textId="77777777">
      <w:r w:rsidRPr="007D38BF">
        <w:t>Uredba (EU) št. 904/2010</w:t>
      </w:r>
    </w:p>
    <w:p w:rsidR="007F5C8D" w:rsidRPr="007D38BF" w:rsidP="007F5C8D" w14:paraId="72D26B51" w14:textId="77777777">
      <w:r w:rsidRPr="007D38BF">
        <w:t>Člen 17 – odstavek 1 – točka f</w:t>
      </w:r>
    </w:p>
    <w:tbl>
      <w:tblPr>
        <w:tblW w:w="0" w:type="auto"/>
        <w:jc w:val="center"/>
        <w:tblLayout w:type="fixed"/>
        <w:tblCellMar>
          <w:left w:w="340" w:type="dxa"/>
          <w:right w:w="340" w:type="dxa"/>
        </w:tblCellMar>
        <w:tblLook w:val="04A0"/>
      </w:tblPr>
      <w:tblGrid>
        <w:gridCol w:w="4876"/>
        <w:gridCol w:w="4876"/>
      </w:tblGrid>
      <w:tr w14:paraId="024EFC04" w14:textId="77777777" w:rsidTr="00495A96">
        <w:tblPrEx>
          <w:tblW w:w="0" w:type="auto"/>
          <w:jc w:val="center"/>
          <w:tblLayout w:type="fixed"/>
          <w:tblLook w:val="04A0"/>
        </w:tblPrEx>
        <w:trPr>
          <w:trHeight w:val="240"/>
          <w:jc w:val="center"/>
        </w:trPr>
        <w:tc>
          <w:tcPr>
            <w:tcW w:w="9752" w:type="dxa"/>
            <w:gridSpan w:val="2"/>
          </w:tcPr>
          <w:p w:rsidR="007F5C8D" w:rsidRPr="007D38BF" w:rsidP="00495A96" w14:paraId="0D6BF97E" w14:textId="77777777"/>
        </w:tc>
      </w:tr>
      <w:tr w14:paraId="21D6FF54" w14:textId="77777777" w:rsidTr="00495A96">
        <w:tblPrEx>
          <w:tblW w:w="0" w:type="auto"/>
          <w:jc w:val="center"/>
          <w:tblLayout w:type="fixed"/>
          <w:tblLook w:val="04A0"/>
        </w:tblPrEx>
        <w:trPr>
          <w:trHeight w:val="240"/>
          <w:jc w:val="center"/>
        </w:trPr>
        <w:tc>
          <w:tcPr>
            <w:tcW w:w="4876" w:type="dxa"/>
            <w:hideMark/>
          </w:tcPr>
          <w:p w:rsidR="007F5C8D" w:rsidRPr="007D38BF" w:rsidP="00495A96" w14:paraId="2B26E37F" w14:textId="77777777">
            <w:pPr>
              <w:pStyle w:val="AmColumnHeading"/>
            </w:pPr>
            <w:r w:rsidRPr="007D38BF">
              <w:t>Veljavno besedilo</w:t>
            </w:r>
          </w:p>
        </w:tc>
        <w:tc>
          <w:tcPr>
            <w:tcW w:w="4876" w:type="dxa"/>
            <w:hideMark/>
          </w:tcPr>
          <w:p w:rsidR="007F5C8D" w:rsidRPr="007D38BF" w:rsidP="00495A96" w14:paraId="0DF241E7" w14:textId="4E8EFDA1">
            <w:pPr>
              <w:pStyle w:val="AmColumnHeading"/>
            </w:pPr>
            <w:r w:rsidRPr="007D38BF">
              <w:t>Sprememba</w:t>
            </w:r>
          </w:p>
        </w:tc>
      </w:tr>
      <w:tr w14:paraId="0C3C9967" w14:textId="77777777" w:rsidTr="00495A96">
        <w:tblPrEx>
          <w:tblW w:w="0" w:type="auto"/>
          <w:jc w:val="center"/>
          <w:tblLayout w:type="fixed"/>
          <w:tblLook w:val="04A0"/>
        </w:tblPrEx>
        <w:trPr>
          <w:jc w:val="center"/>
        </w:trPr>
        <w:tc>
          <w:tcPr>
            <w:tcW w:w="4876" w:type="dxa"/>
          </w:tcPr>
          <w:p w:rsidR="007F5C8D" w:rsidRPr="007D38BF" w:rsidP="00495A96" w14:paraId="500E0D23" w14:textId="77777777">
            <w:pPr>
              <w:pStyle w:val="Normal6a"/>
            </w:pPr>
          </w:p>
        </w:tc>
        <w:tc>
          <w:tcPr>
            <w:tcW w:w="4876" w:type="dxa"/>
            <w:hideMark/>
          </w:tcPr>
          <w:p w:rsidR="007F5C8D" w:rsidRPr="007D38BF" w:rsidP="00495A96" w14:paraId="461AC677" w14:textId="77777777">
            <w:pPr>
              <w:pStyle w:val="Normal6a"/>
            </w:pPr>
            <w:r w:rsidRPr="007D38BF">
              <w:rPr>
                <w:b/>
                <w:i/>
              </w:rPr>
              <w:t>(-1b)</w:t>
            </w:r>
            <w:r w:rsidRPr="007D38BF">
              <w:tab/>
            </w:r>
            <w:r w:rsidRPr="007D38BF">
              <w:rPr>
                <w:b/>
                <w:i/>
              </w:rPr>
              <w:t>V členu 17(1) se točka (f) nadomesti z naslednjim:</w:t>
            </w:r>
          </w:p>
        </w:tc>
      </w:tr>
      <w:tr w14:paraId="1A4D0305" w14:textId="77777777" w:rsidTr="00495A96">
        <w:tblPrEx>
          <w:tblW w:w="0" w:type="auto"/>
          <w:jc w:val="center"/>
          <w:tblLayout w:type="fixed"/>
          <w:tblLook w:val="04A0"/>
        </w:tblPrEx>
        <w:trPr>
          <w:jc w:val="center"/>
        </w:trPr>
        <w:tc>
          <w:tcPr>
            <w:tcW w:w="4876" w:type="dxa"/>
          </w:tcPr>
          <w:p w:rsidR="007F5C8D" w:rsidRPr="007D38BF" w:rsidP="00495A96" w14:paraId="0BD5B38D" w14:textId="77777777">
            <w:pPr>
              <w:pStyle w:val="Normal6a"/>
            </w:pPr>
            <w:r w:rsidRPr="007D38BF">
              <w:rPr>
                <w:b/>
                <w:i/>
              </w:rPr>
              <w:t>(f)</w:t>
            </w:r>
            <w:r w:rsidRPr="007D38BF">
              <w:rPr>
                <w:b/>
                <w:i/>
              </w:rPr>
              <w:tab/>
            </w:r>
            <w:r w:rsidRPr="007D38BF">
              <w:t xml:space="preserve">informacije, ki jih </w:t>
            </w:r>
            <w:r w:rsidRPr="007D38BF">
              <w:rPr>
                <w:b/>
                <w:i/>
              </w:rPr>
              <w:t>zbira</w:t>
            </w:r>
            <w:r w:rsidRPr="007D38BF">
              <w:t xml:space="preserve"> v na podlagi </w:t>
            </w:r>
            <w:r w:rsidRPr="007D38BF">
              <w:rPr>
                <w:b/>
                <w:i/>
              </w:rPr>
              <w:t>točk</w:t>
            </w:r>
            <w:r w:rsidRPr="007D38BF">
              <w:t xml:space="preserve"> (</w:t>
            </w:r>
            <w:r w:rsidRPr="007D38BF">
              <w:rPr>
                <w:b/>
                <w:i/>
              </w:rPr>
              <w:t>a</w:t>
            </w:r>
            <w:r w:rsidRPr="007D38BF">
              <w:t xml:space="preserve">) </w:t>
            </w:r>
            <w:r w:rsidRPr="007D38BF">
              <w:rPr>
                <w:b/>
                <w:i/>
              </w:rPr>
              <w:t>in</w:t>
            </w:r>
            <w:r w:rsidRPr="007D38BF">
              <w:t xml:space="preserve"> (</w:t>
            </w:r>
            <w:r w:rsidRPr="007D38BF">
              <w:rPr>
                <w:b/>
                <w:i/>
              </w:rPr>
              <w:t>b) člena 143(2</w:t>
            </w:r>
            <w:r w:rsidRPr="007D38BF">
              <w:t xml:space="preserve">) Direktive 2006/112/ES, </w:t>
            </w:r>
            <w:r w:rsidRPr="007D38BF">
              <w:rPr>
                <w:b/>
                <w:i/>
              </w:rPr>
              <w:t>ter državo porekla</w:t>
            </w:r>
            <w:r w:rsidRPr="007D38BF">
              <w:t xml:space="preserve">, namembno državo, </w:t>
            </w:r>
            <w:r w:rsidRPr="007D38BF">
              <w:rPr>
                <w:b/>
                <w:i/>
              </w:rPr>
              <w:t>tarifno oznako</w:t>
            </w:r>
            <w:r w:rsidRPr="007D38BF">
              <w:t xml:space="preserve">, </w:t>
            </w:r>
            <w:r w:rsidRPr="007D38BF">
              <w:rPr>
                <w:b/>
                <w:i/>
              </w:rPr>
              <w:t>valuto</w:t>
            </w:r>
            <w:r w:rsidRPr="007D38BF">
              <w:t xml:space="preserve">, </w:t>
            </w:r>
            <w:r w:rsidRPr="007D38BF">
              <w:rPr>
                <w:b/>
                <w:i/>
              </w:rPr>
              <w:t>celotni znesek</w:t>
            </w:r>
            <w:r w:rsidRPr="007D38BF">
              <w:t xml:space="preserve">, </w:t>
            </w:r>
            <w:r w:rsidRPr="007D38BF">
              <w:rPr>
                <w:b/>
                <w:i/>
              </w:rPr>
              <w:t>menjalni tečaj</w:t>
            </w:r>
            <w:r w:rsidRPr="007D38BF">
              <w:t xml:space="preserve">, </w:t>
            </w:r>
            <w:r w:rsidRPr="007D38BF">
              <w:rPr>
                <w:b/>
                <w:i/>
              </w:rPr>
              <w:t>ceno postavke in neto maso</w:t>
            </w:r>
            <w:r w:rsidRPr="007D38BF">
              <w:t>;</w:t>
            </w:r>
          </w:p>
        </w:tc>
        <w:tc>
          <w:tcPr>
            <w:tcW w:w="4876" w:type="dxa"/>
            <w:hideMark/>
          </w:tcPr>
          <w:p w:rsidR="007F5C8D" w:rsidRPr="007D38BF" w:rsidP="00495A96" w14:paraId="2055E55E" w14:textId="66EE03CF">
            <w:pPr>
              <w:pStyle w:val="Normal6a"/>
            </w:pPr>
            <w:r w:rsidRPr="007D38BF">
              <w:rPr>
                <w:b/>
                <w:i/>
              </w:rPr>
              <w:t>„(f)</w:t>
            </w:r>
            <w:r w:rsidRPr="007D38BF">
              <w:rPr>
                <w:b/>
                <w:i/>
              </w:rPr>
              <w:tab/>
            </w:r>
            <w:r w:rsidRPr="007D38BF">
              <w:t xml:space="preserve">informacije, ki jih </w:t>
            </w:r>
            <w:r w:rsidRPr="007D38BF">
              <w:rPr>
                <w:b/>
                <w:i/>
              </w:rPr>
              <w:t>zberejo carinski organi držav članic</w:t>
            </w:r>
            <w:r w:rsidRPr="007D38BF">
              <w:t xml:space="preserve"> v </w:t>
            </w:r>
            <w:r w:rsidRPr="007D38BF">
              <w:rPr>
                <w:b/>
                <w:i/>
              </w:rPr>
              <w:t>zvezi z vsem uvozom blaga, za katerega se ob uvozu zahteva oprostitev plačila DDV, odlog plačila DDV ali posebna računovodska ureditev, med drugim</w:t>
            </w:r>
            <w:r w:rsidRPr="007D38BF">
              <w:t xml:space="preserve"> na podlagi </w:t>
            </w:r>
            <w:r w:rsidRPr="007D38BF">
              <w:rPr>
                <w:b/>
                <w:i/>
              </w:rPr>
              <w:t>člena 143</w:t>
            </w:r>
            <w:r w:rsidRPr="007D38BF">
              <w:t>(</w:t>
            </w:r>
            <w:r w:rsidRPr="007D38BF">
              <w:rPr>
                <w:b/>
                <w:i/>
              </w:rPr>
              <w:t>1</w:t>
            </w:r>
            <w:r w:rsidRPr="007D38BF">
              <w:t>)</w:t>
            </w:r>
            <w:r w:rsidRPr="007D38BF" w:rsidR="00561190">
              <w:t>,</w:t>
            </w:r>
            <w:r w:rsidRPr="007D38BF">
              <w:t xml:space="preserve"> </w:t>
            </w:r>
            <w:r w:rsidRPr="007D38BF">
              <w:rPr>
                <w:b/>
                <w:i/>
              </w:rPr>
              <w:t>točka</w:t>
            </w:r>
            <w:r w:rsidRPr="007D38BF">
              <w:t xml:space="preserve"> (</w:t>
            </w:r>
            <w:r w:rsidRPr="007D38BF">
              <w:rPr>
                <w:b/>
                <w:i/>
              </w:rPr>
              <w:t>d</w:t>
            </w:r>
            <w:r w:rsidRPr="007D38BF">
              <w:t>)</w:t>
            </w:r>
            <w:r w:rsidRPr="007D38BF" w:rsidR="00561190">
              <w:t>,</w:t>
            </w:r>
            <w:r w:rsidRPr="007D38BF">
              <w:t xml:space="preserve"> Direktive 2006/112/ES </w:t>
            </w:r>
            <w:r w:rsidRPr="007D38BF">
              <w:rPr>
                <w:b/>
                <w:i/>
              </w:rPr>
              <w:t>(carinski postopek 42/63)</w:t>
            </w:r>
            <w:r w:rsidRPr="007D38BF">
              <w:t xml:space="preserve">, </w:t>
            </w:r>
            <w:r w:rsidRPr="007D38BF">
              <w:rPr>
                <w:b/>
                <w:i/>
              </w:rPr>
              <w:t>na podlagi uvozne ureditve „vse na enem mestu“, vzpostavljene s členi od 369l do 369x navedene direktive</w:t>
            </w:r>
            <w:r w:rsidRPr="007D38BF">
              <w:t xml:space="preserve">, </w:t>
            </w:r>
            <w:r w:rsidRPr="007D38BF">
              <w:rPr>
                <w:b/>
                <w:i/>
              </w:rPr>
              <w:t>in na podlagi katerega koli drugega uvoznega postopka, v katerem se obveznost obračunavanja DDV odloži do prihoda v</w:t>
            </w:r>
            <w:r w:rsidRPr="007D38BF">
              <w:t xml:space="preserve"> namembno državo </w:t>
            </w:r>
            <w:r w:rsidRPr="007D38BF">
              <w:rPr>
                <w:b/>
                <w:i/>
              </w:rPr>
              <w:t>članico</w:t>
            </w:r>
            <w:r w:rsidRPr="007D38BF">
              <w:t xml:space="preserve">, </w:t>
            </w:r>
            <w:r w:rsidRPr="007D38BF">
              <w:rPr>
                <w:b/>
                <w:i/>
              </w:rPr>
              <w:t xml:space="preserve">pri čemer so te </w:t>
            </w:r>
            <w:r w:rsidRPr="007D38BF">
              <w:rPr>
                <w:b/>
                <w:i/>
              </w:rPr>
              <w:t>informacije omejene na naslednje podatkovne elemente:</w:t>
            </w:r>
          </w:p>
        </w:tc>
      </w:tr>
      <w:tr w14:paraId="00BE3770" w14:textId="77777777" w:rsidTr="00495A96">
        <w:tblPrEx>
          <w:tblW w:w="0" w:type="auto"/>
          <w:jc w:val="center"/>
          <w:tblLayout w:type="fixed"/>
          <w:tblLook w:val="04A0"/>
        </w:tblPrEx>
        <w:trPr>
          <w:jc w:val="center"/>
        </w:trPr>
        <w:tc>
          <w:tcPr>
            <w:tcW w:w="4876" w:type="dxa"/>
          </w:tcPr>
          <w:p w:rsidR="007F5C8D" w:rsidRPr="007D38BF" w:rsidP="00495A96" w14:paraId="17798F51" w14:textId="77777777">
            <w:pPr>
              <w:pStyle w:val="Normal6a"/>
            </w:pPr>
          </w:p>
        </w:tc>
        <w:tc>
          <w:tcPr>
            <w:tcW w:w="4876" w:type="dxa"/>
            <w:hideMark/>
          </w:tcPr>
          <w:p w:rsidR="007F5C8D" w:rsidRPr="007D38BF" w:rsidP="00495A96" w14:paraId="2D7BC841" w14:textId="77777777">
            <w:pPr>
              <w:pStyle w:val="Normal6a"/>
            </w:pPr>
            <w:r w:rsidRPr="007D38BF">
              <w:rPr>
                <w:b/>
                <w:i/>
              </w:rPr>
              <w:t>(i)</w:t>
            </w:r>
            <w:r w:rsidRPr="007D38BF">
              <w:rPr>
                <w:b/>
                <w:i/>
              </w:rPr>
              <w:tab/>
              <w:t>identifikacijska oznaka uvozne deklaracije;</w:t>
            </w:r>
          </w:p>
        </w:tc>
      </w:tr>
      <w:tr w14:paraId="572D9EAC" w14:textId="77777777" w:rsidTr="00495A96">
        <w:tblPrEx>
          <w:tblW w:w="0" w:type="auto"/>
          <w:jc w:val="center"/>
          <w:tblLayout w:type="fixed"/>
          <w:tblLook w:val="04A0"/>
        </w:tblPrEx>
        <w:trPr>
          <w:jc w:val="center"/>
        </w:trPr>
        <w:tc>
          <w:tcPr>
            <w:tcW w:w="4876" w:type="dxa"/>
          </w:tcPr>
          <w:p w:rsidR="007F5C8D" w:rsidRPr="007D38BF" w:rsidP="00495A96" w14:paraId="1C6184A7" w14:textId="77777777">
            <w:pPr>
              <w:pStyle w:val="Normal6a"/>
            </w:pPr>
          </w:p>
        </w:tc>
        <w:tc>
          <w:tcPr>
            <w:tcW w:w="4876" w:type="dxa"/>
            <w:hideMark/>
          </w:tcPr>
          <w:p w:rsidR="007F5C8D" w:rsidRPr="007D38BF" w:rsidP="00495A96" w14:paraId="642AC0A6" w14:textId="77777777">
            <w:pPr>
              <w:pStyle w:val="Normal6a"/>
            </w:pPr>
            <w:r w:rsidRPr="007D38BF">
              <w:rPr>
                <w:b/>
                <w:i/>
              </w:rPr>
              <w:t>(ii)</w:t>
            </w:r>
            <w:r w:rsidRPr="007D38BF">
              <w:rPr>
                <w:b/>
                <w:i/>
              </w:rPr>
              <w:tab/>
              <w:t>identifikacijska številka za DDV uvoznika ali, kadar je ustrezno, identifikacijska številka UVEM, prijavljena carinskim organom;</w:t>
            </w:r>
          </w:p>
        </w:tc>
      </w:tr>
      <w:tr w14:paraId="38F2761E" w14:textId="77777777" w:rsidTr="00495A96">
        <w:tblPrEx>
          <w:tblW w:w="0" w:type="auto"/>
          <w:jc w:val="center"/>
          <w:tblLayout w:type="fixed"/>
          <w:tblLook w:val="04A0"/>
        </w:tblPrEx>
        <w:trPr>
          <w:jc w:val="center"/>
        </w:trPr>
        <w:tc>
          <w:tcPr>
            <w:tcW w:w="4876" w:type="dxa"/>
          </w:tcPr>
          <w:p w:rsidR="007F5C8D" w:rsidRPr="007D38BF" w:rsidP="00495A96" w14:paraId="0C2D001C" w14:textId="77777777">
            <w:pPr>
              <w:pStyle w:val="Normal6a"/>
            </w:pPr>
          </w:p>
        </w:tc>
        <w:tc>
          <w:tcPr>
            <w:tcW w:w="4876" w:type="dxa"/>
            <w:hideMark/>
          </w:tcPr>
          <w:p w:rsidR="007F5C8D" w:rsidRPr="007D38BF" w:rsidP="00495A96" w14:paraId="3569DA8F" w14:textId="77777777">
            <w:pPr>
              <w:pStyle w:val="Normal6a"/>
            </w:pPr>
            <w:r w:rsidRPr="007D38BF">
              <w:rPr>
                <w:b/>
                <w:i/>
              </w:rPr>
              <w:t>(iii)</w:t>
            </w:r>
            <w:r w:rsidRPr="007D38BF">
              <w:rPr>
                <w:b/>
                <w:i/>
              </w:rPr>
              <w:tab/>
              <w:t>identifikacijska številka za DDV prejemnika v namembni državi članici, če je na voljo;</w:t>
            </w:r>
          </w:p>
        </w:tc>
      </w:tr>
      <w:tr w14:paraId="19F2129D" w14:textId="77777777" w:rsidTr="00495A96">
        <w:tblPrEx>
          <w:tblW w:w="0" w:type="auto"/>
          <w:jc w:val="center"/>
          <w:tblLayout w:type="fixed"/>
          <w:tblLook w:val="04A0"/>
        </w:tblPrEx>
        <w:trPr>
          <w:jc w:val="center"/>
        </w:trPr>
        <w:tc>
          <w:tcPr>
            <w:tcW w:w="4876" w:type="dxa"/>
          </w:tcPr>
          <w:p w:rsidR="007F5C8D" w:rsidRPr="007D38BF" w:rsidP="00495A96" w14:paraId="48AA3264" w14:textId="77777777">
            <w:pPr>
              <w:pStyle w:val="Normal6a"/>
            </w:pPr>
          </w:p>
        </w:tc>
        <w:tc>
          <w:tcPr>
            <w:tcW w:w="4876" w:type="dxa"/>
            <w:hideMark/>
          </w:tcPr>
          <w:p w:rsidR="007F5C8D" w:rsidRPr="007D38BF" w:rsidP="00495A96" w14:paraId="445C09D5" w14:textId="77777777">
            <w:pPr>
              <w:pStyle w:val="Normal6a"/>
            </w:pPr>
            <w:r w:rsidRPr="007D38BF">
              <w:rPr>
                <w:b/>
                <w:i/>
              </w:rPr>
              <w:t>(iv)</w:t>
            </w:r>
            <w:r w:rsidRPr="007D38BF">
              <w:rPr>
                <w:b/>
                <w:i/>
              </w:rPr>
              <w:tab/>
              <w:t>prijavljena carinska vrednost blaga;</w:t>
            </w:r>
          </w:p>
        </w:tc>
      </w:tr>
      <w:tr w14:paraId="6D6E457A" w14:textId="77777777" w:rsidTr="00495A96">
        <w:tblPrEx>
          <w:tblW w:w="0" w:type="auto"/>
          <w:jc w:val="center"/>
          <w:tblLayout w:type="fixed"/>
          <w:tblLook w:val="04A0"/>
        </w:tblPrEx>
        <w:trPr>
          <w:jc w:val="center"/>
        </w:trPr>
        <w:tc>
          <w:tcPr>
            <w:tcW w:w="4876" w:type="dxa"/>
          </w:tcPr>
          <w:p w:rsidR="007F5C8D" w:rsidRPr="007D38BF" w:rsidP="00495A96" w14:paraId="76C0C987" w14:textId="77777777">
            <w:pPr>
              <w:pStyle w:val="Normal6a"/>
            </w:pPr>
          </w:p>
        </w:tc>
        <w:tc>
          <w:tcPr>
            <w:tcW w:w="4876" w:type="dxa"/>
            <w:hideMark/>
          </w:tcPr>
          <w:p w:rsidR="007F5C8D" w:rsidRPr="007D38BF" w:rsidP="00495A96" w14:paraId="5D003E98" w14:textId="77777777">
            <w:pPr>
              <w:pStyle w:val="Normal6a"/>
            </w:pPr>
            <w:r w:rsidRPr="007D38BF">
              <w:rPr>
                <w:b/>
                <w:i/>
              </w:rPr>
              <w:t>(v)</w:t>
            </w:r>
            <w:r w:rsidRPr="007D38BF">
              <w:rPr>
                <w:b/>
                <w:i/>
              </w:rPr>
              <w:tab/>
              <w:t>prijavljena država porekla blaga; ter</w:t>
            </w:r>
          </w:p>
        </w:tc>
      </w:tr>
      <w:tr w14:paraId="283BE938" w14:textId="77777777" w:rsidTr="00495A96">
        <w:tblPrEx>
          <w:tblW w:w="0" w:type="auto"/>
          <w:jc w:val="center"/>
          <w:tblLayout w:type="fixed"/>
          <w:tblLook w:val="04A0"/>
        </w:tblPrEx>
        <w:trPr>
          <w:jc w:val="center"/>
        </w:trPr>
        <w:tc>
          <w:tcPr>
            <w:tcW w:w="4876" w:type="dxa"/>
          </w:tcPr>
          <w:p w:rsidR="007F5C8D" w:rsidRPr="007D38BF" w:rsidP="00495A96" w14:paraId="3A6C479E" w14:textId="77777777">
            <w:pPr>
              <w:pStyle w:val="Normal6a"/>
            </w:pPr>
          </w:p>
        </w:tc>
        <w:tc>
          <w:tcPr>
            <w:tcW w:w="4876" w:type="dxa"/>
            <w:hideMark/>
          </w:tcPr>
          <w:p w:rsidR="007F5C8D" w:rsidRPr="007D38BF" w:rsidP="00495A96" w14:paraId="67043A42" w14:textId="77777777">
            <w:pPr>
              <w:pStyle w:val="Normal6a"/>
            </w:pPr>
            <w:r w:rsidRPr="007D38BF">
              <w:rPr>
                <w:b/>
                <w:i/>
              </w:rPr>
              <w:t>(vi)</w:t>
            </w:r>
            <w:r w:rsidRPr="007D38BF">
              <w:rPr>
                <w:b/>
                <w:i/>
              </w:rPr>
              <w:tab/>
              <w:t>oznaka carinskega postopka, tudi v primerih, ko se za blago uporablja poenostavljeni uvozni postopek na podlagi člena 166 Uredbe (EU) št. 952/2013.“</w:t>
            </w:r>
          </w:p>
        </w:tc>
      </w:tr>
    </w:tbl>
    <w:p w:rsidR="007F5C8D" w:rsidRPr="007D38BF" w:rsidP="007F5C8D" w14:paraId="1D6ECAC2" w14:textId="77777777"/>
    <w:p w:rsidR="007F5C8D" w:rsidRPr="007D38BF" w:rsidP="007F5C8D" w14:paraId="3E653DE8" w14:textId="7824AE80">
      <w:pPr>
        <w:pStyle w:val="AmNumberTabs"/>
      </w:pPr>
      <w:r w:rsidRPr="007D38BF">
        <w:t>Sprememba</w:t>
      </w:r>
      <w:r w:rsidRPr="007D38BF">
        <w:tab/>
      </w:r>
      <w:r w:rsidRPr="007D38BF">
        <w:tab/>
        <w:t>19</w:t>
      </w:r>
    </w:p>
    <w:p w:rsidR="007F5C8D" w:rsidRPr="007D38BF" w:rsidP="007F5C8D" w14:paraId="4D04C76B" w14:textId="77777777">
      <w:pPr>
        <w:pStyle w:val="NormalBold12b"/>
      </w:pPr>
      <w:r w:rsidRPr="007D38BF">
        <w:t>Predlog uredbe</w:t>
      </w:r>
    </w:p>
    <w:p w:rsidR="007F5C8D" w:rsidRPr="007D38BF" w:rsidP="007F5C8D" w14:paraId="4B63416A" w14:textId="77777777">
      <w:pPr>
        <w:pStyle w:val="NormalBold"/>
      </w:pPr>
      <w:r w:rsidRPr="007D38BF">
        <w:t>Člen 1 – odstavek 1 – točka 3</w:t>
      </w:r>
    </w:p>
    <w:p w:rsidR="007F5C8D" w:rsidRPr="007D38BF" w:rsidP="007F5C8D" w14:paraId="39D16EC7" w14:textId="77777777">
      <w:r w:rsidRPr="007D38BF">
        <w:t>Uredba (EU) št. 904/2010</w:t>
      </w:r>
    </w:p>
    <w:p w:rsidR="007F5C8D" w:rsidRPr="007D38BF" w:rsidP="007F5C8D" w14:paraId="32939805" w14:textId="77777777">
      <w:r w:rsidRPr="007D38BF">
        <w:t>Člen 24k – odstavek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E1C55"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633BB57B" w14:textId="77777777"/>
        </w:tc>
      </w:tr>
      <w:tr w14:paraId="4248BE1D"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2681AAE5"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5785C7A4" w14:textId="78AFB68B">
            <w:pPr>
              <w:pStyle w:val="AmColumnHeading"/>
            </w:pPr>
            <w:r w:rsidRPr="007D38BF">
              <w:t>Sprememba</w:t>
            </w:r>
          </w:p>
        </w:tc>
      </w:tr>
      <w:tr w14:paraId="70853D2C"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7BB228B6" w14:textId="77777777">
            <w:pPr>
              <w:pStyle w:val="Normal6a"/>
            </w:pPr>
            <w:r w:rsidRPr="007D38BF">
              <w:t>1a.</w:t>
            </w:r>
            <w:r w:rsidRPr="007D38BF">
              <w:tab/>
              <w:t xml:space="preserve">EJT in </w:t>
            </w:r>
            <w:r w:rsidRPr="007D38BF">
              <w:rPr>
                <w:b/>
                <w:i/>
              </w:rPr>
              <w:t>urad</w:t>
            </w:r>
            <w:r w:rsidRPr="007D38BF">
              <w:t xml:space="preserve"> OLAF </w:t>
            </w:r>
            <w:r w:rsidRPr="007D38BF">
              <w:rPr>
                <w:b/>
                <w:i/>
              </w:rPr>
              <w:t>dostopata</w:t>
            </w:r>
            <w:r w:rsidRPr="007D38BF">
              <w:t xml:space="preserve"> do informacij v centralnem sistemu VIES v skladu z omejitvami in pravili iz členov 49a in 49b;</w:t>
            </w:r>
          </w:p>
        </w:tc>
        <w:tc>
          <w:tcPr>
            <w:tcW w:w="4876" w:type="dxa"/>
            <w:tcBorders>
              <w:top w:val="nil"/>
              <w:left w:val="nil"/>
              <w:bottom w:val="nil"/>
              <w:right w:val="nil"/>
            </w:tcBorders>
          </w:tcPr>
          <w:p w:rsidR="007F5C8D" w:rsidRPr="007D38BF" w:rsidP="00495A96" w14:paraId="7CD0C793" w14:textId="77777777">
            <w:pPr>
              <w:pStyle w:val="Normal6a"/>
            </w:pPr>
            <w:r w:rsidRPr="007D38BF">
              <w:t>1a.</w:t>
            </w:r>
            <w:r w:rsidRPr="007D38BF">
              <w:tab/>
              <w:t xml:space="preserve">EJT in OLAF </w:t>
            </w:r>
            <w:r w:rsidRPr="007D38BF">
              <w:rPr>
                <w:b/>
                <w:i/>
              </w:rPr>
              <w:t>imata dostop</w:t>
            </w:r>
            <w:r w:rsidRPr="007D38BF">
              <w:t xml:space="preserve"> do informacij v centralnem sistemu VIES </w:t>
            </w:r>
            <w:r w:rsidRPr="007D38BF">
              <w:rPr>
                <w:b/>
                <w:i/>
              </w:rPr>
              <w:t>prek varnega osrednjega vmesnika, ki zagotavlja zaupnost, ter</w:t>
            </w:r>
            <w:r w:rsidRPr="007D38BF">
              <w:t xml:space="preserve"> v skladu z omejitvami in pravili iz členov 49a in 49b;</w:t>
            </w:r>
          </w:p>
        </w:tc>
      </w:tr>
    </w:tbl>
    <w:p w:rsidR="007F5C8D" w:rsidRPr="007D38BF" w:rsidP="007F5C8D" w14:paraId="4288BB0B" w14:textId="77777777"/>
    <w:p w:rsidR="007F5C8D" w:rsidRPr="007D38BF" w:rsidP="007F5C8D" w14:paraId="127C6ACB" w14:textId="4220A4A2">
      <w:pPr>
        <w:pStyle w:val="AMNumberTabs0"/>
        <w:keepNext/>
      </w:pPr>
      <w:r w:rsidRPr="007D38BF">
        <w:t>Sprememba</w:t>
      </w:r>
      <w:r w:rsidRPr="007D38BF">
        <w:tab/>
      </w:r>
      <w:r w:rsidRPr="007D38BF">
        <w:tab/>
        <w:t>20</w:t>
      </w:r>
    </w:p>
    <w:p w:rsidR="007F5C8D" w:rsidRPr="007D38BF" w:rsidP="007F5C8D" w14:paraId="4A19A066" w14:textId="77777777">
      <w:pPr>
        <w:pStyle w:val="NormalBold12b"/>
        <w:keepNext/>
      </w:pPr>
      <w:r w:rsidRPr="007D38BF">
        <w:t>Predlog uredbe</w:t>
      </w:r>
    </w:p>
    <w:p w:rsidR="007F5C8D" w:rsidRPr="007D38BF" w:rsidP="007F5C8D" w14:paraId="542B3ACD" w14:textId="77777777">
      <w:pPr>
        <w:pStyle w:val="NormalBold"/>
      </w:pPr>
      <w:r w:rsidRPr="007D38BF">
        <w:t>Člen 1 – odstavek 1 – točka 4</w:t>
      </w:r>
    </w:p>
    <w:p w:rsidR="007F5C8D" w:rsidRPr="007D38BF" w:rsidP="007F5C8D" w14:paraId="197BAAD5" w14:textId="77777777">
      <w:pPr>
        <w:keepNext/>
      </w:pPr>
      <w:r w:rsidRPr="007D38BF">
        <w:t>Uredba (EU) št. 904/2010</w:t>
      </w:r>
    </w:p>
    <w:p w:rsidR="007F5C8D" w:rsidRPr="007D38BF" w:rsidP="007F5C8D" w14:paraId="3855777C" w14:textId="77777777">
      <w:r w:rsidRPr="007D38BF">
        <w:t>Člen 36 – odstavek 2a</w:t>
      </w:r>
    </w:p>
    <w:tbl>
      <w:tblPr>
        <w:tblW w:w="0" w:type="auto"/>
        <w:jc w:val="center"/>
        <w:tblLayout w:type="fixed"/>
        <w:tblCellMar>
          <w:left w:w="340" w:type="dxa"/>
          <w:right w:w="340" w:type="dxa"/>
        </w:tblCellMar>
        <w:tblLook w:val="0000"/>
      </w:tblPr>
      <w:tblGrid>
        <w:gridCol w:w="4876"/>
        <w:gridCol w:w="4876"/>
      </w:tblGrid>
      <w:tr w14:paraId="3AD532CE" w14:textId="77777777" w:rsidTr="00495A96">
        <w:tblPrEx>
          <w:tblW w:w="0" w:type="auto"/>
          <w:jc w:val="center"/>
          <w:tblLayout w:type="fixed"/>
          <w:tblLook w:val="0000"/>
        </w:tblPrEx>
        <w:trPr>
          <w:jc w:val="center"/>
        </w:trPr>
        <w:tc>
          <w:tcPr>
            <w:tcW w:w="9752" w:type="dxa"/>
            <w:gridSpan w:val="2"/>
          </w:tcPr>
          <w:p w:rsidR="007F5C8D" w:rsidRPr="007D38BF" w:rsidP="00495A96" w14:paraId="41D59C2D" w14:textId="77777777">
            <w:pPr>
              <w:keepNext/>
            </w:pPr>
          </w:p>
        </w:tc>
      </w:tr>
      <w:tr w14:paraId="10046180" w14:textId="77777777" w:rsidTr="00495A96">
        <w:tblPrEx>
          <w:tblW w:w="0" w:type="auto"/>
          <w:jc w:val="center"/>
          <w:tblLayout w:type="fixed"/>
          <w:tblLook w:val="0000"/>
        </w:tblPrEx>
        <w:trPr>
          <w:jc w:val="center"/>
        </w:trPr>
        <w:tc>
          <w:tcPr>
            <w:tcW w:w="4876" w:type="dxa"/>
          </w:tcPr>
          <w:p w:rsidR="007F5C8D" w:rsidRPr="007D38BF" w:rsidP="00495A96" w14:paraId="200AD51D" w14:textId="77777777">
            <w:pPr>
              <w:pStyle w:val="ColumnHeading"/>
              <w:keepNext/>
            </w:pPr>
            <w:r w:rsidRPr="007D38BF">
              <w:t>Besedilo, ki ga predlaga Komisija</w:t>
            </w:r>
          </w:p>
        </w:tc>
        <w:tc>
          <w:tcPr>
            <w:tcW w:w="4876" w:type="dxa"/>
          </w:tcPr>
          <w:p w:rsidR="007F5C8D" w:rsidRPr="007D38BF" w:rsidP="00495A96" w14:paraId="5A9E8FED" w14:textId="5A5264E5">
            <w:pPr>
              <w:pStyle w:val="ColumnHeading"/>
              <w:keepNext/>
            </w:pPr>
            <w:r w:rsidRPr="007D38BF">
              <w:t>Sprememba</w:t>
            </w:r>
          </w:p>
        </w:tc>
      </w:tr>
      <w:tr w14:paraId="542F8D19" w14:textId="77777777" w:rsidTr="00495A96">
        <w:tblPrEx>
          <w:tblW w:w="0" w:type="auto"/>
          <w:jc w:val="center"/>
          <w:tblLayout w:type="fixed"/>
          <w:tblLook w:val="0000"/>
        </w:tblPrEx>
        <w:trPr>
          <w:jc w:val="center"/>
        </w:trPr>
        <w:tc>
          <w:tcPr>
            <w:tcW w:w="4876" w:type="dxa"/>
          </w:tcPr>
          <w:p w:rsidR="007F5C8D" w:rsidRPr="007D38BF" w:rsidP="00495A96" w14:paraId="131D1C48" w14:textId="77777777">
            <w:pPr>
              <w:pStyle w:val="Normal6"/>
            </w:pPr>
            <w:r w:rsidRPr="007D38BF">
              <w:t>2a.</w:t>
            </w:r>
            <w:r w:rsidRPr="007D38BF">
              <w:tab/>
              <w:t xml:space="preserve">Koordinatorji za delovna področja Eurofisca v skladu s členom 24(1) Uredbe </w:t>
            </w:r>
            <w:r w:rsidRPr="007D38BF">
              <w:t>Sveta (EU) 2017/1939*, kar zadeva države članice, ki sodelujejo v EJT, in v skladu s tem členom, kar zadeva druge države članice, brez nepotrebnega odlašanja sporočijo EJT vse znake domnevnih čezmejnih goljufij na področju DDV na podlagi informacij, sporočenih ali zbranih na podlagi te uredbe, v zvezi s katerimi bi EJT lahko izvajalo svojo pristojnost.</w:t>
            </w:r>
          </w:p>
        </w:tc>
        <w:tc>
          <w:tcPr>
            <w:tcW w:w="4876" w:type="dxa"/>
          </w:tcPr>
          <w:p w:rsidR="007F5C8D" w:rsidRPr="007D38BF" w:rsidP="00495A96" w14:paraId="5ED2B325" w14:textId="77777777">
            <w:pPr>
              <w:pStyle w:val="Normal6"/>
              <w:rPr>
                <w:szCs w:val="24"/>
              </w:rPr>
            </w:pPr>
            <w:r w:rsidRPr="007D38BF">
              <w:t>2a.</w:t>
            </w:r>
            <w:r w:rsidRPr="007D38BF">
              <w:tab/>
              <w:t xml:space="preserve">Koordinatorji za delovna področja Eurofisca v skladu s členom 24(1) Uredbe </w:t>
            </w:r>
            <w:r w:rsidRPr="007D38BF">
              <w:t xml:space="preserve">Sveta (EU) 2017/1939*, kar zadeva države članice, ki sodelujejo v EJT, in v skladu s tem členom, kar zadeva druge države članice, brez nepotrebnega odlašanja sporočijo EJT vse znake domnevnih čezmejnih goljufij na področju DDV na podlagi informacij, sporočenih ali zbranih na podlagi te uredbe, v zvezi s katerimi bi EJT lahko izvajalo svojo pristojnost. </w:t>
            </w:r>
            <w:r w:rsidRPr="007D38BF">
              <w:rPr>
                <w:b/>
                <w:i/>
              </w:rPr>
              <w:t>Koordinatorji za delovna področja Eurofisca sporočijo informacije, ki jih EJT potrebuje za oceno, ali naj izvaja svojo pristojnost, če je to sporočilo potrebno in sorazmerno, je skladno z nameni mandata EJT in v celoti skladno s pravom Unije o varstvu podatkov.</w:t>
            </w:r>
          </w:p>
        </w:tc>
      </w:tr>
    </w:tbl>
    <w:p w:rsidR="007F5C8D" w:rsidRPr="007D38BF" w:rsidP="007F5C8D" w14:paraId="3F44DF2F" w14:textId="77777777"/>
    <w:p w:rsidR="007F5C8D" w:rsidRPr="007D38BF" w:rsidP="007F5C8D" w14:paraId="5032E584" w14:textId="58674CF0">
      <w:pPr>
        <w:pStyle w:val="AMNumberTabs0"/>
        <w:keepNext/>
      </w:pPr>
      <w:r w:rsidRPr="007D38BF">
        <w:t>Sprememba</w:t>
      </w:r>
      <w:r w:rsidRPr="007D38BF">
        <w:tab/>
      </w:r>
      <w:r w:rsidRPr="007D38BF">
        <w:tab/>
        <w:t>21</w:t>
      </w:r>
    </w:p>
    <w:p w:rsidR="007F5C8D" w:rsidRPr="007D38BF" w:rsidP="007F5C8D" w14:paraId="4B9BD1D1" w14:textId="77777777">
      <w:pPr>
        <w:pStyle w:val="NormalBold12b"/>
        <w:keepNext/>
      </w:pPr>
      <w:r w:rsidRPr="007D38BF">
        <w:t>Predlog uredbe</w:t>
      </w:r>
    </w:p>
    <w:p w:rsidR="007F5C8D" w:rsidRPr="007D38BF" w:rsidP="007F5C8D" w14:paraId="33CD291A" w14:textId="77777777">
      <w:pPr>
        <w:pStyle w:val="NormalBold"/>
      </w:pPr>
      <w:r w:rsidRPr="007D38BF">
        <w:t>Člen 1 – odstavek 1 – točka 4</w:t>
      </w:r>
    </w:p>
    <w:p w:rsidR="007F5C8D" w:rsidRPr="007D38BF" w:rsidP="007F5C8D" w14:paraId="60AE8CAE" w14:textId="77777777">
      <w:pPr>
        <w:keepNext/>
      </w:pPr>
      <w:r w:rsidRPr="007D38BF">
        <w:t>Uredba (EU) št. 904/2010</w:t>
      </w:r>
    </w:p>
    <w:p w:rsidR="007F5C8D" w:rsidRPr="007D38BF" w:rsidP="007F5C8D" w14:paraId="2357DEEE" w14:textId="77777777">
      <w:r w:rsidRPr="007D38BF">
        <w:t>Člen 36 – odstavek 2c</w:t>
      </w:r>
    </w:p>
    <w:tbl>
      <w:tblPr>
        <w:tblW w:w="0" w:type="auto"/>
        <w:jc w:val="center"/>
        <w:tblLayout w:type="fixed"/>
        <w:tblCellMar>
          <w:left w:w="340" w:type="dxa"/>
          <w:right w:w="340" w:type="dxa"/>
        </w:tblCellMar>
        <w:tblLook w:val="0000"/>
      </w:tblPr>
      <w:tblGrid>
        <w:gridCol w:w="4876"/>
        <w:gridCol w:w="4876"/>
      </w:tblGrid>
      <w:tr w14:paraId="6F33C927" w14:textId="77777777" w:rsidTr="00495A96">
        <w:tblPrEx>
          <w:tblW w:w="0" w:type="auto"/>
          <w:jc w:val="center"/>
          <w:tblLayout w:type="fixed"/>
          <w:tblLook w:val="0000"/>
        </w:tblPrEx>
        <w:trPr>
          <w:jc w:val="center"/>
        </w:trPr>
        <w:tc>
          <w:tcPr>
            <w:tcW w:w="9752" w:type="dxa"/>
            <w:gridSpan w:val="2"/>
          </w:tcPr>
          <w:p w:rsidR="007F5C8D" w:rsidRPr="007D38BF" w:rsidP="00495A96" w14:paraId="7D1023A1" w14:textId="77777777">
            <w:pPr>
              <w:keepNext/>
            </w:pPr>
          </w:p>
        </w:tc>
      </w:tr>
      <w:tr w14:paraId="040A3C7C" w14:textId="77777777" w:rsidTr="00495A96">
        <w:tblPrEx>
          <w:tblW w:w="0" w:type="auto"/>
          <w:jc w:val="center"/>
          <w:tblLayout w:type="fixed"/>
          <w:tblLook w:val="0000"/>
        </w:tblPrEx>
        <w:trPr>
          <w:jc w:val="center"/>
        </w:trPr>
        <w:tc>
          <w:tcPr>
            <w:tcW w:w="4876" w:type="dxa"/>
          </w:tcPr>
          <w:p w:rsidR="007F5C8D" w:rsidRPr="007D38BF" w:rsidP="00495A96" w14:paraId="30B8CC23" w14:textId="77777777">
            <w:pPr>
              <w:pStyle w:val="ColumnHeading"/>
              <w:keepNext/>
            </w:pPr>
            <w:r w:rsidRPr="007D38BF">
              <w:t>Besedilo, ki ga predlaga Komisija</w:t>
            </w:r>
          </w:p>
        </w:tc>
        <w:tc>
          <w:tcPr>
            <w:tcW w:w="4876" w:type="dxa"/>
          </w:tcPr>
          <w:p w:rsidR="007F5C8D" w:rsidRPr="007D38BF" w:rsidP="00495A96" w14:paraId="3C7C3501" w14:textId="1A378087">
            <w:pPr>
              <w:pStyle w:val="ColumnHeading"/>
              <w:keepNext/>
            </w:pPr>
            <w:r w:rsidRPr="007D38BF">
              <w:t>Sprememba</w:t>
            </w:r>
          </w:p>
        </w:tc>
      </w:tr>
      <w:tr w14:paraId="4B6564D7" w14:textId="77777777" w:rsidTr="00495A96">
        <w:tblPrEx>
          <w:tblW w:w="0" w:type="auto"/>
          <w:jc w:val="center"/>
          <w:tblLayout w:type="fixed"/>
          <w:tblLook w:val="0000"/>
        </w:tblPrEx>
        <w:trPr>
          <w:jc w:val="center"/>
        </w:trPr>
        <w:tc>
          <w:tcPr>
            <w:tcW w:w="4876" w:type="dxa"/>
          </w:tcPr>
          <w:p w:rsidR="007F5C8D" w:rsidRPr="007D38BF" w:rsidP="00495A96" w14:paraId="17BF21B6" w14:textId="77777777">
            <w:pPr>
              <w:pStyle w:val="Normal6"/>
            </w:pPr>
            <w:r w:rsidRPr="007D38BF">
              <w:t>2c.</w:t>
            </w:r>
            <w:r w:rsidRPr="007D38BF">
              <w:tab/>
              <w:t>V skladu s členom 8(2) in (3) Uredbe (EU, Euratom) št. 883/2013 Evropskega parlamenta in Sveta** koordinatorji za delovna področja Eurofisca brez odlašanja sporočijo uradu OLAF vse znake domnevnih čezmejnih goljufij na področju DDV na podlagi informacij držav članic, ki so bile sporočene ali zbrane v skladu s to uredbo, da lahko urad OLAF v skladu s svojim mandatom preuči ustrezne ukrepe.</w:t>
            </w:r>
          </w:p>
        </w:tc>
        <w:tc>
          <w:tcPr>
            <w:tcW w:w="4876" w:type="dxa"/>
          </w:tcPr>
          <w:p w:rsidR="007F5C8D" w:rsidRPr="007D38BF" w:rsidP="00495A96" w14:paraId="1A7D1398" w14:textId="77777777">
            <w:pPr>
              <w:pStyle w:val="Normal6"/>
              <w:rPr>
                <w:szCs w:val="24"/>
              </w:rPr>
            </w:pPr>
            <w:r w:rsidRPr="007D38BF">
              <w:t>2c.</w:t>
            </w:r>
            <w:r w:rsidRPr="007D38BF">
              <w:tab/>
              <w:t>V skladu s členom 8(2) in (3) Uredbe (EU, Euratom) št. 883/2013 Evropskega parlamenta in Sveta** koordinatorji za delovna področja Eurofisca brez odlašanja sporočijo uradu OLAF vse znake domnevnih čezmejnih goljufij na področju DDV na podlagi informacij držav članic, ki so bile sporočene ali zbrane v skladu s to uredbo, da lahko urad OLAF v skladu s svojim mandatom preuči ustrezne ukrepe</w:t>
            </w:r>
            <w:r w:rsidRPr="007D38BF">
              <w:rPr>
                <w:b/>
                <w:i/>
              </w:rPr>
              <w:t>, pri čemer se prepreči podvajanje preiskovalnih ukrepov med uradom OLAF in EJT. Koordinatorji za delovna področja Eurofisca sporočijo uradu OLAF informacije, ki so potrebne za oceno, ali naj izvaja svoj mandat</w:t>
            </w:r>
            <w:r w:rsidRPr="007D38BF">
              <w:t>.</w:t>
            </w:r>
          </w:p>
        </w:tc>
      </w:tr>
    </w:tbl>
    <w:p w:rsidR="007F5C8D" w:rsidRPr="007D38BF" w:rsidP="007F5C8D" w14:paraId="0BDA75E8" w14:textId="77777777"/>
    <w:p w:rsidR="007F5C8D" w:rsidRPr="007D38BF" w:rsidP="007F5C8D" w14:paraId="56EA0B0A" w14:textId="6CA64623">
      <w:pPr>
        <w:pStyle w:val="AMNumberTabs0"/>
        <w:keepNext/>
      </w:pPr>
      <w:r w:rsidRPr="007D38BF">
        <w:t>Sprememba</w:t>
      </w:r>
      <w:r w:rsidRPr="007D38BF">
        <w:tab/>
      </w:r>
      <w:r w:rsidRPr="007D38BF">
        <w:tab/>
        <w:t>22</w:t>
      </w:r>
    </w:p>
    <w:p w:rsidR="007F5C8D" w:rsidRPr="007D38BF" w:rsidP="007F5C8D" w14:paraId="6BB65C97" w14:textId="77777777">
      <w:pPr>
        <w:pStyle w:val="NormalBold12b"/>
        <w:keepNext/>
      </w:pPr>
      <w:r w:rsidRPr="007D38BF">
        <w:t>Predlog uredbe</w:t>
      </w:r>
    </w:p>
    <w:p w:rsidR="007F5C8D" w:rsidRPr="007D38BF" w:rsidP="007F5C8D" w14:paraId="4E0B0484" w14:textId="77777777">
      <w:pPr>
        <w:pStyle w:val="NormalBold"/>
      </w:pPr>
      <w:r w:rsidRPr="007D38BF">
        <w:t>Člen 1 – odstavek 1 – točka 4</w:t>
      </w:r>
    </w:p>
    <w:p w:rsidR="007F5C8D" w:rsidRPr="007D38BF" w:rsidP="007F5C8D" w14:paraId="17B918F1" w14:textId="77777777">
      <w:pPr>
        <w:keepNext/>
      </w:pPr>
      <w:r w:rsidRPr="007D38BF">
        <w:t>Uredba (EU) št. 904/2010</w:t>
      </w:r>
    </w:p>
    <w:p w:rsidR="007F5C8D" w:rsidRPr="007D38BF" w:rsidP="007F5C8D" w14:paraId="32FE98FD" w14:textId="77777777">
      <w:r w:rsidRPr="007D38BF">
        <w:t>Člen 36 – odstavek 2d</w:t>
      </w:r>
    </w:p>
    <w:tbl>
      <w:tblPr>
        <w:tblW w:w="0" w:type="auto"/>
        <w:jc w:val="center"/>
        <w:tblLayout w:type="fixed"/>
        <w:tblCellMar>
          <w:left w:w="340" w:type="dxa"/>
          <w:right w:w="340" w:type="dxa"/>
        </w:tblCellMar>
        <w:tblLook w:val="0000"/>
      </w:tblPr>
      <w:tblGrid>
        <w:gridCol w:w="4876"/>
        <w:gridCol w:w="4876"/>
      </w:tblGrid>
      <w:tr w14:paraId="6AA76914" w14:textId="77777777" w:rsidTr="00495A96">
        <w:tblPrEx>
          <w:tblW w:w="0" w:type="auto"/>
          <w:jc w:val="center"/>
          <w:tblLayout w:type="fixed"/>
          <w:tblLook w:val="0000"/>
        </w:tblPrEx>
        <w:trPr>
          <w:jc w:val="center"/>
        </w:trPr>
        <w:tc>
          <w:tcPr>
            <w:tcW w:w="9752" w:type="dxa"/>
            <w:gridSpan w:val="2"/>
          </w:tcPr>
          <w:p w:rsidR="007F5C8D" w:rsidRPr="007D38BF" w:rsidP="00495A96" w14:paraId="6C3FE7AB" w14:textId="77777777">
            <w:pPr>
              <w:keepNext/>
            </w:pPr>
          </w:p>
        </w:tc>
      </w:tr>
      <w:tr w14:paraId="03067358" w14:textId="77777777" w:rsidTr="00495A96">
        <w:tblPrEx>
          <w:tblW w:w="0" w:type="auto"/>
          <w:jc w:val="center"/>
          <w:tblLayout w:type="fixed"/>
          <w:tblLook w:val="0000"/>
        </w:tblPrEx>
        <w:trPr>
          <w:jc w:val="center"/>
        </w:trPr>
        <w:tc>
          <w:tcPr>
            <w:tcW w:w="4876" w:type="dxa"/>
          </w:tcPr>
          <w:p w:rsidR="007F5C8D" w:rsidRPr="007D38BF" w:rsidP="00495A96" w14:paraId="33771C14" w14:textId="77777777">
            <w:pPr>
              <w:pStyle w:val="ColumnHeading"/>
              <w:keepNext/>
            </w:pPr>
            <w:r w:rsidRPr="007D38BF">
              <w:t>Besedilo, ki ga predlaga Komisija</w:t>
            </w:r>
          </w:p>
        </w:tc>
        <w:tc>
          <w:tcPr>
            <w:tcW w:w="4876" w:type="dxa"/>
          </w:tcPr>
          <w:p w:rsidR="007F5C8D" w:rsidRPr="007D38BF" w:rsidP="00495A96" w14:paraId="7B7CEFBF" w14:textId="6BE4374B">
            <w:pPr>
              <w:pStyle w:val="ColumnHeading"/>
              <w:keepNext/>
            </w:pPr>
            <w:r w:rsidRPr="007D38BF">
              <w:t>Sprememba</w:t>
            </w:r>
          </w:p>
        </w:tc>
      </w:tr>
      <w:tr w14:paraId="048A137A" w14:textId="77777777" w:rsidTr="00495A96">
        <w:tblPrEx>
          <w:tblW w:w="0" w:type="auto"/>
          <w:jc w:val="center"/>
          <w:tblLayout w:type="fixed"/>
          <w:tblLook w:val="0000"/>
        </w:tblPrEx>
        <w:trPr>
          <w:jc w:val="center"/>
        </w:trPr>
        <w:tc>
          <w:tcPr>
            <w:tcW w:w="4876" w:type="dxa"/>
          </w:tcPr>
          <w:p w:rsidR="007F5C8D" w:rsidRPr="007D38BF" w:rsidP="00495A96" w14:paraId="29839B50" w14:textId="77777777">
            <w:pPr>
              <w:pStyle w:val="Normal6"/>
            </w:pPr>
            <w:r w:rsidRPr="007D38BF">
              <w:t>2d.</w:t>
            </w:r>
            <w:r w:rsidRPr="007D38BF">
              <w:tab/>
              <w:t>V skladu s členom 8(2) in (3) Uredbe (EU, Euratom) št. 883/2013 in na zahtevo urada OLAF koordinatorji za delovna področja Eurofisca sporočijo uradu OLAF vse informacije držav članic o čezmejnih goljufijah na področju DDV, ki so bile sporočene ali zbrane v skladu s to uredbo, da lahko urad OLAF v skladu s svojim mandatom preuči ustrezne ukrepe.</w:t>
            </w:r>
          </w:p>
        </w:tc>
        <w:tc>
          <w:tcPr>
            <w:tcW w:w="4876" w:type="dxa"/>
          </w:tcPr>
          <w:p w:rsidR="007F5C8D" w:rsidRPr="007D38BF" w:rsidP="00495A96" w14:paraId="38EA0336" w14:textId="77777777">
            <w:pPr>
              <w:pStyle w:val="Normal6"/>
              <w:rPr>
                <w:szCs w:val="24"/>
              </w:rPr>
            </w:pPr>
            <w:r w:rsidRPr="007D38BF">
              <w:t>2d.</w:t>
            </w:r>
            <w:r w:rsidRPr="007D38BF">
              <w:tab/>
              <w:t xml:space="preserve">V skladu s členom 8(2) in (3) Uredbe (EU, Euratom) št. 883/2013 in na zahtevo urada OLAF koordinatorji za delovna področja Eurofisca sporočijo uradu OLAF vse </w:t>
            </w:r>
            <w:r w:rsidRPr="007D38BF">
              <w:rPr>
                <w:b/>
                <w:i/>
              </w:rPr>
              <w:t>zadevne</w:t>
            </w:r>
            <w:r w:rsidRPr="007D38BF">
              <w:t xml:space="preserve"> informacije držav članic o čezmejnih goljufijah na področju DDV, ki so bile sporočene ali zbrane v skladu s to uredbo, da lahko urad OLAF v skladu s svojim mandatom preuči ustrezne ukrepe.</w:t>
            </w:r>
          </w:p>
        </w:tc>
      </w:tr>
    </w:tbl>
    <w:p w:rsidR="007F5C8D" w:rsidRPr="007D38BF" w:rsidP="007F5C8D" w14:paraId="4019CF2A" w14:textId="77777777"/>
    <w:p w:rsidR="007F5C8D" w:rsidRPr="007D38BF" w:rsidP="007F5C8D" w14:paraId="392D5FAA" w14:textId="46E70F8F">
      <w:pPr>
        <w:pStyle w:val="AmNumberTabs"/>
      </w:pPr>
      <w:r w:rsidRPr="007D38BF">
        <w:t>Sprememba</w:t>
      </w:r>
      <w:r w:rsidRPr="007D38BF">
        <w:tab/>
      </w:r>
      <w:r w:rsidRPr="007D38BF">
        <w:tab/>
        <w:t>23</w:t>
      </w:r>
    </w:p>
    <w:p w:rsidR="007F5C8D" w:rsidRPr="007D38BF" w:rsidP="007F5C8D" w14:paraId="1CBBDBB2" w14:textId="77777777">
      <w:pPr>
        <w:pStyle w:val="NormalBold12b"/>
      </w:pPr>
      <w:r w:rsidRPr="007D38BF">
        <w:t>Predlog uredbe</w:t>
      </w:r>
    </w:p>
    <w:p w:rsidR="007F5C8D" w:rsidRPr="007D38BF" w:rsidP="007F5C8D" w14:paraId="6DE7F475" w14:textId="77777777">
      <w:pPr>
        <w:pStyle w:val="NormalBold"/>
      </w:pPr>
      <w:r w:rsidRPr="007D38BF">
        <w:t>Člen 1 – odstavek 1 – točka 5</w:t>
      </w:r>
    </w:p>
    <w:p w:rsidR="007F5C8D" w:rsidRPr="007D38BF" w:rsidP="007F5C8D" w14:paraId="769A2091" w14:textId="77777777">
      <w:r w:rsidRPr="007D38BF">
        <w:t>Uredba (EU) št. 904/2010</w:t>
      </w:r>
    </w:p>
    <w:p w:rsidR="007F5C8D" w:rsidRPr="007D38BF" w:rsidP="007F5C8D" w14:paraId="11E04274" w14:textId="77777777">
      <w:r w:rsidRPr="007D38BF">
        <w:t>Člen 49a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B0C0C"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636225A5" w14:textId="77777777"/>
        </w:tc>
      </w:tr>
      <w:tr w14:paraId="6722F72C"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251A11C9"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7429154C" w14:textId="7D7BE203">
            <w:pPr>
              <w:pStyle w:val="AmColumnHeading"/>
            </w:pPr>
            <w:r w:rsidRPr="007D38BF">
              <w:t>Sprememba</w:t>
            </w:r>
          </w:p>
        </w:tc>
      </w:tr>
      <w:tr w14:paraId="031438A7"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437148D9" w14:textId="77777777">
            <w:pPr>
              <w:pStyle w:val="Normal6a"/>
            </w:pPr>
            <w:r w:rsidRPr="007D38BF">
              <w:t>1.</w:t>
            </w:r>
            <w:r w:rsidRPr="007D38BF">
              <w:tab/>
              <w:t>Pristojni organi držav članic brez poseganja v člen 43 Uredbe (EU) 2017/1939 EJT za namene ciljno usmerjenega iskanja odobrijo centraliziran dostop do naslednjih informacij:</w:t>
            </w:r>
          </w:p>
        </w:tc>
        <w:tc>
          <w:tcPr>
            <w:tcW w:w="4876" w:type="dxa"/>
            <w:tcBorders>
              <w:top w:val="nil"/>
              <w:left w:val="nil"/>
              <w:bottom w:val="nil"/>
              <w:right w:val="nil"/>
            </w:tcBorders>
          </w:tcPr>
          <w:p w:rsidR="007F5C8D" w:rsidRPr="007D38BF" w:rsidP="00495A96" w14:paraId="6C047BF4" w14:textId="77777777">
            <w:pPr>
              <w:pStyle w:val="Normal6a"/>
            </w:pPr>
            <w:r w:rsidRPr="007D38BF">
              <w:t>1.</w:t>
            </w:r>
            <w:r w:rsidRPr="007D38BF">
              <w:tab/>
              <w:t xml:space="preserve">Pristojni organi držav članic brez poseganja v člen 43 Uredbe (EU) 2017/1939 EJT za namene ciljno usmerjenega iskanja </w:t>
            </w:r>
            <w:r w:rsidRPr="007D38BF">
              <w:rPr>
                <w:b/>
                <w:i/>
              </w:rPr>
              <w:t>v okviru njegovega mandata</w:t>
            </w:r>
            <w:r w:rsidRPr="007D38BF">
              <w:t xml:space="preserve"> odobrijo centraliziran dostop do naslednjih </w:t>
            </w:r>
            <w:r w:rsidRPr="007D38BF">
              <w:rPr>
                <w:b/>
                <w:i/>
              </w:rPr>
              <w:t>potrebnih</w:t>
            </w:r>
            <w:r w:rsidRPr="007D38BF">
              <w:t xml:space="preserve"> informacij:</w:t>
            </w:r>
          </w:p>
        </w:tc>
      </w:tr>
    </w:tbl>
    <w:p w:rsidR="007F5C8D" w:rsidRPr="007D38BF" w:rsidP="007F5C8D" w14:paraId="39CE1FA2" w14:textId="77777777"/>
    <w:p w:rsidR="007F5C8D" w:rsidRPr="007D38BF" w:rsidP="007F5C8D" w14:paraId="33A04FD7" w14:textId="06903A6A">
      <w:pPr>
        <w:pStyle w:val="AmNumberTabs"/>
      </w:pPr>
      <w:r w:rsidRPr="007D38BF">
        <w:t>Sprememba</w:t>
      </w:r>
      <w:r w:rsidRPr="007D38BF">
        <w:tab/>
      </w:r>
      <w:r w:rsidRPr="007D38BF">
        <w:tab/>
        <w:t>24</w:t>
      </w:r>
    </w:p>
    <w:p w:rsidR="007F5C8D" w:rsidRPr="007D38BF" w:rsidP="007F5C8D" w14:paraId="2823A840" w14:textId="77777777">
      <w:pPr>
        <w:pStyle w:val="NormalBold12b"/>
      </w:pPr>
      <w:r w:rsidRPr="007D38BF">
        <w:t>Predlog uredbe</w:t>
      </w:r>
    </w:p>
    <w:p w:rsidR="007F5C8D" w:rsidRPr="007D38BF" w:rsidP="007F5C8D" w14:paraId="7AFA5B1D" w14:textId="77777777">
      <w:pPr>
        <w:pStyle w:val="NormalBold"/>
      </w:pPr>
      <w:r w:rsidRPr="007D38BF">
        <w:t>Člen 1 – odstavek 1 – točka 5</w:t>
      </w:r>
    </w:p>
    <w:p w:rsidR="007F5C8D" w:rsidRPr="007D38BF" w:rsidP="007F5C8D" w14:paraId="71866CC1" w14:textId="77777777">
      <w:pPr>
        <w:keepNext/>
      </w:pPr>
      <w:r w:rsidRPr="007D38BF">
        <w:t>Uredba (EU) št. 904/2010</w:t>
      </w:r>
    </w:p>
    <w:p w:rsidR="007F5C8D" w:rsidRPr="007D38BF" w:rsidP="007F5C8D" w14:paraId="4D0726D1" w14:textId="77777777">
      <w:r w:rsidRPr="007D38BF">
        <w:t>Člen 49a – odstavek 1 – točka b</w:t>
      </w:r>
    </w:p>
    <w:tbl>
      <w:tblPr>
        <w:tblW w:w="0" w:type="auto"/>
        <w:jc w:val="center"/>
        <w:tblLayout w:type="fixed"/>
        <w:tblCellMar>
          <w:left w:w="340" w:type="dxa"/>
          <w:right w:w="340" w:type="dxa"/>
        </w:tblCellMar>
        <w:tblLook w:val="0000"/>
      </w:tblPr>
      <w:tblGrid>
        <w:gridCol w:w="4876"/>
        <w:gridCol w:w="4876"/>
      </w:tblGrid>
      <w:tr w14:paraId="25289B88" w14:textId="77777777" w:rsidTr="00495A96">
        <w:tblPrEx>
          <w:tblW w:w="0" w:type="auto"/>
          <w:jc w:val="center"/>
          <w:tblLayout w:type="fixed"/>
          <w:tblLook w:val="0000"/>
        </w:tblPrEx>
        <w:trPr>
          <w:jc w:val="center"/>
        </w:trPr>
        <w:tc>
          <w:tcPr>
            <w:tcW w:w="9752" w:type="dxa"/>
            <w:gridSpan w:val="2"/>
          </w:tcPr>
          <w:p w:rsidR="007F5C8D" w:rsidRPr="007D38BF" w:rsidP="00495A96" w14:paraId="2668FFC3" w14:textId="77777777">
            <w:pPr>
              <w:keepNext/>
            </w:pPr>
          </w:p>
        </w:tc>
      </w:tr>
      <w:tr w14:paraId="4549613C" w14:textId="77777777" w:rsidTr="00495A96">
        <w:tblPrEx>
          <w:tblW w:w="0" w:type="auto"/>
          <w:jc w:val="center"/>
          <w:tblLayout w:type="fixed"/>
          <w:tblLook w:val="0000"/>
        </w:tblPrEx>
        <w:trPr>
          <w:jc w:val="center"/>
        </w:trPr>
        <w:tc>
          <w:tcPr>
            <w:tcW w:w="4876" w:type="dxa"/>
          </w:tcPr>
          <w:p w:rsidR="007F5C8D" w:rsidRPr="007D38BF" w:rsidP="00495A96" w14:paraId="21E37305" w14:textId="77777777">
            <w:pPr>
              <w:pStyle w:val="ColumnHeading"/>
              <w:keepNext/>
            </w:pPr>
            <w:r w:rsidRPr="007D38BF">
              <w:t>Besedilo, ki ga predlaga Komisija</w:t>
            </w:r>
          </w:p>
        </w:tc>
        <w:tc>
          <w:tcPr>
            <w:tcW w:w="4876" w:type="dxa"/>
          </w:tcPr>
          <w:p w:rsidR="007F5C8D" w:rsidRPr="007D38BF" w:rsidP="00495A96" w14:paraId="2DC04CA7" w14:textId="1CC4C912">
            <w:pPr>
              <w:pStyle w:val="ColumnHeading"/>
              <w:keepNext/>
            </w:pPr>
            <w:r w:rsidRPr="007D38BF">
              <w:t>Sprememba</w:t>
            </w:r>
          </w:p>
        </w:tc>
      </w:tr>
      <w:tr w14:paraId="20863056" w14:textId="77777777" w:rsidTr="00495A96">
        <w:tblPrEx>
          <w:tblW w:w="0" w:type="auto"/>
          <w:jc w:val="center"/>
          <w:tblLayout w:type="fixed"/>
          <w:tblLook w:val="0000"/>
        </w:tblPrEx>
        <w:trPr>
          <w:jc w:val="center"/>
        </w:trPr>
        <w:tc>
          <w:tcPr>
            <w:tcW w:w="4876" w:type="dxa"/>
          </w:tcPr>
          <w:p w:rsidR="007F5C8D" w:rsidRPr="007D38BF" w:rsidP="00495A96" w14:paraId="2B2407FA" w14:textId="77777777">
            <w:pPr>
              <w:pStyle w:val="Normal6"/>
            </w:pPr>
            <w:r w:rsidRPr="007D38BF">
              <w:t>(b)</w:t>
            </w:r>
            <w:r w:rsidRPr="007D38BF">
              <w:tab/>
              <w:t>od 1. septembra 2026 do informacij iz člena 17(1), točki (e) in (f) te uredbe;</w:t>
            </w:r>
          </w:p>
        </w:tc>
        <w:tc>
          <w:tcPr>
            <w:tcW w:w="4876" w:type="dxa"/>
          </w:tcPr>
          <w:p w:rsidR="007F5C8D" w:rsidRPr="007D38BF" w:rsidP="00495A96" w14:paraId="2052B8BF" w14:textId="05457C6A">
            <w:pPr>
              <w:pStyle w:val="Normal6"/>
              <w:rPr>
                <w:szCs w:val="24"/>
              </w:rPr>
            </w:pPr>
            <w:r w:rsidRPr="007D38BF">
              <w:t>(b)</w:t>
            </w:r>
            <w:r w:rsidRPr="007D38BF">
              <w:tab/>
              <w:t>od 1. septembra 2026 do informacij iz člena 17(1), točki (e) in (f) te uredbe</w:t>
            </w:r>
            <w:r w:rsidRPr="007D38BF">
              <w:rPr>
                <w:b/>
                <w:i/>
              </w:rPr>
              <w:t>, med drugim tudi do dodatnih podatkovnih elementov, shranjenih na podlagi člena 17(1)</w:t>
            </w:r>
            <w:r w:rsidRPr="007D38BF" w:rsidR="00DF1C27">
              <w:rPr>
                <w:b/>
                <w:i/>
              </w:rPr>
              <w:t>,</w:t>
            </w:r>
            <w:r w:rsidRPr="007D38BF">
              <w:rPr>
                <w:b/>
                <w:i/>
              </w:rPr>
              <w:t xml:space="preserve"> točka (f)</w:t>
            </w:r>
            <w:r w:rsidRPr="007D38BF" w:rsidR="00DF1C27">
              <w:rPr>
                <w:b/>
                <w:i/>
              </w:rPr>
              <w:t>,</w:t>
            </w:r>
            <w:r w:rsidRPr="007D38BF">
              <w:rPr>
                <w:b/>
                <w:i/>
              </w:rPr>
              <w:t xml:space="preserve"> te uredbe</w:t>
            </w:r>
            <w:r w:rsidRPr="007D38BF">
              <w:t>;</w:t>
            </w:r>
          </w:p>
        </w:tc>
      </w:tr>
    </w:tbl>
    <w:p w:rsidR="007F5C8D" w:rsidRPr="007D38BF" w:rsidP="007F5C8D" w14:paraId="56F90884" w14:textId="130E77D2">
      <w:pPr>
        <w:pStyle w:val="AMNumberTabs0"/>
        <w:keepNext/>
      </w:pPr>
      <w:r w:rsidRPr="007D38BF">
        <w:t>Sprememba</w:t>
      </w:r>
      <w:r w:rsidRPr="007D38BF">
        <w:tab/>
      </w:r>
      <w:r w:rsidRPr="007D38BF">
        <w:tab/>
        <w:t>25</w:t>
      </w:r>
    </w:p>
    <w:p w:rsidR="007F5C8D" w:rsidRPr="007D38BF" w:rsidP="007F5C8D" w14:paraId="2AC88F6A" w14:textId="77777777">
      <w:pPr>
        <w:pStyle w:val="NormalBold12b"/>
        <w:keepNext/>
      </w:pPr>
      <w:r w:rsidRPr="007D38BF">
        <w:t>Predlog uredbe</w:t>
      </w:r>
    </w:p>
    <w:p w:rsidR="007F5C8D" w:rsidRPr="007D38BF" w:rsidP="007F5C8D" w14:paraId="6B3298B7" w14:textId="77777777">
      <w:pPr>
        <w:pStyle w:val="NormalBold"/>
      </w:pPr>
      <w:r w:rsidRPr="007D38BF">
        <w:t>Člen 1 – odstavek 1 – točka 5</w:t>
      </w:r>
    </w:p>
    <w:p w:rsidR="007F5C8D" w:rsidRPr="007D38BF" w:rsidP="007F5C8D" w14:paraId="0F19A210" w14:textId="77777777">
      <w:pPr>
        <w:keepNext/>
      </w:pPr>
      <w:r w:rsidRPr="007D38BF">
        <w:t>Uredba (EU) št. 904/2010</w:t>
      </w:r>
    </w:p>
    <w:p w:rsidR="007F5C8D" w:rsidRPr="007D38BF" w:rsidP="007F5C8D" w14:paraId="656B03C5" w14:textId="77777777">
      <w:r w:rsidRPr="007D38BF">
        <w:t>Člen 49a – odstavek 1 a (novo)</w:t>
      </w:r>
    </w:p>
    <w:tbl>
      <w:tblPr>
        <w:tblW w:w="0" w:type="auto"/>
        <w:jc w:val="center"/>
        <w:tblLayout w:type="fixed"/>
        <w:tblCellMar>
          <w:left w:w="340" w:type="dxa"/>
          <w:right w:w="340" w:type="dxa"/>
        </w:tblCellMar>
        <w:tblLook w:val="0000"/>
      </w:tblPr>
      <w:tblGrid>
        <w:gridCol w:w="4876"/>
        <w:gridCol w:w="4876"/>
      </w:tblGrid>
      <w:tr w14:paraId="272433EC" w14:textId="77777777" w:rsidTr="00495A96">
        <w:tblPrEx>
          <w:tblW w:w="0" w:type="auto"/>
          <w:jc w:val="center"/>
          <w:tblLayout w:type="fixed"/>
          <w:tblLook w:val="0000"/>
        </w:tblPrEx>
        <w:trPr>
          <w:jc w:val="center"/>
        </w:trPr>
        <w:tc>
          <w:tcPr>
            <w:tcW w:w="9752" w:type="dxa"/>
            <w:gridSpan w:val="2"/>
          </w:tcPr>
          <w:p w:rsidR="007F5C8D" w:rsidRPr="007D38BF" w:rsidP="00495A96" w14:paraId="557C931A" w14:textId="77777777">
            <w:pPr>
              <w:keepNext/>
            </w:pPr>
          </w:p>
        </w:tc>
      </w:tr>
      <w:tr w14:paraId="2A3707EE" w14:textId="77777777" w:rsidTr="00495A96">
        <w:tblPrEx>
          <w:tblW w:w="0" w:type="auto"/>
          <w:jc w:val="center"/>
          <w:tblLayout w:type="fixed"/>
          <w:tblLook w:val="0000"/>
        </w:tblPrEx>
        <w:trPr>
          <w:jc w:val="center"/>
        </w:trPr>
        <w:tc>
          <w:tcPr>
            <w:tcW w:w="4876" w:type="dxa"/>
          </w:tcPr>
          <w:p w:rsidR="007F5C8D" w:rsidRPr="007D38BF" w:rsidP="00495A96" w14:paraId="32E8B8A8" w14:textId="77777777">
            <w:pPr>
              <w:pStyle w:val="ColumnHeading"/>
              <w:keepNext/>
            </w:pPr>
            <w:r w:rsidRPr="007D38BF">
              <w:t>Besedilo, ki ga predlaga Komisija</w:t>
            </w:r>
          </w:p>
        </w:tc>
        <w:tc>
          <w:tcPr>
            <w:tcW w:w="4876" w:type="dxa"/>
          </w:tcPr>
          <w:p w:rsidR="007F5C8D" w:rsidRPr="007D38BF" w:rsidP="00495A96" w14:paraId="2500C94B" w14:textId="76F6518D">
            <w:pPr>
              <w:pStyle w:val="ColumnHeading"/>
              <w:keepNext/>
            </w:pPr>
            <w:r w:rsidRPr="007D38BF">
              <w:t>Sprememba</w:t>
            </w:r>
          </w:p>
        </w:tc>
      </w:tr>
      <w:tr w14:paraId="6E23B17C" w14:textId="77777777" w:rsidTr="00495A96">
        <w:tblPrEx>
          <w:tblW w:w="0" w:type="auto"/>
          <w:jc w:val="center"/>
          <w:tblLayout w:type="fixed"/>
          <w:tblLook w:val="0000"/>
        </w:tblPrEx>
        <w:trPr>
          <w:jc w:val="center"/>
        </w:trPr>
        <w:tc>
          <w:tcPr>
            <w:tcW w:w="4876" w:type="dxa"/>
          </w:tcPr>
          <w:p w:rsidR="007F5C8D" w:rsidRPr="007D38BF" w:rsidP="00495A96" w14:paraId="1C380C75" w14:textId="77777777">
            <w:pPr>
              <w:pStyle w:val="Normal6"/>
            </w:pPr>
          </w:p>
        </w:tc>
        <w:tc>
          <w:tcPr>
            <w:tcW w:w="4876" w:type="dxa"/>
          </w:tcPr>
          <w:p w:rsidR="007F5C8D" w:rsidRPr="007D38BF" w:rsidP="00495A96" w14:paraId="2D42938F" w14:textId="1FD38836">
            <w:pPr>
              <w:pStyle w:val="Normal6"/>
              <w:rPr>
                <w:szCs w:val="24"/>
              </w:rPr>
            </w:pPr>
            <w:r w:rsidRPr="007D38BF">
              <w:rPr>
                <w:b/>
                <w:i/>
              </w:rPr>
              <w:t>1a.</w:t>
            </w:r>
            <w:r w:rsidRPr="007D38BF">
              <w:rPr>
                <w:b/>
                <w:i/>
              </w:rPr>
              <w:tab/>
              <w:t>Dostop iz odstavka 1 se odobri le v okviru aktivnih preiskav domnevnih kaznivih dejanj ali pregon</w:t>
            </w:r>
            <w:r w:rsidRPr="007D38BF" w:rsidR="00DF1C27">
              <w:rPr>
                <w:b/>
                <w:i/>
              </w:rPr>
              <w:t>a</w:t>
            </w:r>
            <w:r w:rsidRPr="007D38BF">
              <w:rPr>
                <w:b/>
                <w:i/>
              </w:rPr>
              <w:t xml:space="preserve"> storilcev teh kaznivih dejanj, ki spadajo v področje uporabe člena 4 Uredbe (EU) 2017/1939, ter je zasnovan in se uporablja tako, da se prepreči neciljno iskanje ali dostop, ki ni povezan s konkretnim primerom. Za zaščito načel varstva podatkov arhitektura in operativni protokoli sistema izrecno prepovedujejo vse oblike špekulativnega rudarjenja podatkov, pridobivanja neprečiščenih podatkov, splošnih iskanj ali avtomatiziranega profiliranja, ki niso povezane s posamezno preiskavo.</w:t>
            </w:r>
          </w:p>
        </w:tc>
      </w:tr>
    </w:tbl>
    <w:p w:rsidR="007F5C8D" w:rsidRPr="007D38BF" w:rsidP="007F5C8D" w14:paraId="6A5CC866" w14:textId="77777777"/>
    <w:p w:rsidR="007F5C8D" w:rsidRPr="007D38BF" w:rsidP="007F5C8D" w14:paraId="0480CFB1" w14:textId="372BA250">
      <w:pPr>
        <w:pStyle w:val="AMNumberTabs0"/>
        <w:keepNext/>
      </w:pPr>
      <w:r w:rsidRPr="007D38BF">
        <w:t>Sprememba</w:t>
      </w:r>
      <w:r w:rsidRPr="007D38BF">
        <w:tab/>
      </w:r>
      <w:r w:rsidRPr="007D38BF">
        <w:tab/>
        <w:t>26</w:t>
      </w:r>
    </w:p>
    <w:p w:rsidR="007F5C8D" w:rsidRPr="007D38BF" w:rsidP="007F5C8D" w14:paraId="5CAC7C96" w14:textId="77777777">
      <w:pPr>
        <w:pStyle w:val="NormalBold12b"/>
        <w:keepNext/>
      </w:pPr>
      <w:r w:rsidRPr="007D38BF">
        <w:t>Predlog uredbe</w:t>
      </w:r>
    </w:p>
    <w:p w:rsidR="007F5C8D" w:rsidRPr="007D38BF" w:rsidP="007F5C8D" w14:paraId="603464AD" w14:textId="77777777">
      <w:pPr>
        <w:pStyle w:val="NormalBold"/>
      </w:pPr>
      <w:r w:rsidRPr="007D38BF">
        <w:t>Člen 1 – odstavek 1 – točka 5</w:t>
      </w:r>
    </w:p>
    <w:p w:rsidR="007F5C8D" w:rsidRPr="007D38BF" w:rsidP="007F5C8D" w14:paraId="5507270D" w14:textId="77777777">
      <w:pPr>
        <w:keepNext/>
      </w:pPr>
      <w:r w:rsidRPr="007D38BF">
        <w:t>Uredba (EU) št. 904/2010</w:t>
      </w:r>
    </w:p>
    <w:p w:rsidR="007F5C8D" w:rsidRPr="007D38BF" w:rsidP="007F5C8D" w14:paraId="0E71EE46" w14:textId="77777777">
      <w:r w:rsidRPr="007D38BF">
        <w:t>Člen 49a – odstavek 1 b (novo)</w:t>
      </w:r>
    </w:p>
    <w:tbl>
      <w:tblPr>
        <w:tblW w:w="0" w:type="auto"/>
        <w:jc w:val="center"/>
        <w:tblLayout w:type="fixed"/>
        <w:tblCellMar>
          <w:left w:w="340" w:type="dxa"/>
          <w:right w:w="340" w:type="dxa"/>
        </w:tblCellMar>
        <w:tblLook w:val="0000"/>
      </w:tblPr>
      <w:tblGrid>
        <w:gridCol w:w="4876"/>
        <w:gridCol w:w="4876"/>
      </w:tblGrid>
      <w:tr w14:paraId="6B69F27E" w14:textId="77777777" w:rsidTr="00495A96">
        <w:tblPrEx>
          <w:tblW w:w="0" w:type="auto"/>
          <w:jc w:val="center"/>
          <w:tblLayout w:type="fixed"/>
          <w:tblLook w:val="0000"/>
        </w:tblPrEx>
        <w:trPr>
          <w:jc w:val="center"/>
        </w:trPr>
        <w:tc>
          <w:tcPr>
            <w:tcW w:w="9752" w:type="dxa"/>
            <w:gridSpan w:val="2"/>
          </w:tcPr>
          <w:p w:rsidR="007F5C8D" w:rsidRPr="007D38BF" w:rsidP="00495A96" w14:paraId="43CEB105" w14:textId="77777777">
            <w:pPr>
              <w:keepNext/>
            </w:pPr>
          </w:p>
        </w:tc>
      </w:tr>
      <w:tr w14:paraId="31037CEB" w14:textId="77777777" w:rsidTr="00495A96">
        <w:tblPrEx>
          <w:tblW w:w="0" w:type="auto"/>
          <w:jc w:val="center"/>
          <w:tblLayout w:type="fixed"/>
          <w:tblLook w:val="0000"/>
        </w:tblPrEx>
        <w:trPr>
          <w:jc w:val="center"/>
        </w:trPr>
        <w:tc>
          <w:tcPr>
            <w:tcW w:w="4876" w:type="dxa"/>
          </w:tcPr>
          <w:p w:rsidR="007F5C8D" w:rsidRPr="007D38BF" w:rsidP="00495A96" w14:paraId="5A88B845" w14:textId="77777777">
            <w:pPr>
              <w:pStyle w:val="ColumnHeading"/>
              <w:keepNext/>
            </w:pPr>
            <w:r w:rsidRPr="007D38BF">
              <w:t>Besedilo, ki ga predlaga Komisija</w:t>
            </w:r>
          </w:p>
        </w:tc>
        <w:tc>
          <w:tcPr>
            <w:tcW w:w="4876" w:type="dxa"/>
          </w:tcPr>
          <w:p w:rsidR="007F5C8D" w:rsidRPr="007D38BF" w:rsidP="00495A96" w14:paraId="4A120981" w14:textId="09DAF3D3">
            <w:pPr>
              <w:pStyle w:val="ColumnHeading"/>
              <w:keepNext/>
            </w:pPr>
            <w:r w:rsidRPr="007D38BF">
              <w:t>Sprememba</w:t>
            </w:r>
          </w:p>
        </w:tc>
      </w:tr>
      <w:tr w14:paraId="60A9A70E" w14:textId="77777777" w:rsidTr="00495A96">
        <w:tblPrEx>
          <w:tblW w:w="0" w:type="auto"/>
          <w:jc w:val="center"/>
          <w:tblLayout w:type="fixed"/>
          <w:tblLook w:val="0000"/>
        </w:tblPrEx>
        <w:trPr>
          <w:jc w:val="center"/>
        </w:trPr>
        <w:tc>
          <w:tcPr>
            <w:tcW w:w="4876" w:type="dxa"/>
          </w:tcPr>
          <w:p w:rsidR="007F5C8D" w:rsidRPr="007D38BF" w:rsidP="00495A96" w14:paraId="6DDC2227" w14:textId="77777777">
            <w:pPr>
              <w:pStyle w:val="Normal6"/>
            </w:pPr>
          </w:p>
        </w:tc>
        <w:tc>
          <w:tcPr>
            <w:tcW w:w="4876" w:type="dxa"/>
          </w:tcPr>
          <w:p w:rsidR="007F5C8D" w:rsidRPr="007D38BF" w:rsidP="00495A96" w14:paraId="311729C1" w14:textId="77777777">
            <w:pPr>
              <w:pStyle w:val="Normal6"/>
              <w:rPr>
                <w:szCs w:val="24"/>
              </w:rPr>
            </w:pPr>
            <w:r w:rsidRPr="007D38BF">
              <w:rPr>
                <w:b/>
                <w:i/>
              </w:rPr>
              <w:t>1b.</w:t>
            </w:r>
            <w:r w:rsidRPr="007D38BF">
              <w:rPr>
                <w:b/>
                <w:i/>
              </w:rPr>
              <w:tab/>
              <w:t>Za centralizirani dostop iz odstavka 1 veljajo ustrezni tehnični in organizacijski ukrepi, s katerimi se zagotovi, da je vsak dostop mogoče pripisati točno določeni preiskavi ali pregonu in identificiranemu pooblaščenemu uporabniku. Tak dostop se evidentira na način, ki omogoča učinkovito naknadno preverjanje.</w:t>
            </w:r>
          </w:p>
        </w:tc>
      </w:tr>
    </w:tbl>
    <w:p w:rsidR="007F5C8D" w:rsidRPr="007D38BF" w:rsidP="007F5C8D" w14:paraId="677AAB09" w14:textId="77777777"/>
    <w:p w:rsidR="007F5C8D" w:rsidRPr="007D38BF" w:rsidP="007F5C8D" w14:paraId="68006823" w14:textId="3EE0AA90">
      <w:pPr>
        <w:pStyle w:val="AmNumberTabs"/>
      </w:pPr>
      <w:r w:rsidRPr="007D38BF">
        <w:t>Sprememba</w:t>
      </w:r>
      <w:r w:rsidRPr="007D38BF">
        <w:tab/>
      </w:r>
      <w:r w:rsidRPr="007D38BF">
        <w:tab/>
        <w:t>27</w:t>
      </w:r>
    </w:p>
    <w:p w:rsidR="007F5C8D" w:rsidRPr="007D38BF" w:rsidP="007F5C8D" w14:paraId="72A7E7D2" w14:textId="77777777">
      <w:pPr>
        <w:pStyle w:val="NormalBold12b"/>
      </w:pPr>
      <w:r w:rsidRPr="007D38BF">
        <w:t>Predlog uredbe</w:t>
      </w:r>
    </w:p>
    <w:p w:rsidR="007F5C8D" w:rsidRPr="007D38BF" w:rsidP="007F5C8D" w14:paraId="2E754CB7" w14:textId="77777777">
      <w:pPr>
        <w:pStyle w:val="NormalBold"/>
      </w:pPr>
      <w:r w:rsidRPr="007D38BF">
        <w:t>Člen 1 – odstavek 1 – točka 5</w:t>
      </w:r>
    </w:p>
    <w:p w:rsidR="007F5C8D" w:rsidRPr="007D38BF" w:rsidP="007F5C8D" w14:paraId="650CD1D5" w14:textId="77777777">
      <w:r w:rsidRPr="007D38BF">
        <w:t>Uredba (EU) št. 904/2010</w:t>
      </w:r>
    </w:p>
    <w:p w:rsidR="007F5C8D" w:rsidRPr="007D38BF" w:rsidP="007F5C8D" w14:paraId="37DAD1EA" w14:textId="77777777">
      <w:r w:rsidRPr="007D38BF">
        <w:t>Člen 49a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ECA97"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60B3C94F" w14:textId="77777777"/>
        </w:tc>
      </w:tr>
      <w:tr w14:paraId="28BF8025"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3FEEFC77"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4E583393" w14:textId="266B2759">
            <w:pPr>
              <w:pStyle w:val="AmColumnHeading"/>
            </w:pPr>
            <w:r w:rsidRPr="007D38BF">
              <w:t>Sprememba</w:t>
            </w:r>
          </w:p>
        </w:tc>
      </w:tr>
      <w:tr w14:paraId="1A8CA57F"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55A3DAF0" w14:textId="77777777">
            <w:pPr>
              <w:pStyle w:val="Normal6a"/>
            </w:pPr>
            <w:r w:rsidRPr="007D38BF">
              <w:t>3.</w:t>
            </w:r>
            <w:r w:rsidRPr="007D38BF">
              <w:tab/>
              <w:t>Ta centraliziran dostop je dostop prek enotne vstopne točke do vseh informacij v zvezi s preiskavo, tudi če zadevajo več držav članic.</w:t>
            </w:r>
          </w:p>
        </w:tc>
        <w:tc>
          <w:tcPr>
            <w:tcW w:w="4876" w:type="dxa"/>
            <w:tcBorders>
              <w:top w:val="nil"/>
              <w:left w:val="nil"/>
              <w:bottom w:val="nil"/>
              <w:right w:val="nil"/>
            </w:tcBorders>
          </w:tcPr>
          <w:p w:rsidR="007F5C8D" w:rsidRPr="007D38BF" w:rsidP="00495A96" w14:paraId="0A131EAE" w14:textId="77777777">
            <w:pPr>
              <w:pStyle w:val="Normal6a"/>
            </w:pPr>
            <w:r w:rsidRPr="007D38BF">
              <w:t>3.</w:t>
            </w:r>
            <w:r w:rsidRPr="007D38BF">
              <w:tab/>
              <w:t xml:space="preserve">Ta centraliziran dostop je dostop prek enotne vstopne točke do vseh informacij v zvezi s preiskavo, tudi če zadevajo več držav članic. </w:t>
            </w:r>
            <w:r w:rsidRPr="007D38BF">
              <w:rPr>
                <w:b/>
                <w:i/>
              </w:rPr>
              <w:t>Zadevni sistem zagotavlja popolno sledljivost in beleženje vseh iskanj ter je podprt z varnimi komunikacijskimi kanali in celovitimi evidencami, ki omogočajo učinkovite mehanizme naknadnega preverjanja.</w:t>
            </w:r>
          </w:p>
        </w:tc>
      </w:tr>
    </w:tbl>
    <w:p w:rsidR="007F5C8D" w:rsidRPr="007D38BF" w:rsidP="007F5C8D" w14:paraId="20B5BA07" w14:textId="77777777"/>
    <w:p w:rsidR="007F5C8D" w:rsidRPr="007D38BF" w:rsidP="007F5C8D" w14:paraId="76AE5D8E" w14:textId="337E715C">
      <w:pPr>
        <w:pStyle w:val="AmNumberTabs"/>
      </w:pPr>
      <w:r w:rsidRPr="007D38BF">
        <w:t>Sprememba</w:t>
      </w:r>
      <w:r w:rsidRPr="007D38BF">
        <w:tab/>
      </w:r>
      <w:r w:rsidRPr="007D38BF">
        <w:tab/>
        <w:t>28</w:t>
      </w:r>
    </w:p>
    <w:p w:rsidR="007F5C8D" w:rsidRPr="007D38BF" w:rsidP="007F5C8D" w14:paraId="1A480793" w14:textId="77777777">
      <w:pPr>
        <w:pStyle w:val="NormalBold12b"/>
      </w:pPr>
      <w:r w:rsidRPr="007D38BF">
        <w:t>Predlog uredbe</w:t>
      </w:r>
    </w:p>
    <w:p w:rsidR="007F5C8D" w:rsidRPr="007D38BF" w:rsidP="007F5C8D" w14:paraId="585756F6" w14:textId="77777777">
      <w:pPr>
        <w:pStyle w:val="NormalBold"/>
      </w:pPr>
      <w:r w:rsidRPr="007D38BF">
        <w:t>Člen 1 – odstavek 1 – točka 5</w:t>
      </w:r>
    </w:p>
    <w:p w:rsidR="007F5C8D" w:rsidRPr="007D38BF" w:rsidP="007F5C8D" w14:paraId="29AFFCED" w14:textId="77777777">
      <w:pPr>
        <w:keepNext/>
      </w:pPr>
      <w:r w:rsidRPr="007D38BF">
        <w:t>Uredba (EU) št. 904/2010</w:t>
      </w:r>
    </w:p>
    <w:p w:rsidR="007F5C8D" w:rsidRPr="007D38BF" w:rsidP="007F5C8D" w14:paraId="5F86D69B" w14:textId="77777777">
      <w:r w:rsidRPr="007D38BF">
        <w:t>Člen 49a – odstavek 3 a (novo)</w:t>
      </w:r>
    </w:p>
    <w:tbl>
      <w:tblPr>
        <w:tblW w:w="0" w:type="auto"/>
        <w:jc w:val="center"/>
        <w:tblLayout w:type="fixed"/>
        <w:tblCellMar>
          <w:left w:w="340" w:type="dxa"/>
          <w:right w:w="340" w:type="dxa"/>
        </w:tblCellMar>
        <w:tblLook w:val="0000"/>
      </w:tblPr>
      <w:tblGrid>
        <w:gridCol w:w="4876"/>
        <w:gridCol w:w="4876"/>
      </w:tblGrid>
      <w:tr w14:paraId="0891B286" w14:textId="77777777" w:rsidTr="00495A96">
        <w:tblPrEx>
          <w:tblW w:w="0" w:type="auto"/>
          <w:jc w:val="center"/>
          <w:tblLayout w:type="fixed"/>
          <w:tblLook w:val="0000"/>
        </w:tblPrEx>
        <w:trPr>
          <w:jc w:val="center"/>
        </w:trPr>
        <w:tc>
          <w:tcPr>
            <w:tcW w:w="9752" w:type="dxa"/>
            <w:gridSpan w:val="2"/>
          </w:tcPr>
          <w:p w:rsidR="007F5C8D" w:rsidRPr="007D38BF" w:rsidP="00495A96" w14:paraId="52E3CF39" w14:textId="77777777">
            <w:pPr>
              <w:keepNext/>
            </w:pPr>
          </w:p>
        </w:tc>
      </w:tr>
      <w:tr w14:paraId="5B1F5A54" w14:textId="77777777" w:rsidTr="00495A96">
        <w:tblPrEx>
          <w:tblW w:w="0" w:type="auto"/>
          <w:jc w:val="center"/>
          <w:tblLayout w:type="fixed"/>
          <w:tblLook w:val="0000"/>
        </w:tblPrEx>
        <w:trPr>
          <w:jc w:val="center"/>
        </w:trPr>
        <w:tc>
          <w:tcPr>
            <w:tcW w:w="4876" w:type="dxa"/>
          </w:tcPr>
          <w:p w:rsidR="007F5C8D" w:rsidRPr="007D38BF" w:rsidP="00495A96" w14:paraId="587A78F9" w14:textId="77777777">
            <w:pPr>
              <w:pStyle w:val="ColumnHeading"/>
              <w:keepNext/>
            </w:pPr>
            <w:r w:rsidRPr="007D38BF">
              <w:t>Besedilo, ki ga predlaga Komisija</w:t>
            </w:r>
          </w:p>
        </w:tc>
        <w:tc>
          <w:tcPr>
            <w:tcW w:w="4876" w:type="dxa"/>
          </w:tcPr>
          <w:p w:rsidR="007F5C8D" w:rsidRPr="007D38BF" w:rsidP="00495A96" w14:paraId="6D7FCE6F" w14:textId="7BD56C99">
            <w:pPr>
              <w:pStyle w:val="ColumnHeading"/>
              <w:keepNext/>
            </w:pPr>
            <w:r w:rsidRPr="007D38BF">
              <w:t>Sprememba</w:t>
            </w:r>
          </w:p>
        </w:tc>
      </w:tr>
      <w:tr w14:paraId="2E16CC86" w14:textId="77777777" w:rsidTr="00495A96">
        <w:tblPrEx>
          <w:tblW w:w="0" w:type="auto"/>
          <w:jc w:val="center"/>
          <w:tblLayout w:type="fixed"/>
          <w:tblLook w:val="0000"/>
        </w:tblPrEx>
        <w:trPr>
          <w:jc w:val="center"/>
        </w:trPr>
        <w:tc>
          <w:tcPr>
            <w:tcW w:w="4876" w:type="dxa"/>
          </w:tcPr>
          <w:p w:rsidR="007F5C8D" w:rsidRPr="007D38BF" w:rsidP="00495A96" w14:paraId="5CD938D5" w14:textId="77777777">
            <w:pPr>
              <w:pStyle w:val="Normal6"/>
            </w:pPr>
          </w:p>
        </w:tc>
        <w:tc>
          <w:tcPr>
            <w:tcW w:w="4876" w:type="dxa"/>
          </w:tcPr>
          <w:p w:rsidR="007F5C8D" w:rsidRPr="007D38BF" w:rsidP="00495A96" w14:paraId="146627F0" w14:textId="55C292FF">
            <w:pPr>
              <w:pStyle w:val="Normal6"/>
              <w:rPr>
                <w:szCs w:val="24"/>
              </w:rPr>
            </w:pPr>
            <w:r w:rsidRPr="007D38BF">
              <w:rPr>
                <w:b/>
                <w:i/>
              </w:rPr>
              <w:t>3a.</w:t>
            </w:r>
            <w:r w:rsidRPr="007D38BF">
              <w:rPr>
                <w:b/>
                <w:i/>
              </w:rPr>
              <w:tab/>
              <w:t xml:space="preserve">EJT vsako leto objavi statistične podatke o uporabi centraliziranega dostopa, odobrenega na podlagi te uredbe, vključno s številom opravljenih </w:t>
            </w:r>
            <w:r w:rsidRPr="007D38BF" w:rsidR="005464F5">
              <w:rPr>
                <w:b/>
                <w:i/>
              </w:rPr>
              <w:t>poizvedb</w:t>
            </w:r>
            <w:r w:rsidRPr="007D38BF">
              <w:rPr>
                <w:b/>
                <w:i/>
              </w:rPr>
              <w:t>, številom preiskav, v katerih je tak dostop prispeval k napredku zadeve, ter številom primerov, v katerih je bilo ugotovljeno, da so podatki, do katerih se je dostopalo, nepomembni in izbrisani. Ti statistični podatki se vključijo v letna poročila EJT in predložijo Evropskemu parlamentu. V skladu z zadevnimi določbami, ki urejajo preiskave, se ti podatki ustrezno redigirajo, da se zagotovita zaupnost in pravilna izvedba preiskav.</w:t>
            </w:r>
          </w:p>
        </w:tc>
      </w:tr>
    </w:tbl>
    <w:p w:rsidR="007F5C8D" w:rsidRPr="007D38BF" w:rsidP="007F5C8D" w14:paraId="3BB0FC35" w14:textId="2C0A11E3">
      <w:pPr>
        <w:pStyle w:val="AmNumberTabs"/>
      </w:pPr>
      <w:r w:rsidRPr="007D38BF">
        <w:t>Sprememba</w:t>
      </w:r>
      <w:r w:rsidRPr="007D38BF">
        <w:tab/>
      </w:r>
      <w:r w:rsidRPr="007D38BF">
        <w:tab/>
        <w:t>29</w:t>
      </w:r>
    </w:p>
    <w:p w:rsidR="007F5C8D" w:rsidRPr="007D38BF" w:rsidP="007F5C8D" w14:paraId="0FC85AB1" w14:textId="77777777">
      <w:pPr>
        <w:pStyle w:val="NormalBold12b"/>
      </w:pPr>
      <w:r w:rsidRPr="007D38BF">
        <w:t>Predlog uredbe</w:t>
      </w:r>
    </w:p>
    <w:p w:rsidR="007F5C8D" w:rsidRPr="007D38BF" w:rsidP="007F5C8D" w14:paraId="144BFF30" w14:textId="77777777">
      <w:pPr>
        <w:pStyle w:val="NormalBold"/>
      </w:pPr>
      <w:r w:rsidRPr="007D38BF">
        <w:t>Člen 1 – odstavek 1 – točka 5</w:t>
      </w:r>
    </w:p>
    <w:p w:rsidR="007F5C8D" w:rsidRPr="007D38BF" w:rsidP="007F5C8D" w14:paraId="42898178" w14:textId="77777777">
      <w:r w:rsidRPr="007D38BF">
        <w:t>Uredba (EU) št. 904/2010</w:t>
      </w:r>
    </w:p>
    <w:p w:rsidR="007F5C8D" w:rsidRPr="007D38BF" w:rsidP="007F5C8D" w14:paraId="3038B8CE" w14:textId="77777777">
      <w:r w:rsidRPr="007D38BF">
        <w:t>Člen 49a – odstavek 4 – pododstavek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6C1BB"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0B167302" w14:textId="77777777"/>
        </w:tc>
      </w:tr>
      <w:tr w14:paraId="254BC0C3"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70831100"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6F3026C2" w14:textId="2139E480">
            <w:pPr>
              <w:pStyle w:val="AmColumnHeading"/>
            </w:pPr>
            <w:r w:rsidRPr="007D38BF">
              <w:t>Sprememba</w:t>
            </w:r>
          </w:p>
        </w:tc>
      </w:tr>
      <w:tr w14:paraId="20E38283"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662EBC0C" w14:textId="77777777">
            <w:pPr>
              <w:pStyle w:val="Normal6a"/>
            </w:pPr>
            <w:r w:rsidRPr="007D38BF">
              <w:t>(a)</w:t>
            </w:r>
            <w:r w:rsidRPr="007D38BF">
              <w:tab/>
              <w:t xml:space="preserve">tehnične podrobnosti v zvezi s </w:t>
            </w:r>
            <w:r w:rsidRPr="007D38BF">
              <w:t>centraliziranim dostopom do informacij iz odstavka 1 tega člena, vključno s seznamom kategorij podatkov, s katerimi se lahko izvaja ciljno usmerjeno iskanje;</w:t>
            </w:r>
          </w:p>
        </w:tc>
        <w:tc>
          <w:tcPr>
            <w:tcW w:w="4876" w:type="dxa"/>
            <w:tcBorders>
              <w:top w:val="nil"/>
              <w:left w:val="nil"/>
              <w:bottom w:val="nil"/>
              <w:right w:val="nil"/>
            </w:tcBorders>
          </w:tcPr>
          <w:p w:rsidR="007F5C8D" w:rsidRPr="007D38BF" w:rsidP="00495A96" w14:paraId="29F115F1" w14:textId="77777777">
            <w:pPr>
              <w:pStyle w:val="Normal6a"/>
            </w:pPr>
            <w:r w:rsidRPr="007D38BF">
              <w:t>(a)</w:t>
            </w:r>
            <w:r w:rsidRPr="007D38BF">
              <w:tab/>
              <w:t xml:space="preserve">tehnične podrobnosti v zvezi s </w:t>
            </w:r>
            <w:r w:rsidRPr="007D38BF">
              <w:t>centraliziranim dostopom do informacij iz odstavka 1 tega člena, vključno s seznamom kategorij podatkov, s katerimi se lahko izvaja ciljno usmerjeno iskanje</w:t>
            </w:r>
            <w:r w:rsidRPr="007D38BF">
              <w:rPr>
                <w:b/>
                <w:i/>
              </w:rPr>
              <w:t>, ter mehanizmi za preprečevanje neciljnih iskanj</w:t>
            </w:r>
            <w:r w:rsidRPr="007D38BF">
              <w:t>;</w:t>
            </w:r>
          </w:p>
        </w:tc>
      </w:tr>
    </w:tbl>
    <w:p w:rsidR="007F5C8D" w:rsidRPr="007D38BF" w:rsidP="007F5C8D" w14:paraId="5312ABC3" w14:textId="77777777"/>
    <w:p w:rsidR="007F5C8D" w:rsidRPr="007D38BF" w:rsidP="007F5C8D" w14:paraId="0E543F52" w14:textId="2610EEA7">
      <w:pPr>
        <w:pStyle w:val="AMNumberTabs0"/>
        <w:keepNext/>
      </w:pPr>
      <w:r w:rsidRPr="007D38BF">
        <w:t>Sprememba</w:t>
      </w:r>
      <w:r w:rsidRPr="007D38BF">
        <w:tab/>
      </w:r>
      <w:r w:rsidRPr="007D38BF">
        <w:tab/>
        <w:t>30</w:t>
      </w:r>
    </w:p>
    <w:p w:rsidR="007F5C8D" w:rsidRPr="007D38BF" w:rsidP="007F5C8D" w14:paraId="510DDA58" w14:textId="77777777">
      <w:pPr>
        <w:pStyle w:val="NormalBold12b"/>
        <w:keepNext/>
      </w:pPr>
      <w:r w:rsidRPr="007D38BF">
        <w:t>Predlog uredbe</w:t>
      </w:r>
    </w:p>
    <w:p w:rsidR="007F5C8D" w:rsidRPr="007D38BF" w:rsidP="007F5C8D" w14:paraId="1B7E4C98" w14:textId="77777777">
      <w:pPr>
        <w:pStyle w:val="NormalBold"/>
      </w:pPr>
      <w:r w:rsidRPr="007D38BF">
        <w:t>Člen 1 – odstavek 1 – točka 5</w:t>
      </w:r>
    </w:p>
    <w:p w:rsidR="007F5C8D" w:rsidRPr="007D38BF" w:rsidP="007F5C8D" w14:paraId="574D28E7" w14:textId="77777777">
      <w:pPr>
        <w:keepNext/>
      </w:pPr>
      <w:r w:rsidRPr="007D38BF">
        <w:t>Uredba (EU) št. 904/2010</w:t>
      </w:r>
    </w:p>
    <w:p w:rsidR="007F5C8D" w:rsidRPr="007D38BF" w:rsidP="007F5C8D" w14:paraId="4626FCE9" w14:textId="77777777">
      <w:r w:rsidRPr="007D38BF">
        <w:t>Člen 49a – odstavek 5</w:t>
      </w:r>
    </w:p>
    <w:tbl>
      <w:tblPr>
        <w:tblW w:w="0" w:type="auto"/>
        <w:jc w:val="center"/>
        <w:tblLayout w:type="fixed"/>
        <w:tblCellMar>
          <w:left w:w="340" w:type="dxa"/>
          <w:right w:w="340" w:type="dxa"/>
        </w:tblCellMar>
        <w:tblLook w:val="0000"/>
      </w:tblPr>
      <w:tblGrid>
        <w:gridCol w:w="4876"/>
        <w:gridCol w:w="4876"/>
      </w:tblGrid>
      <w:tr w14:paraId="728FDE59" w14:textId="77777777" w:rsidTr="00495A96">
        <w:tblPrEx>
          <w:tblW w:w="0" w:type="auto"/>
          <w:jc w:val="center"/>
          <w:tblLayout w:type="fixed"/>
          <w:tblLook w:val="0000"/>
        </w:tblPrEx>
        <w:trPr>
          <w:jc w:val="center"/>
        </w:trPr>
        <w:tc>
          <w:tcPr>
            <w:tcW w:w="9752" w:type="dxa"/>
            <w:gridSpan w:val="2"/>
          </w:tcPr>
          <w:p w:rsidR="007F5C8D" w:rsidRPr="007D38BF" w:rsidP="00495A96" w14:paraId="60C14C10" w14:textId="77777777">
            <w:pPr>
              <w:keepNext/>
            </w:pPr>
          </w:p>
        </w:tc>
      </w:tr>
      <w:tr w14:paraId="4BFD04E7" w14:textId="77777777" w:rsidTr="00495A96">
        <w:tblPrEx>
          <w:tblW w:w="0" w:type="auto"/>
          <w:jc w:val="center"/>
          <w:tblLayout w:type="fixed"/>
          <w:tblLook w:val="0000"/>
        </w:tblPrEx>
        <w:trPr>
          <w:jc w:val="center"/>
        </w:trPr>
        <w:tc>
          <w:tcPr>
            <w:tcW w:w="4876" w:type="dxa"/>
          </w:tcPr>
          <w:p w:rsidR="007F5C8D" w:rsidRPr="007D38BF" w:rsidP="00495A96" w14:paraId="1451E2B0" w14:textId="77777777">
            <w:pPr>
              <w:pStyle w:val="ColumnHeading"/>
              <w:keepNext/>
            </w:pPr>
            <w:r w:rsidRPr="007D38BF">
              <w:t>Besedilo, ki ga predlaga Komisija</w:t>
            </w:r>
          </w:p>
        </w:tc>
        <w:tc>
          <w:tcPr>
            <w:tcW w:w="4876" w:type="dxa"/>
          </w:tcPr>
          <w:p w:rsidR="007F5C8D" w:rsidRPr="007D38BF" w:rsidP="00495A96" w14:paraId="24723236" w14:textId="0707A5BF">
            <w:pPr>
              <w:pStyle w:val="ColumnHeading"/>
              <w:keepNext/>
            </w:pPr>
            <w:r w:rsidRPr="007D38BF">
              <w:t>Sprememba</w:t>
            </w:r>
          </w:p>
        </w:tc>
      </w:tr>
      <w:tr w14:paraId="4C46DFDA" w14:textId="77777777" w:rsidTr="00495A96">
        <w:tblPrEx>
          <w:tblW w:w="0" w:type="auto"/>
          <w:jc w:val="center"/>
          <w:tblLayout w:type="fixed"/>
          <w:tblLook w:val="0000"/>
        </w:tblPrEx>
        <w:trPr>
          <w:jc w:val="center"/>
        </w:trPr>
        <w:tc>
          <w:tcPr>
            <w:tcW w:w="4876" w:type="dxa"/>
          </w:tcPr>
          <w:p w:rsidR="007F5C8D" w:rsidRPr="007D38BF" w:rsidP="00495A96" w14:paraId="44B1F01A" w14:textId="77777777">
            <w:pPr>
              <w:pStyle w:val="Normal6"/>
            </w:pPr>
            <w:r w:rsidRPr="007D38BF">
              <w:rPr>
                <w:b/>
                <w:i/>
              </w:rPr>
              <w:t>5.</w:t>
            </w:r>
            <w:r w:rsidRPr="007D38BF">
              <w:rPr>
                <w:b/>
                <w:i/>
              </w:rPr>
              <w:tab/>
              <w:t>Stroške vzpostavitve, delovanja in vzdrževanja infrastrukture in tehničnih sredstev, ki omogočajo varen dostop do informacij iz odstavka 1 tega člena, krije EJT.</w:t>
            </w:r>
          </w:p>
        </w:tc>
        <w:tc>
          <w:tcPr>
            <w:tcW w:w="4876" w:type="dxa"/>
          </w:tcPr>
          <w:p w:rsidR="007F5C8D" w:rsidRPr="007D38BF" w:rsidP="00495A96" w14:paraId="7954FBA5" w14:textId="77777777">
            <w:pPr>
              <w:pStyle w:val="Normal6"/>
              <w:rPr>
                <w:szCs w:val="24"/>
              </w:rPr>
            </w:pPr>
            <w:r w:rsidRPr="007D38BF">
              <w:rPr>
                <w:b/>
                <w:i/>
              </w:rPr>
              <w:t>črtano</w:t>
            </w:r>
          </w:p>
        </w:tc>
      </w:tr>
    </w:tbl>
    <w:p w:rsidR="007F5C8D" w:rsidRPr="007D38BF" w:rsidP="007F5C8D" w14:paraId="56069239" w14:textId="77777777"/>
    <w:p w:rsidR="007F5C8D" w:rsidRPr="007D38BF" w:rsidP="007F5C8D" w14:paraId="5524815A" w14:textId="5F6ACFC0">
      <w:pPr>
        <w:pStyle w:val="AmNumberTabs"/>
      </w:pPr>
      <w:r w:rsidRPr="007D38BF">
        <w:t>Sprememba</w:t>
      </w:r>
      <w:r w:rsidRPr="007D38BF">
        <w:tab/>
      </w:r>
      <w:r w:rsidRPr="007D38BF">
        <w:tab/>
        <w:t>31</w:t>
      </w:r>
    </w:p>
    <w:p w:rsidR="007F5C8D" w:rsidRPr="007D38BF" w:rsidP="007F5C8D" w14:paraId="74834211" w14:textId="77777777">
      <w:pPr>
        <w:pStyle w:val="NormalBold12b"/>
      </w:pPr>
      <w:r w:rsidRPr="007D38BF">
        <w:t>Predlog uredbe</w:t>
      </w:r>
    </w:p>
    <w:p w:rsidR="007F5C8D" w:rsidRPr="007D38BF" w:rsidP="007F5C8D" w14:paraId="6A8A875A" w14:textId="77777777">
      <w:pPr>
        <w:pStyle w:val="NormalBold"/>
      </w:pPr>
      <w:r w:rsidRPr="007D38BF">
        <w:t>Člen 1 – odstavek 1 – točka 5</w:t>
      </w:r>
    </w:p>
    <w:p w:rsidR="007F5C8D" w:rsidRPr="007D38BF" w:rsidP="007F5C8D" w14:paraId="5F77673A" w14:textId="77777777">
      <w:r w:rsidRPr="007D38BF">
        <w:t>Uredba (EU) št. 904/2010</w:t>
      </w:r>
    </w:p>
    <w:p w:rsidR="007F5C8D" w:rsidRPr="007D38BF" w:rsidP="007F5C8D" w14:paraId="02C00C9E" w14:textId="77777777">
      <w:r w:rsidRPr="007D38BF">
        <w:t>Člen 49a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47FAB0"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1CB0B622" w14:textId="77777777"/>
        </w:tc>
      </w:tr>
      <w:tr w14:paraId="1E81E6CD"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5E691597"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006E3207" w14:textId="5F3AE920">
            <w:pPr>
              <w:pStyle w:val="AmColumnHeading"/>
            </w:pPr>
            <w:r w:rsidRPr="007D38BF">
              <w:t>Sprememba</w:t>
            </w:r>
          </w:p>
        </w:tc>
      </w:tr>
      <w:tr w14:paraId="7F917929"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787FF90C" w14:textId="77777777">
            <w:pPr>
              <w:pStyle w:val="Normal6a"/>
            </w:pPr>
          </w:p>
        </w:tc>
        <w:tc>
          <w:tcPr>
            <w:tcW w:w="4876" w:type="dxa"/>
            <w:tcBorders>
              <w:top w:val="nil"/>
              <w:left w:val="nil"/>
              <w:bottom w:val="nil"/>
              <w:right w:val="nil"/>
            </w:tcBorders>
          </w:tcPr>
          <w:p w:rsidR="007F5C8D" w:rsidRPr="007D38BF" w:rsidP="00495A96" w14:paraId="60823E00" w14:textId="77777777">
            <w:pPr>
              <w:pStyle w:val="Normal6a"/>
            </w:pPr>
            <w:r w:rsidRPr="007D38BF">
              <w:rPr>
                <w:b/>
                <w:i/>
              </w:rPr>
              <w:t>5a.</w:t>
            </w:r>
            <w:r w:rsidRPr="007D38BF">
              <w:tab/>
            </w:r>
            <w:r w:rsidRPr="007D38BF">
              <w:rPr>
                <w:b/>
                <w:i/>
              </w:rPr>
              <w:t>Vse uporabnike zavezujejo pravila o zaupnosti iz te uredbe. Postopki izmenjave informacij in dostopa do podatkov se izvajajo v skladu z Uredbama (EU) 2016/679 in (EU) 2018/1725 Evropskega parlamenta in Sveta ter ob upoštevanju Listine Evropske unije o temeljnih pravicah.</w:t>
            </w:r>
          </w:p>
        </w:tc>
      </w:tr>
    </w:tbl>
    <w:p w:rsidR="007F5C8D" w:rsidRPr="007D38BF" w:rsidP="007F5C8D" w14:paraId="0AE22112" w14:textId="77777777"/>
    <w:p w:rsidR="007F5C8D" w:rsidRPr="007D38BF" w:rsidP="007F5C8D" w14:paraId="201B56BB" w14:textId="2E534EF7">
      <w:pPr>
        <w:pStyle w:val="AmNumberTabs"/>
      </w:pPr>
      <w:r w:rsidRPr="007D38BF">
        <w:t>Sprememba</w:t>
      </w:r>
      <w:r w:rsidRPr="007D38BF">
        <w:tab/>
      </w:r>
      <w:r w:rsidRPr="007D38BF">
        <w:tab/>
        <w:t>32</w:t>
      </w:r>
    </w:p>
    <w:p w:rsidR="007F5C8D" w:rsidRPr="007D38BF" w:rsidP="007F5C8D" w14:paraId="53DAF755" w14:textId="77777777">
      <w:pPr>
        <w:pStyle w:val="NormalBold12b"/>
      </w:pPr>
      <w:r w:rsidRPr="007D38BF">
        <w:t>Predlog uredbe</w:t>
      </w:r>
    </w:p>
    <w:p w:rsidR="007F5C8D" w:rsidRPr="007D38BF" w:rsidP="007F5C8D" w14:paraId="124F68F3" w14:textId="77777777">
      <w:pPr>
        <w:pStyle w:val="NormalBold"/>
      </w:pPr>
      <w:r w:rsidRPr="007D38BF">
        <w:t>Člen 1 – odstavek 1 – točka 5</w:t>
      </w:r>
    </w:p>
    <w:p w:rsidR="007F5C8D" w:rsidRPr="007D38BF" w:rsidP="007F5C8D" w14:paraId="0B79E96E" w14:textId="77777777">
      <w:r w:rsidRPr="007D38BF">
        <w:t xml:space="preserve"> Uredba (EU) št. 904/2010</w:t>
      </w:r>
    </w:p>
    <w:p w:rsidR="007F5C8D" w:rsidRPr="007D38BF" w:rsidP="007F5C8D" w14:paraId="5EFCC872" w14:textId="77777777">
      <w:r w:rsidRPr="007D38BF">
        <w:t>Člen 49a – odstavek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BDA4E"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22A2B30E" w14:textId="77777777"/>
        </w:tc>
      </w:tr>
      <w:tr w14:paraId="0DA50FBD"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7FB2C157"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07B0331A" w14:textId="7448C281">
            <w:pPr>
              <w:pStyle w:val="AmColumnHeading"/>
            </w:pPr>
            <w:r w:rsidRPr="007D38BF">
              <w:t>Sprememba</w:t>
            </w:r>
          </w:p>
        </w:tc>
      </w:tr>
      <w:tr w14:paraId="32778F6A"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10598E58" w14:textId="77777777">
            <w:pPr>
              <w:pStyle w:val="Normal6a"/>
            </w:pPr>
          </w:p>
        </w:tc>
        <w:tc>
          <w:tcPr>
            <w:tcW w:w="4876" w:type="dxa"/>
            <w:tcBorders>
              <w:top w:val="nil"/>
              <w:left w:val="nil"/>
              <w:bottom w:val="nil"/>
              <w:right w:val="nil"/>
            </w:tcBorders>
          </w:tcPr>
          <w:p w:rsidR="007F5C8D" w:rsidRPr="007D38BF" w:rsidP="00495A96" w14:paraId="56B680C9" w14:textId="77777777">
            <w:pPr>
              <w:pStyle w:val="Normal6a"/>
            </w:pPr>
            <w:r w:rsidRPr="007D38BF">
              <w:rPr>
                <w:b/>
                <w:i/>
              </w:rPr>
              <w:t>5b.</w:t>
            </w:r>
            <w:r w:rsidRPr="007D38BF">
              <w:tab/>
            </w:r>
            <w:r w:rsidRPr="007D38BF">
              <w:rPr>
                <w:b/>
                <w:i/>
              </w:rPr>
              <w:t>Sistemi, ki omogočajo centraliziran dostop iz odstavka 1, so zasnovani tako, da zagotavljajo popolno interoperabilnost s sistemi, ki jih uporabljajo ustrezni organi Unije, da se olajšajo učinkovite in varne izmenjave informacij ter zmanjšajo upravna bremena.</w:t>
            </w:r>
          </w:p>
        </w:tc>
      </w:tr>
    </w:tbl>
    <w:p w:rsidR="007F5C8D" w:rsidRPr="007D38BF" w:rsidP="007F5C8D" w14:paraId="2FC59AAB" w14:textId="77777777"/>
    <w:p w:rsidR="007F5C8D" w:rsidRPr="007D38BF" w:rsidP="007F5C8D" w14:paraId="4ACB5EB3" w14:textId="00B5FFBE">
      <w:pPr>
        <w:pStyle w:val="AmNumberTabs"/>
      </w:pPr>
      <w:r w:rsidRPr="007D38BF">
        <w:t>Sprememba</w:t>
      </w:r>
      <w:r w:rsidRPr="007D38BF">
        <w:tab/>
      </w:r>
      <w:r w:rsidRPr="007D38BF">
        <w:tab/>
        <w:t>33</w:t>
      </w:r>
    </w:p>
    <w:p w:rsidR="007F5C8D" w:rsidRPr="007D38BF" w:rsidP="007F5C8D" w14:paraId="76FCC4ED" w14:textId="77777777">
      <w:pPr>
        <w:pStyle w:val="NormalBold12b"/>
      </w:pPr>
      <w:r w:rsidRPr="007D38BF">
        <w:t>Predlog uredbe</w:t>
      </w:r>
    </w:p>
    <w:p w:rsidR="007F5C8D" w:rsidRPr="007D38BF" w:rsidP="007F5C8D" w14:paraId="5A1BB860" w14:textId="77777777">
      <w:pPr>
        <w:pStyle w:val="NormalBold"/>
      </w:pPr>
      <w:r w:rsidRPr="007D38BF">
        <w:t>Člen 1 – odstavek 1 – točka 5</w:t>
      </w:r>
    </w:p>
    <w:p w:rsidR="007F5C8D" w:rsidRPr="007D38BF" w:rsidP="007F5C8D" w14:paraId="747D1383" w14:textId="77777777">
      <w:r w:rsidRPr="007D38BF">
        <w:t xml:space="preserve"> Uredba (EU) št. 904/2010</w:t>
      </w:r>
    </w:p>
    <w:p w:rsidR="007F5C8D" w:rsidRPr="007D38BF" w:rsidP="007F5C8D" w14:paraId="7D628438" w14:textId="77777777">
      <w:r w:rsidRPr="007D38BF">
        <w:t>Člen 49a – odstavek 5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357BF"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47774D75" w14:textId="77777777"/>
        </w:tc>
      </w:tr>
      <w:tr w14:paraId="2333BA97"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1AAA16DA"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0A3B6238" w14:textId="43188F6C">
            <w:pPr>
              <w:pStyle w:val="AmColumnHeading"/>
            </w:pPr>
            <w:r w:rsidRPr="007D38BF">
              <w:t>Sprememba</w:t>
            </w:r>
          </w:p>
        </w:tc>
      </w:tr>
      <w:tr w14:paraId="53126C6D"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1289E7D5" w14:textId="77777777">
            <w:pPr>
              <w:pStyle w:val="Normal6a"/>
            </w:pPr>
          </w:p>
        </w:tc>
        <w:tc>
          <w:tcPr>
            <w:tcW w:w="4876" w:type="dxa"/>
            <w:tcBorders>
              <w:top w:val="nil"/>
              <w:left w:val="nil"/>
              <w:bottom w:val="nil"/>
              <w:right w:val="nil"/>
            </w:tcBorders>
          </w:tcPr>
          <w:p w:rsidR="007F5C8D" w:rsidRPr="007D38BF" w:rsidP="00495A96" w14:paraId="4F8F99F7" w14:textId="77777777">
            <w:pPr>
              <w:pStyle w:val="Normal6a"/>
            </w:pPr>
            <w:r w:rsidRPr="007D38BF">
              <w:rPr>
                <w:b/>
                <w:i/>
              </w:rPr>
              <w:t>5c.</w:t>
            </w:r>
            <w:r w:rsidRPr="007D38BF">
              <w:tab/>
            </w:r>
            <w:r w:rsidRPr="007D38BF">
              <w:rPr>
                <w:b/>
                <w:i/>
              </w:rPr>
              <w:t>Komisija v tesnem sodelovanju z EJT oceni potrebo po dodatnem financiranju Unije za podporo razvoju interoperabilnih informacijskih sistemov, digitalnih orodij in specializiranega osebja.</w:t>
            </w:r>
          </w:p>
        </w:tc>
      </w:tr>
    </w:tbl>
    <w:p w:rsidR="007F5C8D" w:rsidRPr="007D38BF" w:rsidP="007F5C8D" w14:paraId="04D66752" w14:textId="77777777"/>
    <w:p w:rsidR="007F5C8D" w:rsidRPr="007D38BF" w:rsidP="007F5C8D" w14:paraId="30466079" w14:textId="45CA2B32">
      <w:pPr>
        <w:pStyle w:val="AmNumberTabs"/>
      </w:pPr>
      <w:r w:rsidRPr="007D38BF">
        <w:t>Sprememba</w:t>
      </w:r>
      <w:r w:rsidRPr="007D38BF">
        <w:tab/>
      </w:r>
      <w:r w:rsidRPr="007D38BF">
        <w:tab/>
        <w:t>34</w:t>
      </w:r>
    </w:p>
    <w:p w:rsidR="007F5C8D" w:rsidRPr="007D38BF" w:rsidP="007F5C8D" w14:paraId="16EFD7D4" w14:textId="77777777">
      <w:pPr>
        <w:pStyle w:val="NormalBold12b"/>
      </w:pPr>
      <w:r w:rsidRPr="007D38BF">
        <w:t>Predlog uredbe</w:t>
      </w:r>
    </w:p>
    <w:p w:rsidR="007F5C8D" w:rsidRPr="007D38BF" w:rsidP="007F5C8D" w14:paraId="0A3799A4" w14:textId="77777777">
      <w:pPr>
        <w:pStyle w:val="NormalBold"/>
      </w:pPr>
      <w:r w:rsidRPr="007D38BF">
        <w:t>Člen 1 – odstavek 1 – točka 5</w:t>
      </w:r>
    </w:p>
    <w:p w:rsidR="007F5C8D" w:rsidRPr="007D38BF" w:rsidP="007F5C8D" w14:paraId="120DCFD8" w14:textId="77777777">
      <w:pPr>
        <w:keepNext/>
      </w:pPr>
      <w:r w:rsidRPr="007D38BF">
        <w:t xml:space="preserve"> Uredba (EU) št. 904/2010</w:t>
      </w:r>
    </w:p>
    <w:p w:rsidR="007F5C8D" w:rsidRPr="007D38BF" w:rsidP="007F5C8D" w14:paraId="36EB4BD7" w14:textId="77777777">
      <w:r w:rsidRPr="007D38BF">
        <w:t>Člen 49a – odstavek 5 d (novo)</w:t>
      </w:r>
    </w:p>
    <w:tbl>
      <w:tblPr>
        <w:tblW w:w="0" w:type="auto"/>
        <w:jc w:val="center"/>
        <w:tblLayout w:type="fixed"/>
        <w:tblCellMar>
          <w:left w:w="340" w:type="dxa"/>
          <w:right w:w="340" w:type="dxa"/>
        </w:tblCellMar>
        <w:tblLook w:val="0000"/>
      </w:tblPr>
      <w:tblGrid>
        <w:gridCol w:w="4876"/>
        <w:gridCol w:w="4876"/>
      </w:tblGrid>
      <w:tr w14:paraId="725066D2" w14:textId="77777777" w:rsidTr="00495A96">
        <w:tblPrEx>
          <w:tblW w:w="0" w:type="auto"/>
          <w:jc w:val="center"/>
          <w:tblLayout w:type="fixed"/>
          <w:tblLook w:val="0000"/>
        </w:tblPrEx>
        <w:trPr>
          <w:jc w:val="center"/>
        </w:trPr>
        <w:tc>
          <w:tcPr>
            <w:tcW w:w="9752" w:type="dxa"/>
            <w:gridSpan w:val="2"/>
          </w:tcPr>
          <w:p w:rsidR="007F5C8D" w:rsidRPr="007D38BF" w:rsidP="00495A96" w14:paraId="7BC93DAF" w14:textId="77777777">
            <w:pPr>
              <w:keepNext/>
            </w:pPr>
          </w:p>
        </w:tc>
      </w:tr>
      <w:tr w14:paraId="3D51D633" w14:textId="77777777" w:rsidTr="00495A96">
        <w:tblPrEx>
          <w:tblW w:w="0" w:type="auto"/>
          <w:jc w:val="center"/>
          <w:tblLayout w:type="fixed"/>
          <w:tblLook w:val="0000"/>
        </w:tblPrEx>
        <w:trPr>
          <w:jc w:val="center"/>
        </w:trPr>
        <w:tc>
          <w:tcPr>
            <w:tcW w:w="4876" w:type="dxa"/>
          </w:tcPr>
          <w:p w:rsidR="007F5C8D" w:rsidRPr="007D38BF" w:rsidP="00495A96" w14:paraId="1185770F" w14:textId="77777777">
            <w:pPr>
              <w:pStyle w:val="ColumnHeading"/>
              <w:keepNext/>
            </w:pPr>
            <w:r w:rsidRPr="007D38BF">
              <w:t>Besedilo, ki ga predlaga Komisija</w:t>
            </w:r>
          </w:p>
        </w:tc>
        <w:tc>
          <w:tcPr>
            <w:tcW w:w="4876" w:type="dxa"/>
          </w:tcPr>
          <w:p w:rsidR="007F5C8D" w:rsidRPr="007D38BF" w:rsidP="00495A96" w14:paraId="48353C29" w14:textId="164F91D1">
            <w:pPr>
              <w:pStyle w:val="ColumnHeading"/>
              <w:keepNext/>
            </w:pPr>
            <w:r w:rsidRPr="007D38BF">
              <w:t>Sprememba</w:t>
            </w:r>
          </w:p>
        </w:tc>
      </w:tr>
      <w:tr w14:paraId="50B9004B" w14:textId="77777777" w:rsidTr="00495A96">
        <w:tblPrEx>
          <w:tblW w:w="0" w:type="auto"/>
          <w:jc w:val="center"/>
          <w:tblLayout w:type="fixed"/>
          <w:tblLook w:val="0000"/>
        </w:tblPrEx>
        <w:trPr>
          <w:jc w:val="center"/>
        </w:trPr>
        <w:tc>
          <w:tcPr>
            <w:tcW w:w="4876" w:type="dxa"/>
          </w:tcPr>
          <w:p w:rsidR="007F5C8D" w:rsidRPr="007D38BF" w:rsidP="00495A96" w14:paraId="07932C30" w14:textId="77777777">
            <w:pPr>
              <w:pStyle w:val="Normal6"/>
            </w:pPr>
          </w:p>
        </w:tc>
        <w:tc>
          <w:tcPr>
            <w:tcW w:w="4876" w:type="dxa"/>
          </w:tcPr>
          <w:p w:rsidR="007F5C8D" w:rsidRPr="007D38BF" w:rsidP="00495A96" w14:paraId="3412CFC1" w14:textId="77777777">
            <w:pPr>
              <w:pStyle w:val="Normal6"/>
              <w:rPr>
                <w:szCs w:val="24"/>
              </w:rPr>
            </w:pPr>
            <w:r w:rsidRPr="007D38BF">
              <w:rPr>
                <w:b/>
                <w:i/>
              </w:rPr>
              <w:t>5d.</w:t>
            </w:r>
            <w:r w:rsidRPr="007D38BF">
              <w:rPr>
                <w:b/>
                <w:i/>
              </w:rPr>
              <w:tab/>
              <w:t>Kadar na podlagi posredovanja carinskih organov na lastno pobudo v skladu s členom 13a EJT prejme osebne podatke, se uporabljajo naslednja pravila:</w:t>
            </w:r>
          </w:p>
        </w:tc>
      </w:tr>
      <w:tr w14:paraId="509B6C3C" w14:textId="77777777" w:rsidTr="00495A96">
        <w:tblPrEx>
          <w:tblW w:w="0" w:type="auto"/>
          <w:jc w:val="center"/>
          <w:tblLayout w:type="fixed"/>
          <w:tblLook w:val="0000"/>
        </w:tblPrEx>
        <w:trPr>
          <w:jc w:val="center"/>
        </w:trPr>
        <w:tc>
          <w:tcPr>
            <w:tcW w:w="4876" w:type="dxa"/>
          </w:tcPr>
          <w:p w:rsidR="007F5C8D" w:rsidRPr="007D38BF" w:rsidP="00495A96" w14:paraId="644D2DA3" w14:textId="77777777">
            <w:pPr>
              <w:pStyle w:val="Normal6"/>
            </w:pPr>
          </w:p>
        </w:tc>
        <w:tc>
          <w:tcPr>
            <w:tcW w:w="4876" w:type="dxa"/>
          </w:tcPr>
          <w:p w:rsidR="007F5C8D" w:rsidRPr="007D38BF" w:rsidP="00495A96" w14:paraId="7FDCB1BC" w14:textId="77777777">
            <w:pPr>
              <w:pStyle w:val="Normal6"/>
              <w:rPr>
                <w:szCs w:val="24"/>
              </w:rPr>
            </w:pPr>
            <w:r w:rsidRPr="007D38BF">
              <w:rPr>
                <w:b/>
                <w:i/>
              </w:rPr>
              <w:t>(a)</w:t>
            </w:r>
            <w:r w:rsidRPr="007D38BF">
              <w:rPr>
                <w:b/>
                <w:i/>
              </w:rPr>
              <w:tab/>
              <w:t>podatki se lahko obdelujejo izključno za namene ocenjevanja, ali naj se začne ali izvede preiskava v okviru mandata EJT na podlagi člena 4 Uredbe (EU) 2017/1939;</w:t>
            </w:r>
          </w:p>
        </w:tc>
      </w:tr>
      <w:tr w14:paraId="196BFB25" w14:textId="77777777" w:rsidTr="00495A96">
        <w:tblPrEx>
          <w:tblW w:w="0" w:type="auto"/>
          <w:jc w:val="center"/>
          <w:tblLayout w:type="fixed"/>
          <w:tblLook w:val="0000"/>
        </w:tblPrEx>
        <w:trPr>
          <w:jc w:val="center"/>
        </w:trPr>
        <w:tc>
          <w:tcPr>
            <w:tcW w:w="4876" w:type="dxa"/>
          </w:tcPr>
          <w:p w:rsidR="007F5C8D" w:rsidRPr="007D38BF" w:rsidP="00495A96" w14:paraId="75942C36" w14:textId="77777777">
            <w:pPr>
              <w:pStyle w:val="Normal6"/>
            </w:pPr>
          </w:p>
        </w:tc>
        <w:tc>
          <w:tcPr>
            <w:tcW w:w="4876" w:type="dxa"/>
          </w:tcPr>
          <w:p w:rsidR="007F5C8D" w:rsidRPr="007D38BF" w:rsidP="00495A96" w14:paraId="5070FB78" w14:textId="77777777">
            <w:pPr>
              <w:pStyle w:val="Normal6"/>
              <w:rPr>
                <w:szCs w:val="24"/>
              </w:rPr>
            </w:pPr>
            <w:r w:rsidRPr="007D38BF">
              <w:rPr>
                <w:b/>
                <w:i/>
              </w:rPr>
              <w:t>(b)</w:t>
            </w:r>
            <w:r w:rsidRPr="007D38BF">
              <w:rPr>
                <w:b/>
                <w:i/>
              </w:rPr>
              <w:tab/>
              <w:t xml:space="preserve">če EJT v 90 dneh po prejemu ugotovi, da podatki niso relevantni za nobeno preiskavo v okviru njegovega </w:t>
            </w:r>
            <w:r w:rsidRPr="007D38BF">
              <w:rPr>
                <w:b/>
                <w:i/>
              </w:rPr>
              <w:t>mandata, jih izbriše in o tem uradno obvesti organ, ki jih je posredoval;</w:t>
            </w:r>
          </w:p>
        </w:tc>
      </w:tr>
      <w:tr w14:paraId="7B46309F" w14:textId="77777777" w:rsidTr="00495A96">
        <w:tblPrEx>
          <w:tblW w:w="0" w:type="auto"/>
          <w:jc w:val="center"/>
          <w:tblLayout w:type="fixed"/>
          <w:tblLook w:val="0000"/>
        </w:tblPrEx>
        <w:trPr>
          <w:jc w:val="center"/>
        </w:trPr>
        <w:tc>
          <w:tcPr>
            <w:tcW w:w="4876" w:type="dxa"/>
          </w:tcPr>
          <w:p w:rsidR="007F5C8D" w:rsidRPr="007D38BF" w:rsidP="00495A96" w14:paraId="5E8E7808" w14:textId="77777777">
            <w:pPr>
              <w:pStyle w:val="Normal6"/>
            </w:pPr>
          </w:p>
        </w:tc>
        <w:tc>
          <w:tcPr>
            <w:tcW w:w="4876" w:type="dxa"/>
          </w:tcPr>
          <w:p w:rsidR="007F5C8D" w:rsidRPr="007D38BF" w:rsidP="00495A96" w14:paraId="1A9FB096" w14:textId="77777777">
            <w:pPr>
              <w:pStyle w:val="Normal6"/>
              <w:rPr>
                <w:szCs w:val="24"/>
              </w:rPr>
            </w:pPr>
            <w:r w:rsidRPr="007D38BF">
              <w:rPr>
                <w:b/>
                <w:i/>
              </w:rPr>
              <w:t>(c)</w:t>
            </w:r>
            <w:r w:rsidRPr="007D38BF">
              <w:rPr>
                <w:b/>
                <w:i/>
              </w:rPr>
              <w:tab/>
              <w:t>kadar EJT preiskavo začne na podlagi posredovanih podatkov, se o tem uradno obvesti carinski organ, ki je podatke posredoval, ter se mu omogoči, da svojo oceno sporoči EJT in Evropskemu nadzorniku za varstvo podatkov, če meni, da obdelava presega to, kar je potrebno;</w:t>
            </w:r>
          </w:p>
        </w:tc>
      </w:tr>
      <w:tr w14:paraId="0E9A73CF" w14:textId="77777777" w:rsidTr="00495A96">
        <w:tblPrEx>
          <w:tblW w:w="0" w:type="auto"/>
          <w:jc w:val="center"/>
          <w:tblLayout w:type="fixed"/>
          <w:tblLook w:val="0000"/>
        </w:tblPrEx>
        <w:trPr>
          <w:jc w:val="center"/>
        </w:trPr>
        <w:tc>
          <w:tcPr>
            <w:tcW w:w="4876" w:type="dxa"/>
          </w:tcPr>
          <w:p w:rsidR="007F5C8D" w:rsidRPr="007D38BF" w:rsidP="00495A96" w14:paraId="4EC44490" w14:textId="77777777">
            <w:pPr>
              <w:pStyle w:val="Normal6"/>
            </w:pPr>
          </w:p>
        </w:tc>
        <w:tc>
          <w:tcPr>
            <w:tcW w:w="4876" w:type="dxa"/>
          </w:tcPr>
          <w:p w:rsidR="007F5C8D" w:rsidRPr="007D38BF" w:rsidP="00495A96" w14:paraId="5A872B71" w14:textId="248E2C16">
            <w:pPr>
              <w:pStyle w:val="Normal6"/>
              <w:rPr>
                <w:szCs w:val="24"/>
              </w:rPr>
            </w:pPr>
            <w:r w:rsidRPr="007D38BF">
              <w:rPr>
                <w:b/>
                <w:i/>
              </w:rPr>
              <w:t>(d)</w:t>
            </w:r>
            <w:r w:rsidRPr="007D38BF">
              <w:rPr>
                <w:b/>
                <w:i/>
              </w:rPr>
              <w:tab/>
            </w:r>
            <w:r w:rsidRPr="007D38BF" w:rsidR="00DF1C27">
              <w:rPr>
                <w:b/>
                <w:i/>
              </w:rPr>
              <w:t>u</w:t>
            </w:r>
            <w:r w:rsidRPr="007D38BF">
              <w:rPr>
                <w:b/>
                <w:i/>
              </w:rPr>
              <w:t>porabljajo se pravila o varstvu podatkov iz poglavja VIII Uredbe (EU) 2017/1939.“</w:t>
            </w:r>
          </w:p>
        </w:tc>
      </w:tr>
    </w:tbl>
    <w:p w:rsidR="007F5C8D" w:rsidRPr="007D38BF" w:rsidP="007F5C8D" w14:paraId="565972F0" w14:textId="778E465C">
      <w:pPr>
        <w:pStyle w:val="AmNumberTabs"/>
      </w:pPr>
      <w:r w:rsidRPr="007D38BF">
        <w:t>Sprememba</w:t>
      </w:r>
      <w:r w:rsidRPr="007D38BF">
        <w:tab/>
      </w:r>
      <w:r w:rsidRPr="007D38BF">
        <w:tab/>
        <w:t>35</w:t>
      </w:r>
    </w:p>
    <w:p w:rsidR="007F5C8D" w:rsidRPr="007D38BF" w:rsidP="007F5C8D" w14:paraId="409B3781" w14:textId="77777777">
      <w:pPr>
        <w:pStyle w:val="NormalBold12b"/>
      </w:pPr>
      <w:r w:rsidRPr="007D38BF">
        <w:t>Predlog uredbe</w:t>
      </w:r>
    </w:p>
    <w:p w:rsidR="007F5C8D" w:rsidRPr="007D38BF" w:rsidP="007F5C8D" w14:paraId="1DAD334C" w14:textId="77777777">
      <w:pPr>
        <w:pStyle w:val="NormalBold"/>
      </w:pPr>
      <w:r w:rsidRPr="007D38BF">
        <w:t>Člen 1 – odstavek 1 – točka 5</w:t>
      </w:r>
    </w:p>
    <w:p w:rsidR="007F5C8D" w:rsidRPr="007D38BF" w:rsidP="007F5C8D" w14:paraId="18959F83" w14:textId="77777777">
      <w:r w:rsidRPr="007D38BF">
        <w:t>Uredba (EU) št. 904/2010</w:t>
      </w:r>
    </w:p>
    <w:p w:rsidR="007F5C8D" w:rsidRPr="007D38BF" w:rsidP="007F5C8D" w14:paraId="3F152135" w14:textId="77777777">
      <w:r w:rsidRPr="007D38BF">
        <w:t>Člen 49b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675E2"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28A7C612" w14:textId="77777777"/>
        </w:tc>
      </w:tr>
      <w:tr w14:paraId="6ED99B53"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40C534AC"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68826E98" w14:textId="0D1C2947">
            <w:pPr>
              <w:pStyle w:val="AmColumnHeading"/>
            </w:pPr>
            <w:r w:rsidRPr="007D38BF">
              <w:t>Sprememba</w:t>
            </w:r>
          </w:p>
        </w:tc>
      </w:tr>
      <w:tr w14:paraId="6FCEA252"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2D28C4C0" w14:textId="77777777">
            <w:pPr>
              <w:pStyle w:val="Normal6a"/>
            </w:pPr>
            <w:r w:rsidRPr="007D38BF">
              <w:t>1.</w:t>
            </w:r>
            <w:r w:rsidRPr="007D38BF">
              <w:tab/>
              <w:t>Pristojni organi držav članic uradu OLAF za namene ciljno usmerjenega iskanja odobrijo centraliziran dostop do naslednjih informacij:</w:t>
            </w:r>
          </w:p>
        </w:tc>
        <w:tc>
          <w:tcPr>
            <w:tcW w:w="4876" w:type="dxa"/>
            <w:tcBorders>
              <w:top w:val="nil"/>
              <w:left w:val="nil"/>
              <w:bottom w:val="nil"/>
              <w:right w:val="nil"/>
            </w:tcBorders>
          </w:tcPr>
          <w:p w:rsidR="007F5C8D" w:rsidRPr="007D38BF" w:rsidP="00495A96" w14:paraId="1010CE7F" w14:textId="77777777">
            <w:pPr>
              <w:pStyle w:val="Normal6a"/>
            </w:pPr>
            <w:r w:rsidRPr="007D38BF">
              <w:t>1.</w:t>
            </w:r>
            <w:r w:rsidRPr="007D38BF">
              <w:tab/>
              <w:t>Pristojni organi držav članic uradu OLAF za namene ciljno usmerjenega iskanja odobrijo centraliziran dostop do naslednjih informacij</w:t>
            </w:r>
            <w:r w:rsidRPr="007D38BF">
              <w:rPr>
                <w:b/>
                <w:i/>
              </w:rPr>
              <w:t>, ki pa je omejen na to, kar je potrebno za izvajanje njegovega mandata</w:t>
            </w:r>
            <w:r w:rsidRPr="007D38BF">
              <w:t>:</w:t>
            </w:r>
          </w:p>
        </w:tc>
      </w:tr>
    </w:tbl>
    <w:p w:rsidR="007F5C8D" w:rsidRPr="007D38BF" w:rsidP="007F5C8D" w14:paraId="653608DE" w14:textId="77777777"/>
    <w:p w:rsidR="007F5C8D" w:rsidRPr="007D38BF" w:rsidP="007F5C8D" w14:paraId="64FF07D6" w14:textId="146465AF">
      <w:pPr>
        <w:pStyle w:val="AmNumberTabs"/>
      </w:pPr>
      <w:r w:rsidRPr="007D38BF">
        <w:t>Sprememba</w:t>
      </w:r>
      <w:r w:rsidRPr="007D38BF">
        <w:tab/>
      </w:r>
      <w:r w:rsidRPr="007D38BF">
        <w:tab/>
        <w:t>36</w:t>
      </w:r>
    </w:p>
    <w:p w:rsidR="007F5C8D" w:rsidRPr="007D38BF" w:rsidP="007F5C8D" w14:paraId="26DC78C2" w14:textId="77777777">
      <w:pPr>
        <w:pStyle w:val="NormalBold12b"/>
      </w:pPr>
      <w:r w:rsidRPr="007D38BF">
        <w:t>Predlog uredbe</w:t>
      </w:r>
    </w:p>
    <w:p w:rsidR="007F5C8D" w:rsidRPr="007D38BF" w:rsidP="007F5C8D" w14:paraId="7311600C" w14:textId="77777777">
      <w:pPr>
        <w:pStyle w:val="NormalBold"/>
      </w:pPr>
      <w:r w:rsidRPr="007D38BF">
        <w:t>Člen 1 – odstavek 1 – točka 5</w:t>
      </w:r>
    </w:p>
    <w:p w:rsidR="007F5C8D" w:rsidRPr="007D38BF" w:rsidP="007F5C8D" w14:paraId="7C9EA7B0" w14:textId="77777777">
      <w:pPr>
        <w:keepNext/>
      </w:pPr>
      <w:r w:rsidRPr="007D38BF">
        <w:t>Uredba (EU) št. 904/2010</w:t>
      </w:r>
    </w:p>
    <w:p w:rsidR="007F5C8D" w:rsidRPr="007D38BF" w:rsidP="007F5C8D" w14:paraId="6D940A8A" w14:textId="77777777">
      <w:r w:rsidRPr="007D38BF">
        <w:t>Člen 49b – odstavek 1 – točka b</w:t>
      </w:r>
    </w:p>
    <w:tbl>
      <w:tblPr>
        <w:tblW w:w="0" w:type="auto"/>
        <w:jc w:val="center"/>
        <w:tblLayout w:type="fixed"/>
        <w:tblCellMar>
          <w:left w:w="340" w:type="dxa"/>
          <w:right w:w="340" w:type="dxa"/>
        </w:tblCellMar>
        <w:tblLook w:val="0000"/>
      </w:tblPr>
      <w:tblGrid>
        <w:gridCol w:w="4876"/>
        <w:gridCol w:w="4876"/>
      </w:tblGrid>
      <w:tr w14:paraId="3CF670F6" w14:textId="77777777" w:rsidTr="00495A96">
        <w:tblPrEx>
          <w:tblW w:w="0" w:type="auto"/>
          <w:jc w:val="center"/>
          <w:tblLayout w:type="fixed"/>
          <w:tblLook w:val="0000"/>
        </w:tblPrEx>
        <w:trPr>
          <w:jc w:val="center"/>
        </w:trPr>
        <w:tc>
          <w:tcPr>
            <w:tcW w:w="9752" w:type="dxa"/>
            <w:gridSpan w:val="2"/>
          </w:tcPr>
          <w:p w:rsidR="007F5C8D" w:rsidRPr="007D38BF" w:rsidP="00495A96" w14:paraId="636536DC" w14:textId="77777777">
            <w:pPr>
              <w:keepNext/>
            </w:pPr>
          </w:p>
        </w:tc>
      </w:tr>
      <w:tr w14:paraId="04CBC5A8" w14:textId="77777777" w:rsidTr="00495A96">
        <w:tblPrEx>
          <w:tblW w:w="0" w:type="auto"/>
          <w:jc w:val="center"/>
          <w:tblLayout w:type="fixed"/>
          <w:tblLook w:val="0000"/>
        </w:tblPrEx>
        <w:trPr>
          <w:jc w:val="center"/>
        </w:trPr>
        <w:tc>
          <w:tcPr>
            <w:tcW w:w="4876" w:type="dxa"/>
          </w:tcPr>
          <w:p w:rsidR="007F5C8D" w:rsidRPr="007D38BF" w:rsidP="00495A96" w14:paraId="55585B71" w14:textId="77777777">
            <w:pPr>
              <w:pStyle w:val="ColumnHeading"/>
              <w:keepNext/>
            </w:pPr>
            <w:r w:rsidRPr="007D38BF">
              <w:t>Besedilo, ki ga predlaga Komisija</w:t>
            </w:r>
          </w:p>
        </w:tc>
        <w:tc>
          <w:tcPr>
            <w:tcW w:w="4876" w:type="dxa"/>
          </w:tcPr>
          <w:p w:rsidR="007F5C8D" w:rsidRPr="007D38BF" w:rsidP="00495A96" w14:paraId="39B8E23B" w14:textId="3C1E4663">
            <w:pPr>
              <w:pStyle w:val="ColumnHeading"/>
              <w:keepNext/>
            </w:pPr>
            <w:r w:rsidRPr="007D38BF">
              <w:t>Sprememba</w:t>
            </w:r>
          </w:p>
        </w:tc>
      </w:tr>
      <w:tr w14:paraId="004D64C4" w14:textId="77777777" w:rsidTr="00495A96">
        <w:tblPrEx>
          <w:tblW w:w="0" w:type="auto"/>
          <w:jc w:val="center"/>
          <w:tblLayout w:type="fixed"/>
          <w:tblLook w:val="0000"/>
        </w:tblPrEx>
        <w:trPr>
          <w:jc w:val="center"/>
        </w:trPr>
        <w:tc>
          <w:tcPr>
            <w:tcW w:w="4876" w:type="dxa"/>
          </w:tcPr>
          <w:p w:rsidR="007F5C8D" w:rsidRPr="007D38BF" w:rsidP="00495A96" w14:paraId="186A77CE" w14:textId="77777777">
            <w:pPr>
              <w:pStyle w:val="Normal6"/>
            </w:pPr>
            <w:r w:rsidRPr="007D38BF">
              <w:t>(b)</w:t>
            </w:r>
            <w:r w:rsidRPr="007D38BF">
              <w:tab/>
              <w:t xml:space="preserve">od 1. septembra 2026 do informacij iz </w:t>
            </w:r>
            <w:r w:rsidRPr="007D38BF">
              <w:rPr>
                <w:b/>
                <w:i/>
              </w:rPr>
              <w:t>člen</w:t>
            </w:r>
            <w:r w:rsidRPr="007D38BF">
              <w:t xml:space="preserve"> 17(1), točki (e) in (f) te uredbe;</w:t>
            </w:r>
          </w:p>
        </w:tc>
        <w:tc>
          <w:tcPr>
            <w:tcW w:w="4876" w:type="dxa"/>
          </w:tcPr>
          <w:p w:rsidR="007F5C8D" w:rsidRPr="007D38BF" w:rsidP="00495A96" w14:paraId="4782CF09" w14:textId="0AC5AF26">
            <w:pPr>
              <w:pStyle w:val="Normal6"/>
              <w:rPr>
                <w:szCs w:val="24"/>
              </w:rPr>
            </w:pPr>
            <w:r w:rsidRPr="007D38BF">
              <w:t>(b)</w:t>
            </w:r>
            <w:r w:rsidRPr="007D38BF">
              <w:tab/>
              <w:t xml:space="preserve">od 1. septembra 2026 do informacij iz </w:t>
            </w:r>
            <w:r w:rsidRPr="007D38BF">
              <w:rPr>
                <w:b/>
                <w:i/>
              </w:rPr>
              <w:t>člena</w:t>
            </w:r>
            <w:r w:rsidRPr="007D38BF">
              <w:t xml:space="preserve"> 17(1), točki (e) in (f)</w:t>
            </w:r>
            <w:r w:rsidRPr="007D38BF" w:rsidR="00DF1C27">
              <w:t>,</w:t>
            </w:r>
            <w:r w:rsidRPr="007D38BF">
              <w:t xml:space="preserve"> te uredbe</w:t>
            </w:r>
            <w:r w:rsidRPr="007D38BF">
              <w:rPr>
                <w:b/>
                <w:i/>
              </w:rPr>
              <w:t>, med drugim tudi do dodatnih podatkovnih elementov, shranjenih na podlagi člena 17(1)</w:t>
            </w:r>
            <w:r w:rsidRPr="007D38BF" w:rsidR="00DF1C27">
              <w:rPr>
                <w:b/>
                <w:i/>
              </w:rPr>
              <w:t xml:space="preserve">, točka </w:t>
            </w:r>
            <w:r w:rsidRPr="007D38BF">
              <w:rPr>
                <w:b/>
                <w:i/>
              </w:rPr>
              <w:t>(f)</w:t>
            </w:r>
            <w:r w:rsidRPr="007D38BF">
              <w:t>;</w:t>
            </w:r>
          </w:p>
        </w:tc>
      </w:tr>
    </w:tbl>
    <w:p w:rsidR="007F5C8D" w:rsidRPr="007D38BF" w:rsidP="007F5C8D" w14:paraId="341F542C" w14:textId="55B03024">
      <w:pPr>
        <w:pStyle w:val="AMNumberTabs0"/>
        <w:keepNext/>
      </w:pPr>
      <w:r w:rsidRPr="007D38BF">
        <w:t>Sprememba</w:t>
      </w:r>
      <w:r w:rsidRPr="007D38BF">
        <w:tab/>
      </w:r>
      <w:r w:rsidRPr="007D38BF">
        <w:tab/>
        <w:t>37</w:t>
      </w:r>
    </w:p>
    <w:p w:rsidR="007F5C8D" w:rsidRPr="007D38BF" w:rsidP="007F5C8D" w14:paraId="30ECF2D4" w14:textId="77777777">
      <w:pPr>
        <w:pStyle w:val="NormalBold12b"/>
        <w:keepNext/>
      </w:pPr>
      <w:r w:rsidRPr="007D38BF">
        <w:t>Predlog uredbe</w:t>
      </w:r>
    </w:p>
    <w:p w:rsidR="007F5C8D" w:rsidRPr="007D38BF" w:rsidP="007F5C8D" w14:paraId="0D2C84E3" w14:textId="77777777">
      <w:pPr>
        <w:pStyle w:val="NormalBold"/>
      </w:pPr>
      <w:r w:rsidRPr="007D38BF">
        <w:t>Člen 1 – odstavek 1 – točka 5</w:t>
      </w:r>
    </w:p>
    <w:p w:rsidR="007F5C8D" w:rsidRPr="007D38BF" w:rsidP="007F5C8D" w14:paraId="7FF2B215" w14:textId="77777777">
      <w:pPr>
        <w:keepNext/>
      </w:pPr>
      <w:r w:rsidRPr="007D38BF">
        <w:t>Uredba (EU) št. 904/2010</w:t>
      </w:r>
    </w:p>
    <w:p w:rsidR="007F5C8D" w:rsidRPr="007D38BF" w:rsidP="007F5C8D" w14:paraId="1CA6C39F" w14:textId="77777777">
      <w:r w:rsidRPr="007D38BF">
        <w:t>Člen 49b – odstavek 2 a (novo)</w:t>
      </w:r>
    </w:p>
    <w:tbl>
      <w:tblPr>
        <w:tblW w:w="0" w:type="auto"/>
        <w:jc w:val="center"/>
        <w:tblLayout w:type="fixed"/>
        <w:tblCellMar>
          <w:left w:w="340" w:type="dxa"/>
          <w:right w:w="340" w:type="dxa"/>
        </w:tblCellMar>
        <w:tblLook w:val="0000"/>
      </w:tblPr>
      <w:tblGrid>
        <w:gridCol w:w="4876"/>
        <w:gridCol w:w="4876"/>
      </w:tblGrid>
      <w:tr w14:paraId="7E538FEE" w14:textId="77777777" w:rsidTr="00495A96">
        <w:tblPrEx>
          <w:tblW w:w="0" w:type="auto"/>
          <w:jc w:val="center"/>
          <w:tblLayout w:type="fixed"/>
          <w:tblLook w:val="0000"/>
        </w:tblPrEx>
        <w:trPr>
          <w:jc w:val="center"/>
        </w:trPr>
        <w:tc>
          <w:tcPr>
            <w:tcW w:w="9752" w:type="dxa"/>
            <w:gridSpan w:val="2"/>
          </w:tcPr>
          <w:p w:rsidR="007F5C8D" w:rsidRPr="007D38BF" w:rsidP="00495A96" w14:paraId="44AB6522" w14:textId="77777777">
            <w:pPr>
              <w:keepNext/>
            </w:pPr>
          </w:p>
        </w:tc>
      </w:tr>
      <w:tr w14:paraId="23170F52" w14:textId="77777777" w:rsidTr="00495A96">
        <w:tblPrEx>
          <w:tblW w:w="0" w:type="auto"/>
          <w:jc w:val="center"/>
          <w:tblLayout w:type="fixed"/>
          <w:tblLook w:val="0000"/>
        </w:tblPrEx>
        <w:trPr>
          <w:jc w:val="center"/>
        </w:trPr>
        <w:tc>
          <w:tcPr>
            <w:tcW w:w="4876" w:type="dxa"/>
          </w:tcPr>
          <w:p w:rsidR="007F5C8D" w:rsidRPr="007D38BF" w:rsidP="00495A96" w14:paraId="66C5A1B5" w14:textId="77777777">
            <w:pPr>
              <w:pStyle w:val="ColumnHeading"/>
              <w:keepNext/>
            </w:pPr>
            <w:r w:rsidRPr="007D38BF">
              <w:t>Besedilo, ki ga predlaga Komisija</w:t>
            </w:r>
          </w:p>
        </w:tc>
        <w:tc>
          <w:tcPr>
            <w:tcW w:w="4876" w:type="dxa"/>
          </w:tcPr>
          <w:p w:rsidR="007F5C8D" w:rsidRPr="007D38BF" w:rsidP="00495A96" w14:paraId="46D98D85" w14:textId="4F93CD02">
            <w:pPr>
              <w:pStyle w:val="ColumnHeading"/>
              <w:keepNext/>
            </w:pPr>
            <w:r w:rsidRPr="007D38BF">
              <w:t>Sprememba</w:t>
            </w:r>
          </w:p>
        </w:tc>
      </w:tr>
      <w:tr w14:paraId="41D6B7B4" w14:textId="77777777" w:rsidTr="00495A96">
        <w:tblPrEx>
          <w:tblW w:w="0" w:type="auto"/>
          <w:jc w:val="center"/>
          <w:tblLayout w:type="fixed"/>
          <w:tblLook w:val="0000"/>
        </w:tblPrEx>
        <w:trPr>
          <w:jc w:val="center"/>
        </w:trPr>
        <w:tc>
          <w:tcPr>
            <w:tcW w:w="4876" w:type="dxa"/>
          </w:tcPr>
          <w:p w:rsidR="007F5C8D" w:rsidRPr="007D38BF" w:rsidP="00495A96" w14:paraId="46B374C3" w14:textId="77777777">
            <w:pPr>
              <w:pStyle w:val="Normal6"/>
            </w:pPr>
          </w:p>
        </w:tc>
        <w:tc>
          <w:tcPr>
            <w:tcW w:w="4876" w:type="dxa"/>
          </w:tcPr>
          <w:p w:rsidR="007F5C8D" w:rsidRPr="007D38BF" w:rsidP="00495A96" w14:paraId="6D932A9D" w14:textId="77777777">
            <w:pPr>
              <w:pStyle w:val="Normal6"/>
              <w:rPr>
                <w:szCs w:val="24"/>
              </w:rPr>
            </w:pPr>
            <w:r w:rsidRPr="007D38BF">
              <w:rPr>
                <w:b/>
                <w:i/>
              </w:rPr>
              <w:t>2a.</w:t>
            </w:r>
            <w:r w:rsidRPr="007D38BF">
              <w:rPr>
                <w:b/>
                <w:i/>
              </w:rPr>
              <w:tab/>
              <w:t>Centralizirani dostop iz odstavka 1 je zasnovan in se uporablja tako, da ima urad OLAF osredotočen dostop za posamezno preiskavo, ki ga potrebuje, in da ni mogoče izvajati neciljnih iskanj ali pridobiti dostopa za kateri koli drug namen kot za začetek ali izvajanje preiskav v skladu z nalogami urada OLAF iz člena 1(1) Uredbe (EU, Euratom) št. 883/2013. Tak dostop ne omogoča pridobivanja neprečiščenih podatkov, splošnega spremljanja ali avtomatiziranega profiliranja, ki ni povezano s posamezno upravno preiskavo.</w:t>
            </w:r>
          </w:p>
        </w:tc>
      </w:tr>
    </w:tbl>
    <w:p w:rsidR="007F5C8D" w:rsidRPr="007D38BF" w:rsidP="007F5C8D" w14:paraId="6552592B" w14:textId="77777777"/>
    <w:p w:rsidR="007F5C8D" w:rsidRPr="007D38BF" w:rsidP="007F5C8D" w14:paraId="2333AC3A" w14:textId="7256684A">
      <w:pPr>
        <w:pStyle w:val="AMNumberTabs0"/>
        <w:keepNext/>
      </w:pPr>
      <w:r w:rsidRPr="007D38BF">
        <w:t>Sprememba</w:t>
      </w:r>
      <w:r w:rsidRPr="007D38BF">
        <w:tab/>
      </w:r>
      <w:r w:rsidRPr="007D38BF">
        <w:tab/>
        <w:t>38</w:t>
      </w:r>
    </w:p>
    <w:p w:rsidR="007F5C8D" w:rsidRPr="007D38BF" w:rsidP="007F5C8D" w14:paraId="1062EC3D" w14:textId="77777777">
      <w:pPr>
        <w:pStyle w:val="NormalBold12b"/>
        <w:keepNext/>
      </w:pPr>
      <w:r w:rsidRPr="007D38BF">
        <w:t>Predlog uredbe</w:t>
      </w:r>
    </w:p>
    <w:p w:rsidR="007F5C8D" w:rsidRPr="007D38BF" w:rsidP="007F5C8D" w14:paraId="3E0D985B" w14:textId="77777777">
      <w:pPr>
        <w:pStyle w:val="NormalBold"/>
      </w:pPr>
      <w:r w:rsidRPr="007D38BF">
        <w:t>Člen 1 – odstavek 1 – točka 5</w:t>
      </w:r>
    </w:p>
    <w:p w:rsidR="007F5C8D" w:rsidRPr="007D38BF" w:rsidP="007F5C8D" w14:paraId="2A9ABDBE" w14:textId="77777777">
      <w:pPr>
        <w:keepNext/>
      </w:pPr>
      <w:r w:rsidRPr="007D38BF">
        <w:t>Uredba (EU) št. 904/2010</w:t>
      </w:r>
    </w:p>
    <w:p w:rsidR="007F5C8D" w:rsidRPr="007D38BF" w:rsidP="007F5C8D" w14:paraId="0D6DDDF8" w14:textId="77777777">
      <w:r w:rsidRPr="007D38BF">
        <w:t>Člen 49b – odstavek 2 b (novo)</w:t>
      </w:r>
    </w:p>
    <w:tbl>
      <w:tblPr>
        <w:tblW w:w="0" w:type="auto"/>
        <w:jc w:val="center"/>
        <w:tblLayout w:type="fixed"/>
        <w:tblCellMar>
          <w:left w:w="340" w:type="dxa"/>
          <w:right w:w="340" w:type="dxa"/>
        </w:tblCellMar>
        <w:tblLook w:val="0000"/>
      </w:tblPr>
      <w:tblGrid>
        <w:gridCol w:w="4876"/>
        <w:gridCol w:w="4876"/>
      </w:tblGrid>
      <w:tr w14:paraId="6F456C04" w14:textId="77777777" w:rsidTr="00495A96">
        <w:tblPrEx>
          <w:tblW w:w="0" w:type="auto"/>
          <w:jc w:val="center"/>
          <w:tblLayout w:type="fixed"/>
          <w:tblLook w:val="0000"/>
        </w:tblPrEx>
        <w:trPr>
          <w:jc w:val="center"/>
        </w:trPr>
        <w:tc>
          <w:tcPr>
            <w:tcW w:w="9752" w:type="dxa"/>
            <w:gridSpan w:val="2"/>
          </w:tcPr>
          <w:p w:rsidR="007F5C8D" w:rsidRPr="007D38BF" w:rsidP="00495A96" w14:paraId="4AE9328F" w14:textId="77777777">
            <w:pPr>
              <w:keepNext/>
            </w:pPr>
          </w:p>
        </w:tc>
      </w:tr>
      <w:tr w14:paraId="06FB04CF" w14:textId="77777777" w:rsidTr="00495A96">
        <w:tblPrEx>
          <w:tblW w:w="0" w:type="auto"/>
          <w:jc w:val="center"/>
          <w:tblLayout w:type="fixed"/>
          <w:tblLook w:val="0000"/>
        </w:tblPrEx>
        <w:trPr>
          <w:jc w:val="center"/>
        </w:trPr>
        <w:tc>
          <w:tcPr>
            <w:tcW w:w="4876" w:type="dxa"/>
          </w:tcPr>
          <w:p w:rsidR="007F5C8D" w:rsidRPr="007D38BF" w:rsidP="00495A96" w14:paraId="554DCE03" w14:textId="77777777">
            <w:pPr>
              <w:pStyle w:val="ColumnHeading"/>
              <w:keepNext/>
            </w:pPr>
            <w:r w:rsidRPr="007D38BF">
              <w:t>Besedilo, ki ga predlaga Komisija</w:t>
            </w:r>
          </w:p>
        </w:tc>
        <w:tc>
          <w:tcPr>
            <w:tcW w:w="4876" w:type="dxa"/>
          </w:tcPr>
          <w:p w:rsidR="007F5C8D" w:rsidRPr="007D38BF" w:rsidP="00495A96" w14:paraId="24E52CF9" w14:textId="2C3F3EBE">
            <w:pPr>
              <w:pStyle w:val="ColumnHeading"/>
              <w:keepNext/>
            </w:pPr>
            <w:r w:rsidRPr="007D38BF">
              <w:t>Sprememba</w:t>
            </w:r>
          </w:p>
        </w:tc>
      </w:tr>
      <w:tr w14:paraId="0D645074" w14:textId="77777777" w:rsidTr="00495A96">
        <w:tblPrEx>
          <w:tblW w:w="0" w:type="auto"/>
          <w:jc w:val="center"/>
          <w:tblLayout w:type="fixed"/>
          <w:tblLook w:val="0000"/>
        </w:tblPrEx>
        <w:trPr>
          <w:jc w:val="center"/>
        </w:trPr>
        <w:tc>
          <w:tcPr>
            <w:tcW w:w="4876" w:type="dxa"/>
          </w:tcPr>
          <w:p w:rsidR="007F5C8D" w:rsidRPr="007D38BF" w:rsidP="00495A96" w14:paraId="66F41D16" w14:textId="77777777">
            <w:pPr>
              <w:pStyle w:val="Normal6"/>
            </w:pPr>
          </w:p>
        </w:tc>
        <w:tc>
          <w:tcPr>
            <w:tcW w:w="4876" w:type="dxa"/>
          </w:tcPr>
          <w:p w:rsidR="007F5C8D" w:rsidRPr="007D38BF" w:rsidP="00495A96" w14:paraId="3E0CD56B" w14:textId="77777777">
            <w:pPr>
              <w:pStyle w:val="Normal6"/>
              <w:rPr>
                <w:szCs w:val="24"/>
              </w:rPr>
            </w:pPr>
            <w:r w:rsidRPr="007D38BF">
              <w:rPr>
                <w:b/>
                <w:i/>
              </w:rPr>
              <w:t>2b.</w:t>
            </w:r>
            <w:r w:rsidRPr="007D38BF">
              <w:rPr>
                <w:b/>
                <w:i/>
              </w:rPr>
              <w:tab/>
              <w:t>Za centralizirani dostop iz odstavka 1 veljajo ustrezni tehnični in organizacijski ukrepi, s katerimi se zagotovi, da je vsak dostop mogoče pripisati točno določeni preiskavi in identificiranemu pooblaščenemu uporabniku. Tak dostop se evidentira na način, ki omogoča učinkovito naknadno preverjanje.</w:t>
            </w:r>
          </w:p>
        </w:tc>
      </w:tr>
    </w:tbl>
    <w:p w:rsidR="007F5C8D" w:rsidRPr="007D38BF" w:rsidP="007F5C8D" w14:paraId="5C6F18CD" w14:textId="77777777"/>
    <w:p w:rsidR="007F5C8D" w:rsidRPr="007D38BF" w:rsidP="007F5C8D" w14:paraId="2D176630" w14:textId="4C5461C0">
      <w:pPr>
        <w:pStyle w:val="AmNumberTabs"/>
      </w:pPr>
      <w:r w:rsidRPr="007D38BF">
        <w:t>Sprememba</w:t>
      </w:r>
      <w:r w:rsidRPr="007D38BF">
        <w:tab/>
      </w:r>
      <w:r w:rsidRPr="007D38BF">
        <w:tab/>
        <w:t>39</w:t>
      </w:r>
    </w:p>
    <w:p w:rsidR="007F5C8D" w:rsidRPr="007D38BF" w:rsidP="007F5C8D" w14:paraId="75B8009F" w14:textId="77777777">
      <w:pPr>
        <w:pStyle w:val="NormalBold12b"/>
      </w:pPr>
      <w:r w:rsidRPr="007D38BF">
        <w:t>Predlog uredbe</w:t>
      </w:r>
    </w:p>
    <w:p w:rsidR="007F5C8D" w:rsidRPr="007D38BF" w:rsidP="007F5C8D" w14:paraId="2EFCD504" w14:textId="77777777">
      <w:pPr>
        <w:pStyle w:val="NormalBold"/>
      </w:pPr>
      <w:r w:rsidRPr="007D38BF">
        <w:t>Člen 1 – odstavek 1 – točka 5</w:t>
      </w:r>
    </w:p>
    <w:p w:rsidR="007F5C8D" w:rsidRPr="007D38BF" w:rsidP="007F5C8D" w14:paraId="3484BAAB" w14:textId="77777777">
      <w:r w:rsidRPr="007D38BF">
        <w:t>Uredba (EU) št. 904/2010</w:t>
      </w:r>
    </w:p>
    <w:p w:rsidR="007F5C8D" w:rsidRPr="007D38BF" w:rsidP="007F5C8D" w14:paraId="62F9FF25" w14:textId="77777777">
      <w:r w:rsidRPr="007D38BF">
        <w:t>Člen 49b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DD3B8"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2BBE2428" w14:textId="77777777"/>
        </w:tc>
      </w:tr>
      <w:tr w14:paraId="5A86FEBF"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4E3014BB"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25983070" w14:textId="3EC229A6">
            <w:pPr>
              <w:pStyle w:val="AmColumnHeading"/>
            </w:pPr>
            <w:r w:rsidRPr="007D38BF">
              <w:t>Sprememba</w:t>
            </w:r>
          </w:p>
        </w:tc>
      </w:tr>
      <w:tr w14:paraId="53DC5AB5"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07E7B8DC" w14:textId="77777777">
            <w:pPr>
              <w:pStyle w:val="Normal6a"/>
            </w:pPr>
            <w:r w:rsidRPr="007D38BF">
              <w:t>3.</w:t>
            </w:r>
            <w:r w:rsidRPr="007D38BF">
              <w:tab/>
              <w:t>Ta centraliziran dostop je dostop prek enotne vstopne točke do vseh informacij v zvezi s preiskavo, tudi če zadevajo več držav članic.</w:t>
            </w:r>
          </w:p>
        </w:tc>
        <w:tc>
          <w:tcPr>
            <w:tcW w:w="4876" w:type="dxa"/>
            <w:tcBorders>
              <w:top w:val="nil"/>
              <w:left w:val="nil"/>
              <w:bottom w:val="nil"/>
              <w:right w:val="nil"/>
            </w:tcBorders>
          </w:tcPr>
          <w:p w:rsidR="007F5C8D" w:rsidRPr="007D38BF" w:rsidP="00495A96" w14:paraId="5FAB90BC" w14:textId="77777777">
            <w:pPr>
              <w:pStyle w:val="Normal6a"/>
            </w:pPr>
            <w:r w:rsidRPr="007D38BF">
              <w:t>3.</w:t>
            </w:r>
            <w:r w:rsidRPr="007D38BF">
              <w:tab/>
              <w:t xml:space="preserve">Ta centraliziran dostop je dostop prek enotne vstopne točke do vseh informacij v zvezi s preiskavo, tudi če zadevajo več držav članic. </w:t>
            </w:r>
            <w:r w:rsidRPr="007D38BF">
              <w:rPr>
                <w:b/>
                <w:i/>
              </w:rPr>
              <w:t>Zadevni sistem zagotavlja popolno sledljivost in beleženje vseh iskanj ter je podprt s celovitimi evidencami, ki omogočajo učinkovite mehanizme naknadnega preverjanja.</w:t>
            </w:r>
          </w:p>
        </w:tc>
      </w:tr>
    </w:tbl>
    <w:p w:rsidR="007F5C8D" w:rsidRPr="007D38BF" w:rsidP="007F5C8D" w14:paraId="4790A67F" w14:textId="77777777"/>
    <w:p w:rsidR="007F5C8D" w:rsidRPr="007D38BF" w:rsidP="007F5C8D" w14:paraId="135040B0" w14:textId="4867911C">
      <w:pPr>
        <w:pStyle w:val="AmNumberTabs"/>
      </w:pPr>
      <w:r w:rsidRPr="007D38BF">
        <w:t>Sprememba</w:t>
      </w:r>
      <w:r w:rsidRPr="007D38BF">
        <w:tab/>
      </w:r>
      <w:r w:rsidRPr="007D38BF">
        <w:tab/>
        <w:t>40</w:t>
      </w:r>
    </w:p>
    <w:p w:rsidR="007F5C8D" w:rsidRPr="007D38BF" w:rsidP="007F5C8D" w14:paraId="08CE5EA8" w14:textId="77777777">
      <w:pPr>
        <w:pStyle w:val="NormalBold12b"/>
      </w:pPr>
      <w:r w:rsidRPr="007D38BF">
        <w:t>Predlog uredbe</w:t>
      </w:r>
    </w:p>
    <w:p w:rsidR="007F5C8D" w:rsidRPr="007D38BF" w:rsidP="007F5C8D" w14:paraId="701207C7" w14:textId="77777777">
      <w:pPr>
        <w:pStyle w:val="NormalBold"/>
      </w:pPr>
      <w:r w:rsidRPr="007D38BF">
        <w:t>Člen 1 – odstavek 1 – točka 5</w:t>
      </w:r>
    </w:p>
    <w:p w:rsidR="007F5C8D" w:rsidRPr="007D38BF" w:rsidP="007F5C8D" w14:paraId="7EC158B2" w14:textId="77777777">
      <w:pPr>
        <w:keepNext/>
      </w:pPr>
      <w:r w:rsidRPr="007D38BF">
        <w:t>Uredba (EU) št. 904/2010</w:t>
      </w:r>
    </w:p>
    <w:p w:rsidR="007F5C8D" w:rsidRPr="007D38BF" w:rsidP="007F5C8D" w14:paraId="5A74AB29" w14:textId="77777777">
      <w:r w:rsidRPr="007D38BF">
        <w:t>Člen 49b – odstavek 3 a (novo)</w:t>
      </w:r>
    </w:p>
    <w:tbl>
      <w:tblPr>
        <w:tblW w:w="0" w:type="auto"/>
        <w:jc w:val="center"/>
        <w:tblLayout w:type="fixed"/>
        <w:tblCellMar>
          <w:left w:w="340" w:type="dxa"/>
          <w:right w:w="340" w:type="dxa"/>
        </w:tblCellMar>
        <w:tblLook w:val="0000"/>
      </w:tblPr>
      <w:tblGrid>
        <w:gridCol w:w="4876"/>
        <w:gridCol w:w="4876"/>
      </w:tblGrid>
      <w:tr w14:paraId="7FE183DC" w14:textId="77777777" w:rsidTr="00495A96">
        <w:tblPrEx>
          <w:tblW w:w="0" w:type="auto"/>
          <w:jc w:val="center"/>
          <w:tblLayout w:type="fixed"/>
          <w:tblLook w:val="0000"/>
        </w:tblPrEx>
        <w:trPr>
          <w:jc w:val="center"/>
        </w:trPr>
        <w:tc>
          <w:tcPr>
            <w:tcW w:w="9752" w:type="dxa"/>
            <w:gridSpan w:val="2"/>
          </w:tcPr>
          <w:p w:rsidR="007F5C8D" w:rsidRPr="007D38BF" w:rsidP="00495A96" w14:paraId="48D71F88" w14:textId="77777777">
            <w:pPr>
              <w:keepNext/>
            </w:pPr>
          </w:p>
        </w:tc>
      </w:tr>
      <w:tr w14:paraId="798149E8" w14:textId="77777777" w:rsidTr="00495A96">
        <w:tblPrEx>
          <w:tblW w:w="0" w:type="auto"/>
          <w:jc w:val="center"/>
          <w:tblLayout w:type="fixed"/>
          <w:tblLook w:val="0000"/>
        </w:tblPrEx>
        <w:trPr>
          <w:jc w:val="center"/>
        </w:trPr>
        <w:tc>
          <w:tcPr>
            <w:tcW w:w="4876" w:type="dxa"/>
          </w:tcPr>
          <w:p w:rsidR="007F5C8D" w:rsidRPr="007D38BF" w:rsidP="00495A96" w14:paraId="098C9EDD" w14:textId="77777777">
            <w:pPr>
              <w:pStyle w:val="ColumnHeading"/>
              <w:keepNext/>
            </w:pPr>
            <w:r w:rsidRPr="007D38BF">
              <w:t>Besedilo, ki ga predlaga Komisija</w:t>
            </w:r>
          </w:p>
        </w:tc>
        <w:tc>
          <w:tcPr>
            <w:tcW w:w="4876" w:type="dxa"/>
          </w:tcPr>
          <w:p w:rsidR="007F5C8D" w:rsidRPr="007D38BF" w:rsidP="00495A96" w14:paraId="72B73536" w14:textId="796C96D7">
            <w:pPr>
              <w:pStyle w:val="ColumnHeading"/>
              <w:keepNext/>
            </w:pPr>
            <w:r w:rsidRPr="007D38BF">
              <w:t>Sprememba</w:t>
            </w:r>
          </w:p>
        </w:tc>
      </w:tr>
      <w:tr w14:paraId="3FDE8F4C" w14:textId="77777777" w:rsidTr="00495A96">
        <w:tblPrEx>
          <w:tblW w:w="0" w:type="auto"/>
          <w:jc w:val="center"/>
          <w:tblLayout w:type="fixed"/>
          <w:tblLook w:val="0000"/>
        </w:tblPrEx>
        <w:trPr>
          <w:jc w:val="center"/>
        </w:trPr>
        <w:tc>
          <w:tcPr>
            <w:tcW w:w="4876" w:type="dxa"/>
          </w:tcPr>
          <w:p w:rsidR="007F5C8D" w:rsidRPr="007D38BF" w:rsidP="00495A96" w14:paraId="6FFD3BB2" w14:textId="77777777">
            <w:pPr>
              <w:pStyle w:val="Normal6"/>
            </w:pPr>
          </w:p>
        </w:tc>
        <w:tc>
          <w:tcPr>
            <w:tcW w:w="4876" w:type="dxa"/>
          </w:tcPr>
          <w:p w:rsidR="007F5C8D" w:rsidRPr="007D38BF" w:rsidP="00495A96" w14:paraId="60E80397" w14:textId="7D3E0D99">
            <w:pPr>
              <w:pStyle w:val="Normal6"/>
              <w:rPr>
                <w:szCs w:val="24"/>
              </w:rPr>
            </w:pPr>
            <w:r w:rsidRPr="007D38BF">
              <w:rPr>
                <w:b/>
                <w:i/>
              </w:rPr>
              <w:t>3a.</w:t>
            </w:r>
            <w:r w:rsidRPr="007D38BF">
              <w:rPr>
                <w:b/>
                <w:i/>
              </w:rPr>
              <w:tab/>
              <w:t xml:space="preserve">Urad OLAF vsako leto objavi statistične podatke o uporabi centraliziranega dostopa, odobrenega na podlagi te uredbe, vključno s številom opravljenih </w:t>
            </w:r>
            <w:r w:rsidRPr="007D38BF" w:rsidR="005464F5">
              <w:rPr>
                <w:b/>
                <w:i/>
              </w:rPr>
              <w:t>poizvedb</w:t>
            </w:r>
            <w:r w:rsidRPr="007D38BF">
              <w:rPr>
                <w:b/>
                <w:i/>
              </w:rPr>
              <w:t>, številom preiskav, v katerih je tak dostop prispeval k napredku zadeve, ter številom primerov, v katerih je bilo ugotovljeno, da so podatki, do katerih se je dostopalo, nepomembni in izbrisani. Ti statistični podatki se vključijo v letna poročila urada OLAF in predložijo Evropskemu parlamentu. V skladu z zadevnimi določbami, ki urejajo preiskave, se ti podatki ustrezno redigirajo, da se zagotovita zaupnost in pravilna izvedba preiskav.</w:t>
            </w:r>
          </w:p>
        </w:tc>
      </w:tr>
    </w:tbl>
    <w:p w:rsidR="007F5C8D" w:rsidRPr="007D38BF" w:rsidP="007F5C8D" w14:paraId="582C2F79" w14:textId="1BBEC77C">
      <w:pPr>
        <w:pStyle w:val="AmNumberTabs"/>
      </w:pPr>
      <w:r w:rsidRPr="007D38BF">
        <w:t>Sprememba</w:t>
      </w:r>
      <w:r w:rsidRPr="007D38BF">
        <w:tab/>
      </w:r>
      <w:r w:rsidRPr="007D38BF">
        <w:tab/>
        <w:t>41</w:t>
      </w:r>
    </w:p>
    <w:p w:rsidR="007F5C8D" w:rsidRPr="007D38BF" w:rsidP="007F5C8D" w14:paraId="32261F22" w14:textId="77777777">
      <w:pPr>
        <w:pStyle w:val="NormalBold12b"/>
      </w:pPr>
      <w:r w:rsidRPr="007D38BF">
        <w:t>Predlog uredbe</w:t>
      </w:r>
    </w:p>
    <w:p w:rsidR="007F5C8D" w:rsidRPr="007D38BF" w:rsidP="007F5C8D" w14:paraId="7B851D96" w14:textId="77777777">
      <w:pPr>
        <w:pStyle w:val="NormalBold"/>
      </w:pPr>
      <w:r w:rsidRPr="007D38BF">
        <w:t>Člen 1 – odstavek 1 – točka 5</w:t>
      </w:r>
    </w:p>
    <w:p w:rsidR="007F5C8D" w:rsidRPr="007D38BF" w:rsidP="007F5C8D" w14:paraId="3CCCF336" w14:textId="77777777">
      <w:r w:rsidRPr="007D38BF">
        <w:t>Uredba (EU) št. 904/2010</w:t>
      </w:r>
    </w:p>
    <w:p w:rsidR="007F5C8D" w:rsidRPr="007D38BF" w:rsidP="007F5C8D" w14:paraId="1D9B31DD" w14:textId="77777777">
      <w:r w:rsidRPr="007D38BF">
        <w:t>Člen 49a – odstavek 4 – pododstavek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8DB5C"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65D4BD8E" w14:textId="77777777"/>
        </w:tc>
      </w:tr>
      <w:tr w14:paraId="74E4258D"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10842C0C"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399A70BF" w14:textId="350E6B6A">
            <w:pPr>
              <w:pStyle w:val="AmColumnHeading"/>
            </w:pPr>
            <w:r w:rsidRPr="007D38BF">
              <w:t>Sprememba</w:t>
            </w:r>
          </w:p>
        </w:tc>
      </w:tr>
      <w:tr w14:paraId="700CDFBE"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6F818E14" w14:textId="77777777">
            <w:pPr>
              <w:pStyle w:val="Normal6a"/>
            </w:pPr>
            <w:r w:rsidRPr="007D38BF">
              <w:t>(a)</w:t>
            </w:r>
            <w:r w:rsidRPr="007D38BF">
              <w:tab/>
              <w:t>tehnične podrobnosti v zvezi s centraliziranim dostopom do informacij iz odstavka 1 tega člena, vključno s seznamom kategorij podatkov, s katerimi se lahko izvaja ciljno usmerjeno iskanje;</w:t>
            </w:r>
          </w:p>
        </w:tc>
        <w:tc>
          <w:tcPr>
            <w:tcW w:w="4876" w:type="dxa"/>
            <w:tcBorders>
              <w:top w:val="nil"/>
              <w:left w:val="nil"/>
              <w:bottom w:val="nil"/>
              <w:right w:val="nil"/>
            </w:tcBorders>
          </w:tcPr>
          <w:p w:rsidR="007F5C8D" w:rsidRPr="007D38BF" w:rsidP="00495A96" w14:paraId="583478D8" w14:textId="77777777">
            <w:pPr>
              <w:pStyle w:val="Normal6a"/>
            </w:pPr>
            <w:r w:rsidRPr="007D38BF">
              <w:t>(a)</w:t>
            </w:r>
            <w:r w:rsidRPr="007D38BF">
              <w:tab/>
              <w:t>tehnične podrobnosti v zvezi s centraliziranim dostopom do informacij iz odstavka 1 tega člena, vključno s seznamom kategorij podatkov, s katerimi se lahko izvaja ciljno usmerjeno iskanje</w:t>
            </w:r>
            <w:r w:rsidRPr="007D38BF">
              <w:rPr>
                <w:b/>
                <w:i/>
              </w:rPr>
              <w:t xml:space="preserve">, </w:t>
            </w:r>
            <w:r w:rsidRPr="007D38BF">
              <w:rPr>
                <w:b/>
                <w:i/>
              </w:rPr>
              <w:t>ter mehanizmom za preprečevanje neciljnih iskanj</w:t>
            </w:r>
            <w:r w:rsidRPr="007D38BF">
              <w:t>;</w:t>
            </w:r>
          </w:p>
        </w:tc>
      </w:tr>
    </w:tbl>
    <w:p w:rsidR="007F5C8D" w:rsidRPr="007D38BF" w:rsidP="007F5C8D" w14:paraId="38F05DBB" w14:textId="77777777"/>
    <w:p w:rsidR="007F5C8D" w:rsidRPr="007D38BF" w:rsidP="007F5C8D" w14:paraId="7848A360" w14:textId="572E8BC2">
      <w:pPr>
        <w:pStyle w:val="AMNumberTabs0"/>
        <w:keepNext/>
      </w:pPr>
      <w:r w:rsidRPr="007D38BF">
        <w:t>Sprememba</w:t>
      </w:r>
      <w:r w:rsidRPr="007D38BF">
        <w:tab/>
      </w:r>
      <w:r w:rsidRPr="007D38BF">
        <w:tab/>
        <w:t>42</w:t>
      </w:r>
    </w:p>
    <w:p w:rsidR="007F5C8D" w:rsidRPr="007D38BF" w:rsidP="007F5C8D" w14:paraId="15B08EEA" w14:textId="77777777">
      <w:pPr>
        <w:pStyle w:val="NormalBold12b"/>
        <w:keepNext/>
      </w:pPr>
      <w:r w:rsidRPr="007D38BF">
        <w:t>Predlog uredbe</w:t>
      </w:r>
    </w:p>
    <w:p w:rsidR="007F5C8D" w:rsidRPr="007D38BF" w:rsidP="007F5C8D" w14:paraId="3167765C" w14:textId="77777777">
      <w:pPr>
        <w:pStyle w:val="NormalBold"/>
      </w:pPr>
      <w:r w:rsidRPr="007D38BF">
        <w:t>Člen 1 – odstavek 1 – točka 5</w:t>
      </w:r>
    </w:p>
    <w:p w:rsidR="007F5C8D" w:rsidRPr="007D38BF" w:rsidP="007F5C8D" w14:paraId="6934689B" w14:textId="77777777">
      <w:pPr>
        <w:keepNext/>
      </w:pPr>
      <w:r w:rsidRPr="007D38BF">
        <w:t>Uredba (EU) št. 904/2010</w:t>
      </w:r>
    </w:p>
    <w:p w:rsidR="007F5C8D" w:rsidRPr="007D38BF" w:rsidP="007F5C8D" w14:paraId="1A9E0390" w14:textId="77777777">
      <w:r w:rsidRPr="007D38BF">
        <w:t>Člen 49b – odstavek 5</w:t>
      </w:r>
    </w:p>
    <w:tbl>
      <w:tblPr>
        <w:tblW w:w="0" w:type="auto"/>
        <w:jc w:val="center"/>
        <w:tblLayout w:type="fixed"/>
        <w:tblCellMar>
          <w:left w:w="340" w:type="dxa"/>
          <w:right w:w="340" w:type="dxa"/>
        </w:tblCellMar>
        <w:tblLook w:val="0000"/>
      </w:tblPr>
      <w:tblGrid>
        <w:gridCol w:w="4876"/>
        <w:gridCol w:w="4876"/>
      </w:tblGrid>
      <w:tr w14:paraId="5A560733" w14:textId="77777777" w:rsidTr="00495A96">
        <w:tblPrEx>
          <w:tblW w:w="0" w:type="auto"/>
          <w:jc w:val="center"/>
          <w:tblLayout w:type="fixed"/>
          <w:tblLook w:val="0000"/>
        </w:tblPrEx>
        <w:trPr>
          <w:jc w:val="center"/>
        </w:trPr>
        <w:tc>
          <w:tcPr>
            <w:tcW w:w="9752" w:type="dxa"/>
            <w:gridSpan w:val="2"/>
          </w:tcPr>
          <w:p w:rsidR="007F5C8D" w:rsidRPr="007D38BF" w:rsidP="00495A96" w14:paraId="3AFB6B74" w14:textId="77777777">
            <w:pPr>
              <w:keepNext/>
            </w:pPr>
          </w:p>
        </w:tc>
      </w:tr>
      <w:tr w14:paraId="791E24F8" w14:textId="77777777" w:rsidTr="00495A96">
        <w:tblPrEx>
          <w:tblW w:w="0" w:type="auto"/>
          <w:jc w:val="center"/>
          <w:tblLayout w:type="fixed"/>
          <w:tblLook w:val="0000"/>
        </w:tblPrEx>
        <w:trPr>
          <w:jc w:val="center"/>
        </w:trPr>
        <w:tc>
          <w:tcPr>
            <w:tcW w:w="4876" w:type="dxa"/>
          </w:tcPr>
          <w:p w:rsidR="007F5C8D" w:rsidRPr="007D38BF" w:rsidP="00495A96" w14:paraId="315F0300" w14:textId="77777777">
            <w:pPr>
              <w:pStyle w:val="ColumnHeading"/>
              <w:keepNext/>
            </w:pPr>
            <w:r w:rsidRPr="007D38BF">
              <w:t>Besedilo, ki ga predlaga Komisija</w:t>
            </w:r>
          </w:p>
        </w:tc>
        <w:tc>
          <w:tcPr>
            <w:tcW w:w="4876" w:type="dxa"/>
          </w:tcPr>
          <w:p w:rsidR="007F5C8D" w:rsidRPr="007D38BF" w:rsidP="00495A96" w14:paraId="2502D7D1" w14:textId="3B3059D6">
            <w:pPr>
              <w:pStyle w:val="ColumnHeading"/>
              <w:keepNext/>
            </w:pPr>
            <w:r w:rsidRPr="007D38BF">
              <w:t>Sprememba</w:t>
            </w:r>
          </w:p>
        </w:tc>
      </w:tr>
      <w:tr w14:paraId="0F2B51DB" w14:textId="77777777" w:rsidTr="00495A96">
        <w:tblPrEx>
          <w:tblW w:w="0" w:type="auto"/>
          <w:jc w:val="center"/>
          <w:tblLayout w:type="fixed"/>
          <w:tblLook w:val="0000"/>
        </w:tblPrEx>
        <w:trPr>
          <w:jc w:val="center"/>
        </w:trPr>
        <w:tc>
          <w:tcPr>
            <w:tcW w:w="4876" w:type="dxa"/>
          </w:tcPr>
          <w:p w:rsidR="007F5C8D" w:rsidRPr="007D38BF" w:rsidP="00495A96" w14:paraId="147D3934" w14:textId="77777777">
            <w:pPr>
              <w:pStyle w:val="Normal6"/>
            </w:pPr>
            <w:r w:rsidRPr="007D38BF">
              <w:rPr>
                <w:b/>
                <w:i/>
              </w:rPr>
              <w:t>5.</w:t>
            </w:r>
            <w:r w:rsidRPr="007D38BF">
              <w:rPr>
                <w:b/>
                <w:i/>
              </w:rPr>
              <w:tab/>
              <w:t>Stroške vzpostavitve, delovanja in vzdrževanja infrastrukture in tehničnih sredstev, ki omogočajo varen dostop do informacij iz odstavka 1 tega člena, krije urad OLAF.</w:t>
            </w:r>
          </w:p>
        </w:tc>
        <w:tc>
          <w:tcPr>
            <w:tcW w:w="4876" w:type="dxa"/>
          </w:tcPr>
          <w:p w:rsidR="007F5C8D" w:rsidRPr="007D38BF" w:rsidP="00495A96" w14:paraId="23084427" w14:textId="77777777">
            <w:pPr>
              <w:pStyle w:val="Normal6"/>
              <w:rPr>
                <w:szCs w:val="24"/>
              </w:rPr>
            </w:pPr>
            <w:r w:rsidRPr="007D38BF">
              <w:rPr>
                <w:b/>
                <w:i/>
              </w:rPr>
              <w:t>črtano</w:t>
            </w:r>
          </w:p>
        </w:tc>
      </w:tr>
    </w:tbl>
    <w:p w:rsidR="007F5C8D" w:rsidRPr="007D38BF" w:rsidP="007F5C8D" w14:paraId="0BEFEF31" w14:textId="77777777"/>
    <w:p w:rsidR="007F5C8D" w:rsidRPr="007D38BF" w:rsidP="007F5C8D" w14:paraId="0EB7D9DC" w14:textId="35FEB171">
      <w:pPr>
        <w:pStyle w:val="AmNumberTabs"/>
      </w:pPr>
      <w:r w:rsidRPr="007D38BF">
        <w:t>Sprememba</w:t>
      </w:r>
      <w:r w:rsidRPr="007D38BF">
        <w:tab/>
      </w:r>
      <w:r w:rsidRPr="007D38BF">
        <w:tab/>
        <w:t>43</w:t>
      </w:r>
    </w:p>
    <w:p w:rsidR="007F5C8D" w:rsidRPr="007D38BF" w:rsidP="007F5C8D" w14:paraId="3E2D8318" w14:textId="77777777">
      <w:pPr>
        <w:pStyle w:val="NormalBold12b"/>
      </w:pPr>
      <w:r w:rsidRPr="007D38BF">
        <w:t>Predlog uredbe</w:t>
      </w:r>
    </w:p>
    <w:p w:rsidR="007F5C8D" w:rsidRPr="007D38BF" w:rsidP="007F5C8D" w14:paraId="730B1611" w14:textId="77777777">
      <w:pPr>
        <w:pStyle w:val="NormalBold"/>
      </w:pPr>
      <w:r w:rsidRPr="007D38BF">
        <w:t>Člen 1 – odstavek 1 – točka 5</w:t>
      </w:r>
    </w:p>
    <w:p w:rsidR="007F5C8D" w:rsidRPr="007D38BF" w:rsidP="007F5C8D" w14:paraId="0B5A8F07" w14:textId="77777777">
      <w:r w:rsidRPr="007D38BF">
        <w:t>Uredba (EU) št. 904/2010</w:t>
      </w:r>
    </w:p>
    <w:p w:rsidR="007F5C8D" w:rsidRPr="007D38BF" w:rsidP="007F5C8D" w14:paraId="2C2DB4F8" w14:textId="77777777">
      <w:r w:rsidRPr="007D38BF">
        <w:t>Člen 49b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28DF6"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70845520" w14:textId="77777777"/>
        </w:tc>
      </w:tr>
      <w:tr w14:paraId="0E319218"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05CCC80C"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1C23383F" w14:textId="5B5CB443">
            <w:pPr>
              <w:pStyle w:val="AmColumnHeading"/>
            </w:pPr>
            <w:r w:rsidRPr="007D38BF">
              <w:t>Sprememba</w:t>
            </w:r>
          </w:p>
        </w:tc>
      </w:tr>
      <w:tr w14:paraId="5F672C38"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1EBE67F4" w14:textId="77777777">
            <w:pPr>
              <w:pStyle w:val="Normal6a"/>
            </w:pPr>
          </w:p>
        </w:tc>
        <w:tc>
          <w:tcPr>
            <w:tcW w:w="4876" w:type="dxa"/>
            <w:tcBorders>
              <w:top w:val="nil"/>
              <w:left w:val="nil"/>
              <w:bottom w:val="nil"/>
              <w:right w:val="nil"/>
            </w:tcBorders>
          </w:tcPr>
          <w:p w:rsidR="007F5C8D" w:rsidRPr="007D38BF" w:rsidP="00495A96" w14:paraId="09A6CF30" w14:textId="77777777">
            <w:pPr>
              <w:pStyle w:val="Normal6a"/>
            </w:pPr>
            <w:r w:rsidRPr="007D38BF">
              <w:rPr>
                <w:b/>
                <w:i/>
              </w:rPr>
              <w:t>5a.</w:t>
            </w:r>
            <w:r w:rsidRPr="007D38BF">
              <w:tab/>
            </w:r>
            <w:r w:rsidRPr="007D38BF">
              <w:rPr>
                <w:b/>
                <w:i/>
              </w:rPr>
              <w:t>Vse uporabnike zavezujejo pravila o zaupnosti iz te uredbe. Postopki izmenjave informacij in dostopa do podatkov se izvajajo v skladu z Uredbama (EU) 2016/679 in (EU) 2018/1725 Evropskega parlamenta in Sveta ter ob upoštevanju Listine Evropske unije o temeljnih pravicah.</w:t>
            </w:r>
          </w:p>
        </w:tc>
      </w:tr>
    </w:tbl>
    <w:p w:rsidR="007F5C8D" w:rsidRPr="007D38BF" w:rsidP="007F5C8D" w14:paraId="14183AA3" w14:textId="77777777"/>
    <w:p w:rsidR="007F5C8D" w:rsidRPr="007D38BF" w:rsidP="007F5C8D" w14:paraId="008E2DF9" w14:textId="504EA55E">
      <w:pPr>
        <w:pStyle w:val="AmNumberTabs"/>
      </w:pPr>
      <w:r w:rsidRPr="007D38BF">
        <w:t>Sprememba</w:t>
      </w:r>
      <w:r w:rsidRPr="007D38BF">
        <w:tab/>
      </w:r>
      <w:r w:rsidRPr="007D38BF">
        <w:tab/>
        <w:t>44</w:t>
      </w:r>
    </w:p>
    <w:p w:rsidR="007F5C8D" w:rsidRPr="007D38BF" w:rsidP="007F5C8D" w14:paraId="69866A1E" w14:textId="77777777">
      <w:pPr>
        <w:pStyle w:val="NormalBold12b"/>
      </w:pPr>
      <w:r w:rsidRPr="007D38BF">
        <w:t>Predlog uredbe</w:t>
      </w:r>
    </w:p>
    <w:p w:rsidR="007F5C8D" w:rsidRPr="007D38BF" w:rsidP="007F5C8D" w14:paraId="64A1F7BC" w14:textId="77777777">
      <w:pPr>
        <w:pStyle w:val="NormalBold"/>
      </w:pPr>
      <w:r w:rsidRPr="007D38BF">
        <w:t>Člen 1 – odstavek 1 – točka 5</w:t>
      </w:r>
    </w:p>
    <w:p w:rsidR="007F5C8D" w:rsidRPr="007D38BF" w:rsidP="007F5C8D" w14:paraId="34A9CFBF" w14:textId="77777777">
      <w:r w:rsidRPr="007D38BF">
        <w:t xml:space="preserve"> Uredba (EU) št. 904/2010</w:t>
      </w:r>
    </w:p>
    <w:p w:rsidR="007F5C8D" w:rsidRPr="007D38BF" w:rsidP="007F5C8D" w14:paraId="7193B42A" w14:textId="77777777">
      <w:r w:rsidRPr="007D38BF">
        <w:t>Člen 49b – odstavek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B70D3"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4A73B109" w14:textId="77777777"/>
        </w:tc>
      </w:tr>
      <w:tr w14:paraId="3950B2DC"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76041E39"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17086D2A" w14:textId="2ACFA98D">
            <w:pPr>
              <w:pStyle w:val="AmColumnHeading"/>
            </w:pPr>
            <w:r w:rsidRPr="007D38BF">
              <w:t>Sprememba</w:t>
            </w:r>
          </w:p>
        </w:tc>
      </w:tr>
      <w:tr w14:paraId="75287BAC"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67EA6A27" w14:textId="77777777">
            <w:pPr>
              <w:pStyle w:val="Normal6a"/>
            </w:pPr>
          </w:p>
        </w:tc>
        <w:tc>
          <w:tcPr>
            <w:tcW w:w="4876" w:type="dxa"/>
            <w:tcBorders>
              <w:top w:val="nil"/>
              <w:left w:val="nil"/>
              <w:bottom w:val="nil"/>
              <w:right w:val="nil"/>
            </w:tcBorders>
          </w:tcPr>
          <w:p w:rsidR="007F5C8D" w:rsidRPr="007D38BF" w:rsidP="00495A96" w14:paraId="26F737E8" w14:textId="36E4B604">
            <w:pPr>
              <w:pStyle w:val="Normal6a"/>
            </w:pPr>
            <w:r w:rsidRPr="007D38BF">
              <w:rPr>
                <w:b/>
                <w:i/>
              </w:rPr>
              <w:t>5b.</w:t>
            </w:r>
            <w:r w:rsidRPr="007D38BF">
              <w:tab/>
            </w:r>
            <w:r w:rsidRPr="007D38BF">
              <w:rPr>
                <w:b/>
                <w:i/>
              </w:rPr>
              <w:t xml:space="preserve">Sistemi, ki omogočajo centraliziran dostop iz odstavka 1, so </w:t>
            </w:r>
            <w:r w:rsidRPr="007D38BF">
              <w:rPr>
                <w:b/>
                <w:i/>
              </w:rPr>
              <w:t>zasnovani tako, da zagotavljajo popolno interoperabilnost s sistemi, ki jih uporabljajo ustrezni organi Unije, da se olajšajo učinkovite in varne izmenjave informacij ter zmanjša upravn</w:t>
            </w:r>
            <w:r w:rsidRPr="007D38BF" w:rsidR="00936AB4">
              <w:rPr>
                <w:b/>
                <w:i/>
              </w:rPr>
              <w:t>o</w:t>
            </w:r>
            <w:r w:rsidRPr="007D38BF">
              <w:rPr>
                <w:b/>
                <w:i/>
              </w:rPr>
              <w:t xml:space="preserve"> breme.</w:t>
            </w:r>
          </w:p>
        </w:tc>
      </w:tr>
    </w:tbl>
    <w:p w:rsidR="007F5C8D" w:rsidRPr="007D38BF" w:rsidP="007F5C8D" w14:paraId="2D1D5EC3" w14:textId="77777777"/>
    <w:p w:rsidR="007F5C8D" w:rsidRPr="007D38BF" w:rsidP="007F5C8D" w14:paraId="5AC91A42" w14:textId="03243263">
      <w:pPr>
        <w:pStyle w:val="AmNumberTabs"/>
      </w:pPr>
      <w:r w:rsidRPr="007D38BF">
        <w:t>Sprememba</w:t>
      </w:r>
      <w:r w:rsidRPr="007D38BF">
        <w:tab/>
      </w:r>
      <w:r w:rsidRPr="007D38BF">
        <w:tab/>
        <w:t>45</w:t>
      </w:r>
    </w:p>
    <w:p w:rsidR="007F5C8D" w:rsidRPr="007D38BF" w:rsidP="007F5C8D" w14:paraId="70013163" w14:textId="77777777">
      <w:pPr>
        <w:pStyle w:val="NormalBold12b"/>
      </w:pPr>
      <w:r w:rsidRPr="007D38BF">
        <w:t>Predlog uredbe</w:t>
      </w:r>
    </w:p>
    <w:p w:rsidR="007F5C8D" w:rsidRPr="007D38BF" w:rsidP="007F5C8D" w14:paraId="78D093E1" w14:textId="77777777">
      <w:pPr>
        <w:pStyle w:val="NormalBold"/>
      </w:pPr>
      <w:r w:rsidRPr="007D38BF">
        <w:t>Člen 1 – odstavek 1 – točka 5</w:t>
      </w:r>
    </w:p>
    <w:p w:rsidR="007F5C8D" w:rsidRPr="007D38BF" w:rsidP="007F5C8D" w14:paraId="74C614BF" w14:textId="77777777">
      <w:r w:rsidRPr="007D38BF">
        <w:t xml:space="preserve"> Uredba (EU) št. 904/2010</w:t>
      </w:r>
    </w:p>
    <w:p w:rsidR="007F5C8D" w:rsidRPr="007D38BF" w:rsidP="007F5C8D" w14:paraId="6E16E6E2" w14:textId="77777777">
      <w:r w:rsidRPr="007D38BF">
        <w:t>Člen 49b – odstavek 5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9CC91" w14:textId="77777777" w:rsidTr="00495A96">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7F5C8D" w:rsidRPr="007D38BF" w:rsidP="00495A96" w14:paraId="7FA463E9" w14:textId="77777777"/>
        </w:tc>
      </w:tr>
      <w:tr w14:paraId="09189D26" w14:textId="77777777" w:rsidTr="00495A96">
        <w:tblPrEx>
          <w:tblW w:w="0" w:type="auto"/>
          <w:jc w:val="center"/>
          <w:tblLayout w:type="fixed"/>
          <w:tblLook w:val="04A0"/>
        </w:tblPrEx>
        <w:trPr>
          <w:trHeight w:val="240"/>
          <w:jc w:val="center"/>
        </w:trPr>
        <w:tc>
          <w:tcPr>
            <w:tcW w:w="4876" w:type="dxa"/>
            <w:tcBorders>
              <w:top w:val="nil"/>
              <w:left w:val="nil"/>
              <w:bottom w:val="nil"/>
              <w:right w:val="nil"/>
            </w:tcBorders>
          </w:tcPr>
          <w:p w:rsidR="007F5C8D" w:rsidRPr="007D38BF" w:rsidP="00495A96" w14:paraId="0749B850" w14:textId="77777777">
            <w:pPr>
              <w:pStyle w:val="AmColumnHeading"/>
            </w:pPr>
            <w:r w:rsidRPr="007D38BF">
              <w:t>Besedilo, ki ga predlaga Komisija</w:t>
            </w:r>
          </w:p>
        </w:tc>
        <w:tc>
          <w:tcPr>
            <w:tcW w:w="4876" w:type="dxa"/>
            <w:tcBorders>
              <w:top w:val="nil"/>
              <w:left w:val="nil"/>
              <w:bottom w:val="nil"/>
              <w:right w:val="nil"/>
            </w:tcBorders>
          </w:tcPr>
          <w:p w:rsidR="007F5C8D" w:rsidRPr="007D38BF" w:rsidP="00495A96" w14:paraId="32307C2D" w14:textId="0AB8317C">
            <w:pPr>
              <w:pStyle w:val="AmColumnHeading"/>
            </w:pPr>
            <w:r w:rsidRPr="007D38BF">
              <w:t>Sprememba</w:t>
            </w:r>
          </w:p>
        </w:tc>
      </w:tr>
      <w:tr w14:paraId="21787D7B" w14:textId="77777777" w:rsidTr="00495A96">
        <w:tblPrEx>
          <w:tblW w:w="0" w:type="auto"/>
          <w:jc w:val="center"/>
          <w:tblLayout w:type="fixed"/>
          <w:tblLook w:val="04A0"/>
        </w:tblPrEx>
        <w:trPr>
          <w:jc w:val="center"/>
        </w:trPr>
        <w:tc>
          <w:tcPr>
            <w:tcW w:w="4876" w:type="dxa"/>
            <w:tcBorders>
              <w:top w:val="nil"/>
              <w:left w:val="nil"/>
              <w:bottom w:val="nil"/>
              <w:right w:val="nil"/>
            </w:tcBorders>
          </w:tcPr>
          <w:p w:rsidR="007F5C8D" w:rsidRPr="007D38BF" w:rsidP="00495A96" w14:paraId="10516345" w14:textId="77777777">
            <w:pPr>
              <w:pStyle w:val="Normal6a"/>
            </w:pPr>
          </w:p>
        </w:tc>
        <w:tc>
          <w:tcPr>
            <w:tcW w:w="4876" w:type="dxa"/>
            <w:tcBorders>
              <w:top w:val="nil"/>
              <w:left w:val="nil"/>
              <w:bottom w:val="nil"/>
              <w:right w:val="nil"/>
            </w:tcBorders>
          </w:tcPr>
          <w:p w:rsidR="007F5C8D" w:rsidRPr="007D38BF" w:rsidP="00495A96" w14:paraId="1D5A04D7" w14:textId="77777777">
            <w:pPr>
              <w:pStyle w:val="Normal6a"/>
            </w:pPr>
            <w:r w:rsidRPr="007D38BF">
              <w:rPr>
                <w:b/>
                <w:i/>
              </w:rPr>
              <w:t>5c.</w:t>
            </w:r>
            <w:r w:rsidRPr="007D38BF">
              <w:tab/>
            </w:r>
            <w:r w:rsidRPr="007D38BF">
              <w:rPr>
                <w:b/>
                <w:i/>
              </w:rPr>
              <w:t>Komisija v tesnem sodelovanju z uradom OLAF oceni potrebo po dodatnem financiranju Unije za podporo razvoju interoperabilnih informacijskih sistemov, digitalnih orodij in specializiranega osebja.</w:t>
            </w:r>
          </w:p>
        </w:tc>
      </w:tr>
    </w:tbl>
    <w:p w:rsidR="007F5C8D" w:rsidRPr="007D38BF" w:rsidP="007F5C8D" w14:paraId="26729534" w14:textId="77777777"/>
    <w:p w:rsidR="007F5C8D" w:rsidRPr="007D38BF" w:rsidP="007F5C8D" w14:paraId="14D2A43D" w14:textId="109D5FFC">
      <w:pPr>
        <w:pStyle w:val="AmNumberTabs"/>
      </w:pPr>
      <w:r w:rsidRPr="007D38BF">
        <w:t>Sprememba</w:t>
      </w:r>
      <w:r w:rsidRPr="007D38BF">
        <w:tab/>
      </w:r>
      <w:r w:rsidRPr="007D38BF">
        <w:tab/>
        <w:t>46</w:t>
      </w:r>
    </w:p>
    <w:p w:rsidR="007F5C8D" w:rsidRPr="007D38BF" w:rsidP="007F5C8D" w14:paraId="6FF38269" w14:textId="77777777">
      <w:pPr>
        <w:pStyle w:val="NormalBold12b"/>
      </w:pPr>
      <w:r w:rsidRPr="007D38BF">
        <w:t>Predlog uredbe</w:t>
      </w:r>
    </w:p>
    <w:p w:rsidR="007F5C8D" w:rsidRPr="007D38BF" w:rsidP="007F5C8D" w14:paraId="6BDEF692" w14:textId="77777777">
      <w:pPr>
        <w:pStyle w:val="NormalBold"/>
      </w:pPr>
      <w:r w:rsidRPr="007D38BF">
        <w:t>Člen 1 – odstavek 1 – točka 5</w:t>
      </w:r>
    </w:p>
    <w:p w:rsidR="007F5C8D" w:rsidRPr="007D38BF" w:rsidP="007F5C8D" w14:paraId="63A625C4" w14:textId="77777777">
      <w:pPr>
        <w:keepNext/>
      </w:pPr>
      <w:r w:rsidRPr="007D38BF">
        <w:t>Uredba (EU) št. 904/2010</w:t>
      </w:r>
    </w:p>
    <w:p w:rsidR="007F5C8D" w:rsidRPr="007D38BF" w:rsidP="007F5C8D" w14:paraId="7803AB3D" w14:textId="77777777">
      <w:r w:rsidRPr="007D38BF">
        <w:t>Člen 49b – odstavek 5 d (novo)</w:t>
      </w:r>
    </w:p>
    <w:tbl>
      <w:tblPr>
        <w:tblW w:w="0" w:type="auto"/>
        <w:jc w:val="center"/>
        <w:tblLayout w:type="fixed"/>
        <w:tblCellMar>
          <w:left w:w="340" w:type="dxa"/>
          <w:right w:w="340" w:type="dxa"/>
        </w:tblCellMar>
        <w:tblLook w:val="0000"/>
      </w:tblPr>
      <w:tblGrid>
        <w:gridCol w:w="4876"/>
        <w:gridCol w:w="4876"/>
      </w:tblGrid>
      <w:tr w14:paraId="3EDACCE9" w14:textId="77777777" w:rsidTr="00495A96">
        <w:tblPrEx>
          <w:tblW w:w="0" w:type="auto"/>
          <w:jc w:val="center"/>
          <w:tblLayout w:type="fixed"/>
          <w:tblLook w:val="0000"/>
        </w:tblPrEx>
        <w:trPr>
          <w:jc w:val="center"/>
        </w:trPr>
        <w:tc>
          <w:tcPr>
            <w:tcW w:w="9752" w:type="dxa"/>
            <w:gridSpan w:val="2"/>
          </w:tcPr>
          <w:p w:rsidR="007F5C8D" w:rsidRPr="007D38BF" w:rsidP="00495A96" w14:paraId="3FCD3799" w14:textId="77777777">
            <w:pPr>
              <w:keepNext/>
            </w:pPr>
          </w:p>
        </w:tc>
      </w:tr>
      <w:tr w14:paraId="1517442D" w14:textId="77777777" w:rsidTr="00495A96">
        <w:tblPrEx>
          <w:tblW w:w="0" w:type="auto"/>
          <w:jc w:val="center"/>
          <w:tblLayout w:type="fixed"/>
          <w:tblLook w:val="0000"/>
        </w:tblPrEx>
        <w:trPr>
          <w:jc w:val="center"/>
        </w:trPr>
        <w:tc>
          <w:tcPr>
            <w:tcW w:w="4876" w:type="dxa"/>
          </w:tcPr>
          <w:p w:rsidR="007F5C8D" w:rsidRPr="007D38BF" w:rsidP="00495A96" w14:paraId="6AF3E8CC" w14:textId="77777777">
            <w:pPr>
              <w:pStyle w:val="ColumnHeading"/>
              <w:keepNext/>
            </w:pPr>
            <w:r w:rsidRPr="007D38BF">
              <w:t>Besedilo, ki ga predlaga Komisija</w:t>
            </w:r>
          </w:p>
        </w:tc>
        <w:tc>
          <w:tcPr>
            <w:tcW w:w="4876" w:type="dxa"/>
          </w:tcPr>
          <w:p w:rsidR="007F5C8D" w:rsidRPr="007D38BF" w:rsidP="00495A96" w14:paraId="2A36D85D" w14:textId="14F932C7">
            <w:pPr>
              <w:pStyle w:val="ColumnHeading"/>
              <w:keepNext/>
            </w:pPr>
            <w:r w:rsidRPr="007D38BF">
              <w:t>Sprememba</w:t>
            </w:r>
          </w:p>
        </w:tc>
      </w:tr>
      <w:tr w14:paraId="71E92A9E" w14:textId="77777777" w:rsidTr="00495A96">
        <w:tblPrEx>
          <w:tblW w:w="0" w:type="auto"/>
          <w:jc w:val="center"/>
          <w:tblLayout w:type="fixed"/>
          <w:tblLook w:val="0000"/>
        </w:tblPrEx>
        <w:trPr>
          <w:jc w:val="center"/>
        </w:trPr>
        <w:tc>
          <w:tcPr>
            <w:tcW w:w="4876" w:type="dxa"/>
          </w:tcPr>
          <w:p w:rsidR="007F5C8D" w:rsidRPr="007D38BF" w:rsidP="00495A96" w14:paraId="389F2467" w14:textId="77777777">
            <w:pPr>
              <w:pStyle w:val="Normal6"/>
            </w:pPr>
          </w:p>
        </w:tc>
        <w:tc>
          <w:tcPr>
            <w:tcW w:w="4876" w:type="dxa"/>
          </w:tcPr>
          <w:p w:rsidR="007F5C8D" w:rsidRPr="007D38BF" w:rsidP="00495A96" w14:paraId="4C4443C8" w14:textId="77777777">
            <w:pPr>
              <w:pStyle w:val="Normal6"/>
              <w:rPr>
                <w:szCs w:val="24"/>
              </w:rPr>
            </w:pPr>
            <w:r w:rsidRPr="007D38BF">
              <w:rPr>
                <w:b/>
                <w:i/>
              </w:rPr>
              <w:t>5d.</w:t>
            </w:r>
            <w:r w:rsidRPr="007D38BF">
              <w:rPr>
                <w:b/>
                <w:i/>
              </w:rPr>
              <w:tab/>
              <w:t>Kadar na podlagi posredovanja carinskih organov na lastno pobudo v skladu s členom 13a urad OLAF prejme osebne podatke, se uporabljajo naslednja pravila:</w:t>
            </w:r>
          </w:p>
        </w:tc>
      </w:tr>
      <w:tr w14:paraId="114ED5FF" w14:textId="77777777" w:rsidTr="00495A96">
        <w:tblPrEx>
          <w:tblW w:w="0" w:type="auto"/>
          <w:jc w:val="center"/>
          <w:tblLayout w:type="fixed"/>
          <w:tblLook w:val="0000"/>
        </w:tblPrEx>
        <w:trPr>
          <w:jc w:val="center"/>
        </w:trPr>
        <w:tc>
          <w:tcPr>
            <w:tcW w:w="4876" w:type="dxa"/>
          </w:tcPr>
          <w:p w:rsidR="007F5C8D" w:rsidRPr="007D38BF" w:rsidP="00495A96" w14:paraId="1914DCDF" w14:textId="77777777">
            <w:pPr>
              <w:pStyle w:val="Normal6"/>
            </w:pPr>
          </w:p>
        </w:tc>
        <w:tc>
          <w:tcPr>
            <w:tcW w:w="4876" w:type="dxa"/>
          </w:tcPr>
          <w:p w:rsidR="007F5C8D" w:rsidRPr="007D38BF" w:rsidP="00495A96" w14:paraId="506A1906" w14:textId="77777777">
            <w:pPr>
              <w:pStyle w:val="Normal6"/>
              <w:rPr>
                <w:szCs w:val="24"/>
              </w:rPr>
            </w:pPr>
            <w:r w:rsidRPr="007D38BF">
              <w:rPr>
                <w:b/>
                <w:i/>
              </w:rPr>
              <w:t>(a)</w:t>
            </w:r>
            <w:r w:rsidRPr="007D38BF">
              <w:rPr>
                <w:b/>
                <w:i/>
              </w:rPr>
              <w:tab/>
              <w:t>podatki se lahko obdelujejo izključno za namene ocenjevanja, ali naj se začne ali izvede preiskava v okviru mandata urada OLAF na podlagi člena 1(1) Uredbe (EU, Euratom) št. 883/2013;</w:t>
            </w:r>
          </w:p>
        </w:tc>
      </w:tr>
      <w:tr w14:paraId="3D225F56" w14:textId="77777777" w:rsidTr="00495A96">
        <w:tblPrEx>
          <w:tblW w:w="0" w:type="auto"/>
          <w:jc w:val="center"/>
          <w:tblLayout w:type="fixed"/>
          <w:tblLook w:val="0000"/>
        </w:tblPrEx>
        <w:trPr>
          <w:jc w:val="center"/>
        </w:trPr>
        <w:tc>
          <w:tcPr>
            <w:tcW w:w="4876" w:type="dxa"/>
          </w:tcPr>
          <w:p w:rsidR="007F5C8D" w:rsidRPr="007D38BF" w:rsidP="00495A96" w14:paraId="187450CF" w14:textId="77777777">
            <w:pPr>
              <w:pStyle w:val="Normal6"/>
            </w:pPr>
          </w:p>
        </w:tc>
        <w:tc>
          <w:tcPr>
            <w:tcW w:w="4876" w:type="dxa"/>
          </w:tcPr>
          <w:p w:rsidR="007F5C8D" w:rsidRPr="007D38BF" w:rsidP="00495A96" w14:paraId="414CDF61" w14:textId="77777777">
            <w:pPr>
              <w:pStyle w:val="Normal6"/>
              <w:rPr>
                <w:szCs w:val="24"/>
              </w:rPr>
            </w:pPr>
            <w:r w:rsidRPr="007D38BF">
              <w:rPr>
                <w:b/>
                <w:i/>
              </w:rPr>
              <w:t>(b)</w:t>
            </w:r>
            <w:r w:rsidRPr="007D38BF">
              <w:rPr>
                <w:b/>
                <w:i/>
              </w:rPr>
              <w:tab/>
              <w:t>če urad OLAF v 60 dneh po prejemu ugotovi, da podatki niso relevantni za nobeno preiskavo v okviru njegovega mandata, jih izbriše in o tem uradno obvesti organ, ki jih je posredoval;</w:t>
            </w:r>
          </w:p>
        </w:tc>
      </w:tr>
      <w:tr w14:paraId="5140A7BE" w14:textId="77777777" w:rsidTr="00495A96">
        <w:tblPrEx>
          <w:tblW w:w="0" w:type="auto"/>
          <w:jc w:val="center"/>
          <w:tblLayout w:type="fixed"/>
          <w:tblLook w:val="0000"/>
        </w:tblPrEx>
        <w:trPr>
          <w:jc w:val="center"/>
        </w:trPr>
        <w:tc>
          <w:tcPr>
            <w:tcW w:w="4876" w:type="dxa"/>
          </w:tcPr>
          <w:p w:rsidR="007F5C8D" w:rsidRPr="007D38BF" w:rsidP="00495A96" w14:paraId="6AB02A93" w14:textId="77777777">
            <w:pPr>
              <w:pStyle w:val="Normal6"/>
            </w:pPr>
          </w:p>
        </w:tc>
        <w:tc>
          <w:tcPr>
            <w:tcW w:w="4876" w:type="dxa"/>
          </w:tcPr>
          <w:p w:rsidR="007F5C8D" w:rsidRPr="007D38BF" w:rsidP="00495A96" w14:paraId="035E3C6C" w14:textId="77777777">
            <w:pPr>
              <w:pStyle w:val="Normal6"/>
              <w:rPr>
                <w:szCs w:val="24"/>
              </w:rPr>
            </w:pPr>
            <w:r w:rsidRPr="007D38BF">
              <w:rPr>
                <w:b/>
                <w:i/>
              </w:rPr>
              <w:t>(c)</w:t>
            </w:r>
            <w:r w:rsidRPr="007D38BF">
              <w:rPr>
                <w:b/>
                <w:i/>
              </w:rPr>
              <w:tab/>
              <w:t xml:space="preserve">kadar urad OLAF preiskavo začne </w:t>
            </w:r>
            <w:r w:rsidRPr="007D38BF">
              <w:rPr>
                <w:b/>
                <w:i/>
              </w:rPr>
              <w:t>na podlagi posredovanih podatkov, se o tem uradno obvesti carinski organ, ki je podatke posredoval, ter se mu omogoči, da svojo oceno sporoči uradu OLAF in Evropskemu nadzorniku za varstvo podatkov, če meni, da obdelava presega to, kar je potrebno;</w:t>
            </w:r>
          </w:p>
        </w:tc>
      </w:tr>
      <w:tr w14:paraId="4A37B24C" w14:textId="77777777" w:rsidTr="00495A96">
        <w:tblPrEx>
          <w:tblW w:w="0" w:type="auto"/>
          <w:jc w:val="center"/>
          <w:tblLayout w:type="fixed"/>
          <w:tblLook w:val="0000"/>
        </w:tblPrEx>
        <w:trPr>
          <w:jc w:val="center"/>
        </w:trPr>
        <w:tc>
          <w:tcPr>
            <w:tcW w:w="4876" w:type="dxa"/>
          </w:tcPr>
          <w:p w:rsidR="007F5C8D" w:rsidRPr="007D38BF" w:rsidP="00495A96" w14:paraId="386FF9D1" w14:textId="77777777">
            <w:pPr>
              <w:pStyle w:val="Normal6"/>
            </w:pPr>
          </w:p>
        </w:tc>
        <w:tc>
          <w:tcPr>
            <w:tcW w:w="4876" w:type="dxa"/>
          </w:tcPr>
          <w:p w:rsidR="007F5C8D" w:rsidRPr="007D38BF" w:rsidP="00495A96" w14:paraId="3ACF9FF1" w14:textId="77777777">
            <w:pPr>
              <w:pStyle w:val="Normal6"/>
              <w:rPr>
                <w:szCs w:val="24"/>
              </w:rPr>
            </w:pPr>
            <w:r w:rsidRPr="007D38BF">
              <w:rPr>
                <w:b/>
                <w:i/>
              </w:rPr>
              <w:t>(d)</w:t>
            </w:r>
            <w:r w:rsidRPr="007D38BF">
              <w:rPr>
                <w:b/>
                <w:i/>
              </w:rPr>
              <w:tab/>
              <w:t>uporabljajo se pravila o varstvu podatkov iz Uredbe (EU) 2018/1725; urad OLAF za dostop, zagotovljen na podlagi tega odstavka, uporablja notranje zahteve v zvezi s pooblastilom iz člena 5 Uredbe (EU, Euratom) št. 883/2013.“</w:t>
            </w:r>
          </w:p>
        </w:tc>
      </w:tr>
    </w:tbl>
    <w:p w:rsidR="007F5C8D" w:rsidRPr="007D38BF" w:rsidP="007F5C8D" w14:paraId="55BFEDF7" w14:textId="77777777"/>
    <w:p w:rsidR="007F5C8D" w:rsidRPr="007D38BF" w:rsidP="007F5C8D" w14:paraId="3F190D33" w14:textId="0B3A3B3B">
      <w:pPr>
        <w:pStyle w:val="AmNumberTabs"/>
      </w:pPr>
      <w:r w:rsidRPr="007D38BF">
        <w:t>Sprememba</w:t>
      </w:r>
      <w:r w:rsidRPr="007D38BF">
        <w:tab/>
      </w:r>
      <w:r w:rsidRPr="007D38BF">
        <w:tab/>
        <w:t>47</w:t>
      </w:r>
    </w:p>
    <w:p w:rsidR="007F5C8D" w:rsidRPr="007D38BF" w:rsidP="007F5C8D" w14:paraId="3F1C29A8" w14:textId="77777777">
      <w:pPr>
        <w:pStyle w:val="NormalBold12b"/>
      </w:pPr>
      <w:r w:rsidRPr="007D38BF">
        <w:t>Predlog uredbe</w:t>
      </w:r>
    </w:p>
    <w:p w:rsidR="007F5C8D" w:rsidRPr="007D38BF" w:rsidP="007F5C8D" w14:paraId="3676DA7D" w14:textId="77777777">
      <w:pPr>
        <w:pStyle w:val="NormalBold"/>
      </w:pPr>
      <w:r w:rsidRPr="007D38BF">
        <w:t>Člen 1 – odstavek 1 – točka 5 a (novo)</w:t>
      </w:r>
    </w:p>
    <w:p w:rsidR="007F5C8D" w:rsidRPr="007D38BF" w:rsidP="007F5C8D" w14:paraId="08A8B9B1" w14:textId="77777777">
      <w:pPr>
        <w:keepNext/>
      </w:pPr>
      <w:r w:rsidRPr="007D38BF">
        <w:t>Uredba (EU) št. 904/2010</w:t>
      </w:r>
    </w:p>
    <w:p w:rsidR="007F5C8D" w:rsidRPr="007D38BF" w:rsidP="007F5C8D" w14:paraId="4BE86B54" w14:textId="77777777">
      <w:r w:rsidRPr="007D38BF">
        <w:t>Člen 59 – odstavek 1</w:t>
      </w:r>
    </w:p>
    <w:tbl>
      <w:tblPr>
        <w:tblW w:w="0" w:type="auto"/>
        <w:jc w:val="center"/>
        <w:tblLayout w:type="fixed"/>
        <w:tblCellMar>
          <w:left w:w="340" w:type="dxa"/>
          <w:right w:w="340" w:type="dxa"/>
        </w:tblCellMar>
        <w:tblLook w:val="0000"/>
      </w:tblPr>
      <w:tblGrid>
        <w:gridCol w:w="4876"/>
        <w:gridCol w:w="4876"/>
      </w:tblGrid>
      <w:tr w14:paraId="41EE6B26" w14:textId="77777777" w:rsidTr="00495A96">
        <w:tblPrEx>
          <w:tblW w:w="0" w:type="auto"/>
          <w:jc w:val="center"/>
          <w:tblLayout w:type="fixed"/>
          <w:tblLook w:val="0000"/>
        </w:tblPrEx>
        <w:trPr>
          <w:jc w:val="center"/>
        </w:trPr>
        <w:tc>
          <w:tcPr>
            <w:tcW w:w="9752" w:type="dxa"/>
            <w:gridSpan w:val="2"/>
          </w:tcPr>
          <w:p w:rsidR="007F5C8D" w:rsidRPr="007D38BF" w:rsidP="00495A96" w14:paraId="2E6A5FEA" w14:textId="77777777">
            <w:pPr>
              <w:keepNext/>
            </w:pPr>
          </w:p>
        </w:tc>
      </w:tr>
      <w:tr w14:paraId="24C6A19E" w14:textId="77777777" w:rsidTr="00495A96">
        <w:tblPrEx>
          <w:tblW w:w="0" w:type="auto"/>
          <w:jc w:val="center"/>
          <w:tblLayout w:type="fixed"/>
          <w:tblLook w:val="0000"/>
        </w:tblPrEx>
        <w:trPr>
          <w:jc w:val="center"/>
        </w:trPr>
        <w:tc>
          <w:tcPr>
            <w:tcW w:w="4876" w:type="dxa"/>
          </w:tcPr>
          <w:p w:rsidR="007F5C8D" w:rsidRPr="007D38BF" w:rsidP="00495A96" w14:paraId="72917428" w14:textId="77777777">
            <w:pPr>
              <w:pStyle w:val="ColumnHeading"/>
              <w:keepNext/>
            </w:pPr>
            <w:r w:rsidRPr="007D38BF">
              <w:t>Veljavno besedilo</w:t>
            </w:r>
          </w:p>
        </w:tc>
        <w:tc>
          <w:tcPr>
            <w:tcW w:w="4876" w:type="dxa"/>
          </w:tcPr>
          <w:p w:rsidR="007F5C8D" w:rsidRPr="007D38BF" w:rsidP="00495A96" w14:paraId="51221D30" w14:textId="79C8BA2A">
            <w:pPr>
              <w:pStyle w:val="ColumnHeading"/>
              <w:keepNext/>
            </w:pPr>
            <w:r w:rsidRPr="007D38BF">
              <w:t>Sprememba</w:t>
            </w:r>
          </w:p>
        </w:tc>
      </w:tr>
      <w:tr w14:paraId="077A5D28" w14:textId="77777777" w:rsidTr="00495A96">
        <w:tblPrEx>
          <w:tblW w:w="0" w:type="auto"/>
          <w:jc w:val="center"/>
          <w:tblLayout w:type="fixed"/>
          <w:tblLook w:val="0000"/>
        </w:tblPrEx>
        <w:trPr>
          <w:jc w:val="center"/>
        </w:trPr>
        <w:tc>
          <w:tcPr>
            <w:tcW w:w="4876" w:type="dxa"/>
          </w:tcPr>
          <w:p w:rsidR="007F5C8D" w:rsidRPr="007D38BF" w:rsidP="00495A96" w14:paraId="7332E271" w14:textId="77777777">
            <w:pPr>
              <w:pStyle w:val="Normal6"/>
            </w:pPr>
          </w:p>
        </w:tc>
        <w:tc>
          <w:tcPr>
            <w:tcW w:w="4876" w:type="dxa"/>
          </w:tcPr>
          <w:p w:rsidR="007F5C8D" w:rsidRPr="007D38BF" w:rsidP="00495A96" w14:paraId="02260429" w14:textId="77777777">
            <w:pPr>
              <w:pStyle w:val="Normal6"/>
              <w:rPr>
                <w:szCs w:val="24"/>
              </w:rPr>
            </w:pPr>
            <w:r w:rsidRPr="007D38BF">
              <w:rPr>
                <w:b/>
                <w:i/>
              </w:rPr>
              <w:t>(5a)</w:t>
            </w:r>
            <w:r w:rsidRPr="007D38BF">
              <w:rPr>
                <w:b/>
                <w:i/>
              </w:rPr>
              <w:tab/>
              <w:t>V členu 59 se odstavek 1 nadomesti z naslednjim:</w:t>
            </w:r>
          </w:p>
        </w:tc>
      </w:tr>
      <w:tr w14:paraId="53C03B4F" w14:textId="77777777" w:rsidTr="00495A96">
        <w:tblPrEx>
          <w:tblW w:w="0" w:type="auto"/>
          <w:jc w:val="center"/>
          <w:tblLayout w:type="fixed"/>
          <w:tblLook w:val="0000"/>
        </w:tblPrEx>
        <w:trPr>
          <w:jc w:val="center"/>
        </w:trPr>
        <w:tc>
          <w:tcPr>
            <w:tcW w:w="4876" w:type="dxa"/>
          </w:tcPr>
          <w:p w:rsidR="007F5C8D" w:rsidRPr="007D38BF" w:rsidP="00495A96" w14:paraId="7C548D37" w14:textId="77777777">
            <w:pPr>
              <w:pStyle w:val="Normal6"/>
            </w:pPr>
            <w:r w:rsidRPr="007D38BF">
              <w:rPr>
                <w:b/>
                <w:i/>
              </w:rPr>
              <w:t>1.</w:t>
            </w:r>
            <w:r w:rsidRPr="007D38BF">
              <w:rPr>
                <w:b/>
                <w:i/>
              </w:rPr>
              <w:tab/>
              <w:t>Do</w:t>
            </w:r>
            <w:r w:rsidRPr="007D38BF">
              <w:t xml:space="preserve"> 1. </w:t>
            </w:r>
            <w:r w:rsidRPr="007D38BF">
              <w:rPr>
                <w:b/>
                <w:i/>
              </w:rPr>
              <w:t>novembra 2013, nato pa vsakih pet let</w:t>
            </w:r>
            <w:r w:rsidRPr="007D38BF">
              <w:t xml:space="preserve">, </w:t>
            </w:r>
            <w:r w:rsidRPr="007D38BF">
              <w:rPr>
                <w:b/>
                <w:i/>
              </w:rPr>
              <w:t>Komisija poroča</w:t>
            </w:r>
            <w:r w:rsidRPr="007D38BF">
              <w:t xml:space="preserve"> Evropskemu parlamentu in </w:t>
            </w:r>
            <w:r w:rsidRPr="007D38BF">
              <w:rPr>
                <w:b/>
                <w:i/>
              </w:rPr>
              <w:t>Svetu</w:t>
            </w:r>
            <w:r w:rsidRPr="007D38BF">
              <w:t xml:space="preserve"> o uporabi te uredbe.</w:t>
            </w:r>
          </w:p>
        </w:tc>
        <w:tc>
          <w:tcPr>
            <w:tcW w:w="4876" w:type="dxa"/>
          </w:tcPr>
          <w:p w:rsidR="007F5C8D" w:rsidRPr="007D38BF" w:rsidP="00495A96" w14:paraId="52BA64F7" w14:textId="7F277AF6">
            <w:pPr>
              <w:pStyle w:val="Normal6"/>
              <w:rPr>
                <w:szCs w:val="24"/>
              </w:rPr>
            </w:pPr>
            <w:r w:rsidRPr="007D38BF">
              <w:rPr>
                <w:b/>
                <w:i/>
              </w:rPr>
              <w:t>„1.</w:t>
            </w:r>
            <w:r w:rsidRPr="007D38BF">
              <w:rPr>
                <w:b/>
                <w:i/>
              </w:rPr>
              <w:tab/>
              <w:t xml:space="preserve">Komisija vsaka tri leta od </w:t>
            </w:r>
            <w:r w:rsidRPr="007D38BF" w:rsidR="00936AB4">
              <w:rPr>
                <w:b/>
                <w:i/>
              </w:rPr>
              <w:t xml:space="preserve">… </w:t>
            </w:r>
            <w:r w:rsidRPr="007D38BF">
              <w:rPr>
                <w:b/>
                <w:i/>
              </w:rPr>
              <w:t>[</w:t>
            </w:r>
            <w:r w:rsidRPr="007D38BF" w:rsidR="00936AB4">
              <w:rPr>
                <w:b/>
                <w:i/>
              </w:rPr>
              <w:t xml:space="preserve">datum </w:t>
            </w:r>
            <w:r w:rsidRPr="007D38BF">
              <w:rPr>
                <w:b/>
                <w:i/>
              </w:rPr>
              <w:t>začetk</w:t>
            </w:r>
            <w:r w:rsidRPr="007D38BF" w:rsidR="00936AB4">
              <w:rPr>
                <w:b/>
                <w:i/>
              </w:rPr>
              <w:t>a</w:t>
            </w:r>
            <w:r w:rsidRPr="007D38BF">
              <w:rPr>
                <w:b/>
                <w:i/>
              </w:rPr>
              <w:t xml:space="preserve"> veljavnosti te uredbe] in na podlagi poročil EJT</w:t>
            </w:r>
            <w:r w:rsidRPr="007D38BF">
              <w:t xml:space="preserve">, </w:t>
            </w:r>
            <w:r w:rsidRPr="007D38BF">
              <w:rPr>
                <w:b/>
                <w:i/>
              </w:rPr>
              <w:t>urada OLAF in Eurofisca</w:t>
            </w:r>
            <w:r w:rsidRPr="007D38BF">
              <w:t xml:space="preserve"> Evropskemu parlamentu</w:t>
            </w:r>
            <w:r w:rsidRPr="007D38BF">
              <w:rPr>
                <w:b/>
                <w:i/>
              </w:rPr>
              <w:t>, Svetu</w:t>
            </w:r>
            <w:r w:rsidRPr="007D38BF">
              <w:t xml:space="preserve"> in </w:t>
            </w:r>
            <w:r w:rsidRPr="007D38BF">
              <w:rPr>
                <w:b/>
                <w:i/>
              </w:rPr>
              <w:t>Evropskemu računskemu sodišču predloži poročilo</w:t>
            </w:r>
            <w:r w:rsidRPr="007D38BF">
              <w:t xml:space="preserve"> o uporabi te uredbe.</w:t>
            </w:r>
            <w:r w:rsidRPr="007D38BF">
              <w:rPr>
                <w:b/>
                <w:i/>
              </w:rPr>
              <w:t xml:space="preserve"> V poročilu zlasti oceni:</w:t>
            </w:r>
          </w:p>
        </w:tc>
      </w:tr>
      <w:tr w14:paraId="7FBEFDCF" w14:textId="77777777" w:rsidTr="00495A96">
        <w:tblPrEx>
          <w:tblW w:w="0" w:type="auto"/>
          <w:jc w:val="center"/>
          <w:tblLayout w:type="fixed"/>
          <w:tblLook w:val="0000"/>
        </w:tblPrEx>
        <w:trPr>
          <w:jc w:val="center"/>
        </w:trPr>
        <w:tc>
          <w:tcPr>
            <w:tcW w:w="4876" w:type="dxa"/>
          </w:tcPr>
          <w:p w:rsidR="007F5C8D" w:rsidRPr="007D38BF" w:rsidP="00495A96" w14:paraId="10B02EE7" w14:textId="77777777">
            <w:pPr>
              <w:pStyle w:val="Normal6"/>
            </w:pPr>
          </w:p>
        </w:tc>
        <w:tc>
          <w:tcPr>
            <w:tcW w:w="4876" w:type="dxa"/>
          </w:tcPr>
          <w:p w:rsidR="007F5C8D" w:rsidRPr="007D38BF" w:rsidP="00495A96" w14:paraId="5204084B" w14:textId="77777777">
            <w:pPr>
              <w:pStyle w:val="Normal6"/>
              <w:rPr>
                <w:szCs w:val="24"/>
              </w:rPr>
            </w:pPr>
            <w:r w:rsidRPr="007D38BF">
              <w:rPr>
                <w:b/>
                <w:i/>
              </w:rPr>
              <w:t>(a)</w:t>
            </w:r>
            <w:r w:rsidRPr="007D38BF">
              <w:rPr>
                <w:b/>
                <w:i/>
              </w:rPr>
              <w:tab/>
              <w:t>operativno učinkovitost neposrednega dostopa EJT in urada OLAF do sistemov VIES, SURVEILLANCE in CESOP, kar vključuje povprečni čas čakanja na dostop, število preiskav, pri katerih je bil dosežen bistven napredek, in rezultate pregona oziroma upravnih ukrepov;</w:t>
            </w:r>
          </w:p>
        </w:tc>
      </w:tr>
      <w:tr w14:paraId="1B44F375" w14:textId="77777777" w:rsidTr="00495A96">
        <w:tblPrEx>
          <w:tblW w:w="0" w:type="auto"/>
          <w:jc w:val="center"/>
          <w:tblLayout w:type="fixed"/>
          <w:tblLook w:val="0000"/>
        </w:tblPrEx>
        <w:trPr>
          <w:jc w:val="center"/>
        </w:trPr>
        <w:tc>
          <w:tcPr>
            <w:tcW w:w="4876" w:type="dxa"/>
          </w:tcPr>
          <w:p w:rsidR="007F5C8D" w:rsidRPr="007D38BF" w:rsidP="00495A96" w14:paraId="5D1BE2DC" w14:textId="77777777">
            <w:pPr>
              <w:pStyle w:val="Normal6"/>
            </w:pPr>
          </w:p>
        </w:tc>
        <w:tc>
          <w:tcPr>
            <w:tcW w:w="4876" w:type="dxa"/>
          </w:tcPr>
          <w:p w:rsidR="007F5C8D" w:rsidRPr="007D38BF" w:rsidP="00495A96" w14:paraId="11DB0B16" w14:textId="77777777">
            <w:pPr>
              <w:pStyle w:val="Normal6"/>
              <w:rPr>
                <w:szCs w:val="24"/>
              </w:rPr>
            </w:pPr>
            <w:r w:rsidRPr="007D38BF">
              <w:rPr>
                <w:b/>
                <w:i/>
              </w:rPr>
              <w:t>(b)</w:t>
            </w:r>
            <w:r w:rsidRPr="007D38BF">
              <w:rPr>
                <w:b/>
                <w:i/>
              </w:rPr>
              <w:tab/>
              <w:t xml:space="preserve">usklajenost okvira za dostop in posredovanje podatkov z drugimi instrumenti, sprejetimi v sklopu revidirane strukture za boj proti goljufijam, vključno z ukrepi v zvezi z zmogljivostjo Eurofisca, upravljanjem sistema CESOP, harmonizacijo v zvezi z davčnimi </w:t>
            </w:r>
            <w:r w:rsidRPr="007D38BF">
              <w:rPr>
                <w:b/>
                <w:i/>
              </w:rPr>
              <w:t>zastopniki in konvergenco na področju kazni;</w:t>
            </w:r>
          </w:p>
        </w:tc>
      </w:tr>
      <w:tr w14:paraId="3D69E623" w14:textId="77777777" w:rsidTr="00495A96">
        <w:tblPrEx>
          <w:tblW w:w="0" w:type="auto"/>
          <w:jc w:val="center"/>
          <w:tblLayout w:type="fixed"/>
          <w:tblLook w:val="0000"/>
        </w:tblPrEx>
        <w:trPr>
          <w:jc w:val="center"/>
        </w:trPr>
        <w:tc>
          <w:tcPr>
            <w:tcW w:w="4876" w:type="dxa"/>
          </w:tcPr>
          <w:p w:rsidR="007F5C8D" w:rsidRPr="007D38BF" w:rsidP="00495A96" w14:paraId="3F3C8647" w14:textId="77777777">
            <w:pPr>
              <w:pStyle w:val="Normal6"/>
            </w:pPr>
          </w:p>
        </w:tc>
        <w:tc>
          <w:tcPr>
            <w:tcW w:w="4876" w:type="dxa"/>
          </w:tcPr>
          <w:p w:rsidR="007F5C8D" w:rsidRPr="007D38BF" w:rsidP="00495A96" w14:paraId="0FF8232B" w14:textId="77777777">
            <w:pPr>
              <w:pStyle w:val="Normal6"/>
              <w:rPr>
                <w:szCs w:val="24"/>
              </w:rPr>
            </w:pPr>
            <w:r w:rsidRPr="007D38BF">
              <w:rPr>
                <w:b/>
                <w:i/>
              </w:rPr>
              <w:t>(c)</w:t>
            </w:r>
            <w:r w:rsidRPr="007D38BF">
              <w:rPr>
                <w:b/>
                <w:i/>
              </w:rPr>
              <w:tab/>
              <w:t>delovanje in pravočasnost mehanizma za posredovanje podatkov na lastno pobudo iz člena 13a, vključno z nacionalnimi ureditvami za usklajevanje med carinskimi organi in organi za DDV;</w:t>
            </w:r>
          </w:p>
        </w:tc>
      </w:tr>
      <w:tr w14:paraId="0BBF0B43" w14:textId="77777777" w:rsidTr="00495A96">
        <w:tblPrEx>
          <w:tblW w:w="0" w:type="auto"/>
          <w:jc w:val="center"/>
          <w:tblLayout w:type="fixed"/>
          <w:tblLook w:val="0000"/>
        </w:tblPrEx>
        <w:trPr>
          <w:jc w:val="center"/>
        </w:trPr>
        <w:tc>
          <w:tcPr>
            <w:tcW w:w="4876" w:type="dxa"/>
          </w:tcPr>
          <w:p w:rsidR="007F5C8D" w:rsidRPr="007D38BF" w:rsidP="00495A96" w14:paraId="22AEAB6D" w14:textId="77777777">
            <w:pPr>
              <w:pStyle w:val="Normal6"/>
            </w:pPr>
          </w:p>
        </w:tc>
        <w:tc>
          <w:tcPr>
            <w:tcW w:w="4876" w:type="dxa"/>
          </w:tcPr>
          <w:p w:rsidR="007F5C8D" w:rsidRPr="007D38BF" w:rsidP="00495A96" w14:paraId="21F33EDB" w14:textId="77777777">
            <w:pPr>
              <w:pStyle w:val="Normal6"/>
              <w:rPr>
                <w:szCs w:val="24"/>
              </w:rPr>
            </w:pPr>
            <w:r w:rsidRPr="007D38BF">
              <w:rPr>
                <w:b/>
                <w:i/>
              </w:rPr>
              <w:t>(d)</w:t>
            </w:r>
            <w:r w:rsidRPr="007D38BF">
              <w:rPr>
                <w:b/>
                <w:i/>
              </w:rPr>
              <w:tab/>
              <w:t>rezultate izvrševanja, dosežene v državah članicah, ki ne sodelujejo v EJT, in ali so na podlagi revizije strukture za boj proti goljufijam vzpostavile enakovredne mehanizme;</w:t>
            </w:r>
          </w:p>
        </w:tc>
      </w:tr>
      <w:tr w14:paraId="5FD76B62" w14:textId="77777777" w:rsidTr="00495A96">
        <w:tblPrEx>
          <w:tblW w:w="0" w:type="auto"/>
          <w:jc w:val="center"/>
          <w:tblLayout w:type="fixed"/>
          <w:tblLook w:val="0000"/>
        </w:tblPrEx>
        <w:trPr>
          <w:jc w:val="center"/>
        </w:trPr>
        <w:tc>
          <w:tcPr>
            <w:tcW w:w="4876" w:type="dxa"/>
          </w:tcPr>
          <w:p w:rsidR="007F5C8D" w:rsidRPr="007D38BF" w:rsidP="00495A96" w14:paraId="3B1FC98E" w14:textId="77777777">
            <w:pPr>
              <w:pStyle w:val="Normal6"/>
            </w:pPr>
          </w:p>
        </w:tc>
        <w:tc>
          <w:tcPr>
            <w:tcW w:w="4876" w:type="dxa"/>
          </w:tcPr>
          <w:p w:rsidR="007F5C8D" w:rsidRPr="007D38BF" w:rsidP="00495A96" w14:paraId="4D84199D" w14:textId="77777777">
            <w:pPr>
              <w:pStyle w:val="Normal6"/>
              <w:rPr>
                <w:szCs w:val="24"/>
              </w:rPr>
            </w:pPr>
            <w:r w:rsidRPr="007D38BF">
              <w:rPr>
                <w:b/>
                <w:i/>
              </w:rPr>
              <w:t>(e)</w:t>
            </w:r>
            <w:r w:rsidRPr="007D38BF">
              <w:rPr>
                <w:b/>
                <w:i/>
              </w:rPr>
              <w:tab/>
              <w:t>ocenjene zneske DDV Unije in z njim povezane carinske prihodke, ki so bili izterjani ali ohranjeni neposredno zaradi izmenjave podatkov, in pravice do dostopa, določene s to uredbo; ter</w:t>
            </w:r>
          </w:p>
        </w:tc>
      </w:tr>
      <w:tr w14:paraId="635DAC96" w14:textId="77777777" w:rsidTr="00495A96">
        <w:tblPrEx>
          <w:tblW w:w="0" w:type="auto"/>
          <w:jc w:val="center"/>
          <w:tblLayout w:type="fixed"/>
          <w:tblLook w:val="0000"/>
        </w:tblPrEx>
        <w:trPr>
          <w:jc w:val="center"/>
        </w:trPr>
        <w:tc>
          <w:tcPr>
            <w:tcW w:w="4876" w:type="dxa"/>
          </w:tcPr>
          <w:p w:rsidR="007F5C8D" w:rsidRPr="007D38BF" w:rsidP="00495A96" w14:paraId="663F7627" w14:textId="77777777">
            <w:pPr>
              <w:pStyle w:val="Normal6"/>
            </w:pPr>
          </w:p>
        </w:tc>
        <w:tc>
          <w:tcPr>
            <w:tcW w:w="4876" w:type="dxa"/>
          </w:tcPr>
          <w:p w:rsidR="007F5C8D" w:rsidRPr="007D38BF" w:rsidP="00495A96" w14:paraId="2BA4910F" w14:textId="77777777">
            <w:pPr>
              <w:pStyle w:val="Normal6"/>
              <w:rPr>
                <w:szCs w:val="24"/>
              </w:rPr>
            </w:pPr>
            <w:r w:rsidRPr="007D38BF">
              <w:rPr>
                <w:b/>
                <w:i/>
              </w:rPr>
              <w:t>(f)</w:t>
            </w:r>
            <w:r w:rsidRPr="007D38BF">
              <w:rPr>
                <w:b/>
                <w:i/>
              </w:rPr>
              <w:tab/>
              <w:t>prispevek te uredbe k zbliževanju rezultatov izvrševanja v državah članicah, tudi kar zadeva izvedljivost razvoja metodologije na ravni Unije za merjenje nepobranih carinskih prihodkov, ki je po namenu primerljiva s kazalnikom vrzeli pri pobiranju DDV, ki ga vsako leto objavi Komisija.</w:t>
            </w:r>
          </w:p>
        </w:tc>
      </w:tr>
      <w:tr w14:paraId="05AA7580" w14:textId="77777777" w:rsidTr="00495A96">
        <w:tblPrEx>
          <w:tblW w:w="0" w:type="auto"/>
          <w:jc w:val="center"/>
          <w:tblLayout w:type="fixed"/>
          <w:tblLook w:val="0000"/>
        </w:tblPrEx>
        <w:trPr>
          <w:jc w:val="center"/>
        </w:trPr>
        <w:tc>
          <w:tcPr>
            <w:tcW w:w="4876" w:type="dxa"/>
          </w:tcPr>
          <w:p w:rsidR="007F5C8D" w:rsidRPr="007D38BF" w:rsidP="00495A96" w14:paraId="1BB2E2EA" w14:textId="77777777">
            <w:pPr>
              <w:pStyle w:val="Normal6"/>
            </w:pPr>
          </w:p>
        </w:tc>
        <w:tc>
          <w:tcPr>
            <w:tcW w:w="4876" w:type="dxa"/>
          </w:tcPr>
          <w:p w:rsidR="007F5C8D" w:rsidRPr="007D38BF" w:rsidP="00495A96" w14:paraId="38B7FE7B" w14:textId="77777777">
            <w:pPr>
              <w:pStyle w:val="Normal6"/>
              <w:rPr>
                <w:szCs w:val="24"/>
              </w:rPr>
            </w:pPr>
            <w:r w:rsidRPr="007D38BF">
              <w:rPr>
                <w:b/>
                <w:i/>
              </w:rPr>
              <w:t>Kadar so v poročilu ugotovljene trajne pomanjkljivosti pri uporabi te uredbe, Komisija v šestih mesecih po objavi poročila Evropskemu parlamentu in Svetu predloži zakonodajni predlog s popravnimi ukrepi.“</w:t>
            </w:r>
          </w:p>
        </w:tc>
      </w:tr>
    </w:tbl>
    <w:p w:rsidR="00E365E1" w:rsidRPr="007D38BF" w:rsidP="003C526E" w14:paraId="4276A45B" w14:textId="24914031"/>
    <w:sectPr w:rsidSect="007B1E0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3480951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130E966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5E784A8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1C2BB42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06E29B8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B1E0C" w14:paraId="6BFDD4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2377869">
    <w:abstractNumId w:val="9"/>
  </w:num>
  <w:num w:numId="2" w16cid:durableId="149949696">
    <w:abstractNumId w:val="9"/>
  </w:num>
  <w:num w:numId="3" w16cid:durableId="1481388117">
    <w:abstractNumId w:val="7"/>
  </w:num>
  <w:num w:numId="4" w16cid:durableId="1634674752">
    <w:abstractNumId w:val="7"/>
  </w:num>
  <w:num w:numId="5" w16cid:durableId="1961104036">
    <w:abstractNumId w:val="6"/>
  </w:num>
  <w:num w:numId="6" w16cid:durableId="440926380">
    <w:abstractNumId w:val="6"/>
  </w:num>
  <w:num w:numId="7" w16cid:durableId="1634751471">
    <w:abstractNumId w:val="5"/>
  </w:num>
  <w:num w:numId="8" w16cid:durableId="946615429">
    <w:abstractNumId w:val="5"/>
  </w:num>
  <w:num w:numId="9" w16cid:durableId="1475173257">
    <w:abstractNumId w:val="4"/>
  </w:num>
  <w:num w:numId="10" w16cid:durableId="1148982681">
    <w:abstractNumId w:val="4"/>
  </w:num>
  <w:num w:numId="11" w16cid:durableId="1419131145">
    <w:abstractNumId w:val="8"/>
  </w:num>
  <w:num w:numId="12" w16cid:durableId="2006668117">
    <w:abstractNumId w:val="8"/>
  </w:num>
  <w:num w:numId="13" w16cid:durableId="562370638">
    <w:abstractNumId w:val="3"/>
  </w:num>
  <w:num w:numId="14" w16cid:durableId="1700664567">
    <w:abstractNumId w:val="3"/>
  </w:num>
  <w:num w:numId="15" w16cid:durableId="1772387539">
    <w:abstractNumId w:val="2"/>
  </w:num>
  <w:num w:numId="16" w16cid:durableId="2033647915">
    <w:abstractNumId w:val="2"/>
  </w:num>
  <w:num w:numId="17" w16cid:durableId="170147872">
    <w:abstractNumId w:val="1"/>
  </w:num>
  <w:num w:numId="18" w16cid:durableId="1039009405">
    <w:abstractNumId w:val="1"/>
  </w:num>
  <w:num w:numId="19" w16cid:durableId="730730910">
    <w:abstractNumId w:val="0"/>
  </w:num>
  <w:num w:numId="20" w16cid:durableId="2138865484">
    <w:abstractNumId w:val="0"/>
  </w:num>
  <w:num w:numId="21" w16cid:durableId="1440905388">
    <w:abstractNumId w:val="9"/>
  </w:num>
  <w:num w:numId="22" w16cid:durableId="1546091603">
    <w:abstractNumId w:val="7"/>
  </w:num>
  <w:num w:numId="23" w16cid:durableId="1515875907">
    <w:abstractNumId w:val="6"/>
  </w:num>
  <w:num w:numId="24" w16cid:durableId="1277367744">
    <w:abstractNumId w:val="5"/>
  </w:num>
  <w:num w:numId="25" w16cid:durableId="1361315365">
    <w:abstractNumId w:val="4"/>
  </w:num>
  <w:num w:numId="26" w16cid:durableId="73013982">
    <w:abstractNumId w:val="8"/>
  </w:num>
  <w:num w:numId="27" w16cid:durableId="272321844">
    <w:abstractNumId w:val="3"/>
  </w:num>
  <w:num w:numId="28" w16cid:durableId="975767054">
    <w:abstractNumId w:val="2"/>
  </w:num>
  <w:num w:numId="29" w16cid:durableId="1940140188">
    <w:abstractNumId w:val="1"/>
  </w:num>
  <w:num w:numId="30" w16cid:durableId="1256135495">
    <w:abstractNumId w:val="0"/>
  </w:num>
  <w:num w:numId="31" w16cid:durableId="1401831713">
    <w:abstractNumId w:val="9"/>
  </w:num>
  <w:num w:numId="32" w16cid:durableId="29190663">
    <w:abstractNumId w:val="7"/>
  </w:num>
  <w:num w:numId="33" w16cid:durableId="720516789">
    <w:abstractNumId w:val="6"/>
  </w:num>
  <w:num w:numId="34" w16cid:durableId="901981541">
    <w:abstractNumId w:val="5"/>
  </w:num>
  <w:num w:numId="35" w16cid:durableId="446781485">
    <w:abstractNumId w:val="4"/>
  </w:num>
  <w:num w:numId="36" w16cid:durableId="1509558975">
    <w:abstractNumId w:val="8"/>
  </w:num>
  <w:num w:numId="37" w16cid:durableId="332101572">
    <w:abstractNumId w:val="3"/>
  </w:num>
  <w:num w:numId="38" w16cid:durableId="952906262">
    <w:abstractNumId w:val="2"/>
  </w:num>
  <w:num w:numId="39" w16cid:durableId="80563860">
    <w:abstractNumId w:val="1"/>
  </w:num>
  <w:num w:numId="40" w16cid:durableId="945694025">
    <w:abstractNumId w:val="0"/>
  </w:num>
  <w:num w:numId="41" w16cid:durableId="1858615700">
    <w:abstractNumId w:val="10"/>
  </w:num>
  <w:num w:numId="42" w16cid:durableId="1962878592">
    <w:abstractNumId w:val="10"/>
  </w:num>
  <w:num w:numId="43" w16cid:durableId="2133933618">
    <w:abstractNumId w:val="10"/>
  </w:num>
  <w:num w:numId="44" w16cid:durableId="1599828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26E"/>
    <w:rsid w:val="00002272"/>
    <w:rsid w:val="00064002"/>
    <w:rsid w:val="000677B9"/>
    <w:rsid w:val="000831BA"/>
    <w:rsid w:val="000A42CC"/>
    <w:rsid w:val="000E7DD9"/>
    <w:rsid w:val="0010095E"/>
    <w:rsid w:val="00125B37"/>
    <w:rsid w:val="00187494"/>
    <w:rsid w:val="001F32AE"/>
    <w:rsid w:val="002767FF"/>
    <w:rsid w:val="002B18FE"/>
    <w:rsid w:val="002B5493"/>
    <w:rsid w:val="002B6EE4"/>
    <w:rsid w:val="00337764"/>
    <w:rsid w:val="00343214"/>
    <w:rsid w:val="00361C00"/>
    <w:rsid w:val="00395FA1"/>
    <w:rsid w:val="003B1920"/>
    <w:rsid w:val="003C526E"/>
    <w:rsid w:val="003E15D4"/>
    <w:rsid w:val="00411CCE"/>
    <w:rsid w:val="0041666E"/>
    <w:rsid w:val="00421060"/>
    <w:rsid w:val="00471C19"/>
    <w:rsid w:val="0048229D"/>
    <w:rsid w:val="004867E3"/>
    <w:rsid w:val="00494A28"/>
    <w:rsid w:val="00495A96"/>
    <w:rsid w:val="004C0004"/>
    <w:rsid w:val="004C5D52"/>
    <w:rsid w:val="0050519A"/>
    <w:rsid w:val="005072A1"/>
    <w:rsid w:val="00514517"/>
    <w:rsid w:val="00545827"/>
    <w:rsid w:val="005464F5"/>
    <w:rsid w:val="00560270"/>
    <w:rsid w:val="00561190"/>
    <w:rsid w:val="005C2568"/>
    <w:rsid w:val="005E3C9B"/>
    <w:rsid w:val="005F1B17"/>
    <w:rsid w:val="006037C0"/>
    <w:rsid w:val="006631B6"/>
    <w:rsid w:val="00680577"/>
    <w:rsid w:val="006D734C"/>
    <w:rsid w:val="006F74FA"/>
    <w:rsid w:val="00731ADD"/>
    <w:rsid w:val="00734777"/>
    <w:rsid w:val="00741445"/>
    <w:rsid w:val="00747932"/>
    <w:rsid w:val="0075121A"/>
    <w:rsid w:val="00751A4A"/>
    <w:rsid w:val="00756632"/>
    <w:rsid w:val="00762C74"/>
    <w:rsid w:val="00766219"/>
    <w:rsid w:val="00786EC0"/>
    <w:rsid w:val="007B1E0C"/>
    <w:rsid w:val="007D1690"/>
    <w:rsid w:val="007D38BF"/>
    <w:rsid w:val="007E22AD"/>
    <w:rsid w:val="007F5C8D"/>
    <w:rsid w:val="00817416"/>
    <w:rsid w:val="00842779"/>
    <w:rsid w:val="00865F67"/>
    <w:rsid w:val="00881A7B"/>
    <w:rsid w:val="008840E5"/>
    <w:rsid w:val="00887B3E"/>
    <w:rsid w:val="008C2AC6"/>
    <w:rsid w:val="00906F07"/>
    <w:rsid w:val="00930C23"/>
    <w:rsid w:val="0093193B"/>
    <w:rsid w:val="00936AB4"/>
    <w:rsid w:val="009509D8"/>
    <w:rsid w:val="00950B64"/>
    <w:rsid w:val="00981893"/>
    <w:rsid w:val="00A1687D"/>
    <w:rsid w:val="00A43E52"/>
    <w:rsid w:val="00A4678D"/>
    <w:rsid w:val="00A778C7"/>
    <w:rsid w:val="00AB441E"/>
    <w:rsid w:val="00AB6293"/>
    <w:rsid w:val="00AE0928"/>
    <w:rsid w:val="00AE5A0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9F5"/>
    <w:rsid w:val="00D56C11"/>
    <w:rsid w:val="00D834A0"/>
    <w:rsid w:val="00D872DF"/>
    <w:rsid w:val="00D91E21"/>
    <w:rsid w:val="00DA7FCD"/>
    <w:rsid w:val="00DF1C27"/>
    <w:rsid w:val="00E365E1"/>
    <w:rsid w:val="00E820A4"/>
    <w:rsid w:val="00EB006A"/>
    <w:rsid w:val="00EB4772"/>
    <w:rsid w:val="00ED169E"/>
    <w:rsid w:val="00ED4235"/>
    <w:rsid w:val="00F04346"/>
    <w:rsid w:val="00F075DC"/>
    <w:rsid w:val="00F11666"/>
    <w:rsid w:val="00F149E9"/>
    <w:rsid w:val="00F5134D"/>
    <w:rsid w:val="00F74202"/>
    <w:rsid w:val="00F87713"/>
    <w:rsid w:val="00FB4360"/>
    <w:rsid w:val="00FD0C70"/>
  </w:rsids>
  <w:docVars>
    <w:docVar w:name="dvdocse" w:val="A10-0159/2026"/>
    <w:docVar w:name="dvlangue" w:val="SL"/>
    <w:docVar w:name="dvnumam" w:val="82"/>
    <w:docVar w:name="dvpe" w:val="784.400"/>
    <w:docVar w:name="dvrapporteur" w:val="Poročevalec: "/>
    <w:docVar w:name="dvstar" w:val="*"/>
    <w:docVar w:name="dvtitre" w:val="Zakonodajna resolucija Evropskega parlamenta z dne xx. junija 2026 o predlogu uredbe Sveta o spremembi Uredbe (EU) št. 904/2010 glede dostopa Evropskega javnega tožilstva (EJT) in Evropskega urada za boj proti goljufijam (OLAF) do informacij o davku na dodano vrednost na ravni Unij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520301"/>
  <w15:chartTrackingRefBased/>
  <w15:docId w15:val="{98BB1D2F-E906-40E1-BCD9-645B590A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5C8D"/>
    <w:pPr>
      <w:spacing w:before="480" w:after="240"/>
    </w:pPr>
  </w:style>
  <w:style w:type="paragraph" w:customStyle="1" w:styleId="Normal6a">
    <w:name w:val="Normal6a"/>
    <w:basedOn w:val="Normal"/>
    <w:rsid w:val="007F5C8D"/>
    <w:pPr>
      <w:spacing w:after="120"/>
    </w:pPr>
  </w:style>
  <w:style w:type="paragraph" w:customStyle="1" w:styleId="NormalBold">
    <w:name w:val="NormalBold"/>
    <w:basedOn w:val="Normal"/>
    <w:link w:val="NormalBoldChar"/>
    <w:rsid w:val="007F5C8D"/>
    <w:rPr>
      <w:b/>
    </w:rPr>
  </w:style>
  <w:style w:type="paragraph" w:customStyle="1" w:styleId="NormalHanging12a">
    <w:name w:val="NormalHanging12a"/>
    <w:basedOn w:val="Normal"/>
    <w:rsid w:val="007F5C8D"/>
    <w:pPr>
      <w:spacing w:after="240"/>
      <w:ind w:left="567" w:hanging="567"/>
    </w:pPr>
  </w:style>
  <w:style w:type="paragraph" w:customStyle="1" w:styleId="AmColumnHeading">
    <w:name w:val="AmColumnHeading"/>
    <w:basedOn w:val="Normal"/>
    <w:rsid w:val="007F5C8D"/>
    <w:pPr>
      <w:spacing w:after="240"/>
      <w:jc w:val="center"/>
    </w:pPr>
    <w:rPr>
      <w:i/>
    </w:rPr>
  </w:style>
  <w:style w:type="paragraph" w:customStyle="1" w:styleId="AmNumberTabs">
    <w:name w:val="AmNumberTabs"/>
    <w:basedOn w:val="Normal"/>
    <w:rsid w:val="007F5C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F5C8D"/>
    <w:pPr>
      <w:spacing w:before="240"/>
    </w:pPr>
    <w:rPr>
      <w:b/>
    </w:rPr>
  </w:style>
  <w:style w:type="paragraph" w:customStyle="1" w:styleId="Normal6">
    <w:name w:val="Normal6"/>
    <w:basedOn w:val="Normal"/>
    <w:link w:val="Normal6Char"/>
    <w:rsid w:val="007F5C8D"/>
    <w:pPr>
      <w:spacing w:after="120"/>
    </w:pPr>
  </w:style>
  <w:style w:type="character" w:customStyle="1" w:styleId="NormalBoldChar">
    <w:name w:val="NormalBold Char"/>
    <w:basedOn w:val="DefaultParagraphFont"/>
    <w:link w:val="NormalBold"/>
    <w:rsid w:val="007F5C8D"/>
    <w:rPr>
      <w:b/>
      <w:sz w:val="24"/>
      <w:lang w:val="sl-SI"/>
    </w:rPr>
  </w:style>
  <w:style w:type="character" w:customStyle="1" w:styleId="Normal6Char">
    <w:name w:val="Normal6 Char"/>
    <w:basedOn w:val="DefaultParagraphFont"/>
    <w:link w:val="Normal6"/>
    <w:rsid w:val="007F5C8D"/>
    <w:rPr>
      <w:sz w:val="24"/>
      <w:lang w:val="sl-SI"/>
    </w:rPr>
  </w:style>
  <w:style w:type="paragraph" w:customStyle="1" w:styleId="ColumnHeading">
    <w:name w:val="ColumnHeading"/>
    <w:basedOn w:val="Normal"/>
    <w:rsid w:val="007F5C8D"/>
    <w:pPr>
      <w:spacing w:after="240"/>
      <w:jc w:val="center"/>
    </w:pPr>
    <w:rPr>
      <w:i/>
    </w:rPr>
  </w:style>
  <w:style w:type="paragraph" w:customStyle="1" w:styleId="AMNumberTabs0">
    <w:name w:val="AMNumberTabs"/>
    <w:basedOn w:val="Normal"/>
    <w:rsid w:val="007F5C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36AB4"/>
    <w:rPr>
      <w:sz w:val="24"/>
      <w:lang w:val="sl-SI"/>
    </w:rPr>
  </w:style>
  <w:style w:type="character" w:styleId="CommentReference">
    <w:name w:val="annotation reference"/>
    <w:basedOn w:val="DefaultParagraphFont"/>
    <w:rsid w:val="006D734C"/>
    <w:rPr>
      <w:sz w:val="16"/>
      <w:szCs w:val="16"/>
    </w:rPr>
  </w:style>
  <w:style w:type="paragraph" w:styleId="CommentText">
    <w:name w:val="annotation text"/>
    <w:basedOn w:val="Normal"/>
    <w:link w:val="CommentTextChar"/>
    <w:rsid w:val="006D734C"/>
    <w:rPr>
      <w:sz w:val="20"/>
    </w:rPr>
  </w:style>
  <w:style w:type="character" w:customStyle="1" w:styleId="CommentTextChar">
    <w:name w:val="Comment Text Char"/>
    <w:basedOn w:val="DefaultParagraphFont"/>
    <w:link w:val="CommentText"/>
    <w:rsid w:val="006D734C"/>
    <w:rPr>
      <w:lang w:val="sl-SI"/>
    </w:rPr>
  </w:style>
  <w:style w:type="paragraph" w:styleId="CommentSubject">
    <w:name w:val="annotation subject"/>
    <w:basedOn w:val="CommentText"/>
    <w:next w:val="CommentText"/>
    <w:link w:val="CommentSubjectChar"/>
    <w:rsid w:val="006D734C"/>
    <w:rPr>
      <w:b/>
      <w:bCs/>
    </w:rPr>
  </w:style>
  <w:style w:type="character" w:customStyle="1" w:styleId="CommentSubjectChar">
    <w:name w:val="Comment Subject Char"/>
    <w:basedOn w:val="CommentTextChar"/>
    <w:link w:val="CommentSubject"/>
    <w:rsid w:val="006D734C"/>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6912</Words>
  <Characters>39590</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2026-06-17T10:30:00Z</dcterms:created>
  <dcterms:modified xsi:type="dcterms:W3CDTF">2026-06-17T10:30:00Z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A10-0159/2026</vt:lpwstr>
  </property>
  <property fmtid="{D5CDD505-2E9C-101B-9397-08002B2CF9AE}" pid="4" name="&lt;Type&gt;">
    <vt:lpwstr>RR</vt:lpwstr>
  </property>
</Properties>
</file>