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939B6" w14:paraId="3E092DED" w14:textId="77777777" w:rsidTr="0010095E">
        <w:trPr>
          <w:trHeight w:hRule="exact" w:val="1418"/>
        </w:trPr>
        <w:tc>
          <w:tcPr>
            <w:tcW w:w="6804" w:type="dxa"/>
            <w:shd w:val="clear" w:color="auto" w:fill="auto"/>
            <w:vAlign w:val="center"/>
          </w:tcPr>
          <w:p w14:paraId="3E326BEC" w14:textId="77777777" w:rsidR="00751A4A" w:rsidRPr="003939B6" w:rsidRDefault="00A00EA2" w:rsidP="0010095E">
            <w:pPr>
              <w:pStyle w:val="EPName"/>
            </w:pPr>
            <w:r w:rsidRPr="003939B6">
              <w:t>European Parliament</w:t>
            </w:r>
          </w:p>
          <w:p w14:paraId="2F630711" w14:textId="77777777" w:rsidR="00751A4A" w:rsidRPr="003939B6" w:rsidRDefault="005F1B17" w:rsidP="005F1B17">
            <w:pPr>
              <w:pStyle w:val="EPTerm"/>
              <w:rPr>
                <w:rStyle w:val="HideTWBExt"/>
                <w:noProof w:val="0"/>
                <w:vanish w:val="0"/>
                <w:color w:val="auto"/>
              </w:rPr>
            </w:pPr>
            <w:r w:rsidRPr="003939B6">
              <w:t>2024</w:t>
            </w:r>
            <w:r w:rsidR="00817416" w:rsidRPr="003939B6">
              <w:t>-202</w:t>
            </w:r>
            <w:r w:rsidRPr="003939B6">
              <w:t>9</w:t>
            </w:r>
          </w:p>
        </w:tc>
        <w:tc>
          <w:tcPr>
            <w:tcW w:w="2268" w:type="dxa"/>
            <w:shd w:val="clear" w:color="auto" w:fill="auto"/>
          </w:tcPr>
          <w:p w14:paraId="0512D1D9" w14:textId="77777777" w:rsidR="00751A4A" w:rsidRPr="003939B6" w:rsidRDefault="00187494" w:rsidP="0010095E">
            <w:pPr>
              <w:pStyle w:val="EPLogo"/>
            </w:pPr>
            <w:r w:rsidRPr="003939B6">
              <w:rPr>
                <w:noProof/>
                <w:lang w:eastAsia="ja-JP"/>
              </w:rPr>
              <w:drawing>
                <wp:inline distT="0" distB="0" distL="0" distR="0" wp14:anchorId="5A3252AB" wp14:editId="579A4A0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33AA81" w14:textId="77777777" w:rsidR="00D058B8" w:rsidRPr="003939B6" w:rsidRDefault="00D058B8" w:rsidP="004C5D52">
      <w:pPr>
        <w:pStyle w:val="LineTop"/>
      </w:pPr>
    </w:p>
    <w:p w14:paraId="3620BC54" w14:textId="77777777" w:rsidR="00680577" w:rsidRPr="003939B6" w:rsidRDefault="00A00EA2" w:rsidP="00680577">
      <w:pPr>
        <w:pStyle w:val="EPBodyTA1"/>
      </w:pPr>
      <w:r w:rsidRPr="003939B6">
        <w:t>TEXTS ADOPTED</w:t>
      </w:r>
    </w:p>
    <w:p w14:paraId="20E5B577" w14:textId="77777777" w:rsidR="00D058B8" w:rsidRPr="003939B6" w:rsidRDefault="00D058B8" w:rsidP="00D058B8">
      <w:pPr>
        <w:pStyle w:val="LineBottom"/>
      </w:pPr>
    </w:p>
    <w:p w14:paraId="276F5818" w14:textId="789BC672" w:rsidR="00A00EA2" w:rsidRPr="003939B6" w:rsidRDefault="00A00EA2" w:rsidP="00A00EA2">
      <w:pPr>
        <w:pStyle w:val="ATHeading1"/>
      </w:pPr>
      <w:bookmarkStart w:id="0" w:name="TANumber"/>
      <w:r w:rsidRPr="003939B6">
        <w:t>P10_TA(2026)</w:t>
      </w:r>
      <w:bookmarkEnd w:id="0"/>
      <w:r w:rsidR="00FB3D2A">
        <w:t>0214</w:t>
      </w:r>
    </w:p>
    <w:p w14:paraId="75935D98" w14:textId="77777777" w:rsidR="00A00EA2" w:rsidRPr="003939B6" w:rsidRDefault="00A00EA2" w:rsidP="00A00EA2">
      <w:pPr>
        <w:pStyle w:val="ATHeading2"/>
      </w:pPr>
      <w:bookmarkStart w:id="1" w:name="title"/>
      <w:r w:rsidRPr="003939B6">
        <w:t>Hague Convention (1980) on the Civil Aspects of International Child Abduction: accession of Cabo Verde</w:t>
      </w:r>
      <w:bookmarkEnd w:id="1"/>
    </w:p>
    <w:p w14:paraId="317A77FF" w14:textId="77777777" w:rsidR="00A00EA2" w:rsidRPr="003939B6" w:rsidRDefault="00A00EA2" w:rsidP="00A00EA2">
      <w:pPr>
        <w:rPr>
          <w:i/>
          <w:vanish/>
        </w:rPr>
      </w:pPr>
      <w:r w:rsidRPr="003939B6">
        <w:rPr>
          <w:i/>
        </w:rPr>
        <w:fldChar w:fldCharType="begin"/>
      </w:r>
      <w:r w:rsidRPr="003939B6">
        <w:rPr>
          <w:i/>
        </w:rPr>
        <w:instrText xml:space="preserve"> TC"(</w:instrText>
      </w:r>
      <w:bookmarkStart w:id="2" w:name="DocNumber"/>
      <w:r w:rsidRPr="003939B6">
        <w:rPr>
          <w:i/>
        </w:rPr>
        <w:instrText>A10-0157/2026</w:instrText>
      </w:r>
      <w:bookmarkEnd w:id="2"/>
      <w:r w:rsidRPr="003939B6">
        <w:rPr>
          <w:i/>
        </w:rPr>
        <w:instrText xml:space="preserve"> - Rapporteur: Ilhan Kyuchyuk)"\l3 \n&gt; \* MERGEFORMAT </w:instrText>
      </w:r>
      <w:r w:rsidRPr="003939B6">
        <w:rPr>
          <w:i/>
        </w:rPr>
        <w:fldChar w:fldCharType="end"/>
      </w:r>
    </w:p>
    <w:p w14:paraId="425A3B24" w14:textId="77777777" w:rsidR="00A00EA2" w:rsidRPr="003939B6" w:rsidRDefault="00A00EA2" w:rsidP="00A00EA2">
      <w:pPr>
        <w:rPr>
          <w:vanish/>
        </w:rPr>
      </w:pPr>
      <w:bookmarkStart w:id="3" w:name="Commission"/>
      <w:r w:rsidRPr="003939B6">
        <w:rPr>
          <w:vanish/>
        </w:rPr>
        <w:t>Committee on Legal Affairs</w:t>
      </w:r>
      <w:bookmarkEnd w:id="3"/>
    </w:p>
    <w:p w14:paraId="1A9BB530" w14:textId="77777777" w:rsidR="00A00EA2" w:rsidRPr="003939B6" w:rsidRDefault="00A00EA2" w:rsidP="00A00EA2">
      <w:pPr>
        <w:rPr>
          <w:vanish/>
        </w:rPr>
      </w:pPr>
      <w:bookmarkStart w:id="4" w:name="PE"/>
      <w:r w:rsidRPr="003939B6">
        <w:rPr>
          <w:vanish/>
        </w:rPr>
        <w:t>PE786.994</w:t>
      </w:r>
      <w:bookmarkEnd w:id="4"/>
    </w:p>
    <w:p w14:paraId="6282B57F" w14:textId="7CD768AF" w:rsidR="00A00EA2" w:rsidRPr="003939B6" w:rsidRDefault="00A00EA2" w:rsidP="00A00EA2">
      <w:pPr>
        <w:pStyle w:val="ATHeading3"/>
      </w:pPr>
      <w:bookmarkStart w:id="5" w:name="Sujet"/>
      <w:r w:rsidRPr="003939B6">
        <w:t xml:space="preserve">European Parliament legislative resolution of </w:t>
      </w:r>
      <w:r w:rsidR="004449B3">
        <w:t>17</w:t>
      </w:r>
      <w:r w:rsidRPr="003939B6">
        <w:t xml:space="preserve"> June 2026 on the proposal for a Council decision authorising the Member States to accept, in the interest of the European Union, the accession of Cabo Verde to the 1980 Hague Convention on the Civil Aspects of the International Child Abduction</w:t>
      </w:r>
      <w:bookmarkEnd w:id="5"/>
      <w:r w:rsidRPr="003939B6">
        <w:t xml:space="preserve"> </w:t>
      </w:r>
      <w:bookmarkStart w:id="6" w:name="References"/>
      <w:r w:rsidRPr="003939B6">
        <w:t>(</w:t>
      </w:r>
      <w:proofErr w:type="gramStart"/>
      <w:r w:rsidRPr="003939B6">
        <w:t>COM(</w:t>
      </w:r>
      <w:proofErr w:type="gramEnd"/>
      <w:r w:rsidRPr="003939B6">
        <w:t>2026)0063 – C10-0081/2026 – 2026/0041(NLE))</w:t>
      </w:r>
      <w:bookmarkEnd w:id="6"/>
    </w:p>
    <w:p w14:paraId="21BDDEE1" w14:textId="77777777" w:rsidR="00AD5A9D" w:rsidRPr="003939B6" w:rsidRDefault="00AD5A9D" w:rsidP="00AD5A9D">
      <w:pPr>
        <w:pStyle w:val="NormalBold"/>
      </w:pPr>
      <w:r w:rsidRPr="003939B6">
        <w:t>(Consultation)</w:t>
      </w:r>
    </w:p>
    <w:p w14:paraId="0C1C1C62" w14:textId="77777777" w:rsidR="00AD5A9D" w:rsidRPr="003939B6" w:rsidRDefault="00AD5A9D" w:rsidP="00AD5A9D">
      <w:pPr>
        <w:pStyle w:val="EPComma"/>
      </w:pPr>
      <w:r w:rsidRPr="003939B6">
        <w:rPr>
          <w:i/>
        </w:rPr>
        <w:t>The European Parliament</w:t>
      </w:r>
      <w:r w:rsidRPr="003939B6">
        <w:t>,</w:t>
      </w:r>
    </w:p>
    <w:p w14:paraId="2D7994E3" w14:textId="77777777" w:rsidR="00AD5A9D" w:rsidRPr="003939B6" w:rsidRDefault="00AD5A9D" w:rsidP="006C7F39">
      <w:pPr>
        <w:widowControl/>
        <w:spacing w:after="240"/>
        <w:ind w:left="567" w:hanging="567"/>
        <w:rPr>
          <w:szCs w:val="24"/>
        </w:rPr>
      </w:pPr>
      <w:r w:rsidRPr="003939B6">
        <w:t xml:space="preserve">– </w:t>
      </w:r>
      <w:r w:rsidRPr="003939B6">
        <w:tab/>
        <w:t>having regard to the proposal for a Council decision (</w:t>
      </w:r>
      <w:proofErr w:type="gramStart"/>
      <w:r w:rsidRPr="003939B6">
        <w:t>COM(</w:t>
      </w:r>
      <w:proofErr w:type="gramEnd"/>
      <w:r w:rsidRPr="003939B6">
        <w:t>2026)0063),</w:t>
      </w:r>
    </w:p>
    <w:p w14:paraId="2C5189EB" w14:textId="77777777" w:rsidR="00AD5A9D" w:rsidRPr="003939B6" w:rsidRDefault="00AD5A9D" w:rsidP="006C7F39">
      <w:pPr>
        <w:pStyle w:val="EndnoteText"/>
        <w:tabs>
          <w:tab w:val="clear" w:pos="1021"/>
          <w:tab w:val="clear" w:pos="1418"/>
          <w:tab w:val="clear" w:pos="1786"/>
          <w:tab w:val="clear" w:pos="2381"/>
          <w:tab w:val="clear" w:pos="2948"/>
          <w:tab w:val="clear" w:pos="3572"/>
          <w:tab w:val="clear" w:pos="4139"/>
          <w:tab w:val="clear" w:pos="4763"/>
          <w:tab w:val="clear" w:pos="5387"/>
          <w:tab w:val="clear" w:pos="5954"/>
          <w:tab w:val="clear" w:pos="6577"/>
          <w:tab w:val="clear" w:pos="7144"/>
        </w:tabs>
        <w:spacing w:after="240"/>
        <w:ind w:left="567" w:hanging="567"/>
        <w:jc w:val="left"/>
        <w:rPr>
          <w:szCs w:val="24"/>
        </w:rPr>
      </w:pPr>
      <w:r w:rsidRPr="003939B6">
        <w:rPr>
          <w:sz w:val="24"/>
        </w:rPr>
        <w:t>–</w:t>
      </w:r>
      <w:r w:rsidRPr="003939B6">
        <w:rPr>
          <w:sz w:val="24"/>
        </w:rPr>
        <w:tab/>
        <w:t xml:space="preserve">having regard to Article 38, </w:t>
      </w:r>
      <w:proofErr w:type="gramStart"/>
      <w:r w:rsidRPr="003939B6">
        <w:rPr>
          <w:sz w:val="24"/>
        </w:rPr>
        <w:t>fourth paragraph,</w:t>
      </w:r>
      <w:proofErr w:type="gramEnd"/>
      <w:r w:rsidRPr="003939B6">
        <w:rPr>
          <w:sz w:val="24"/>
        </w:rPr>
        <w:t xml:space="preserve"> of the 1980 Hague Convention on the Civil Aspects of International Child Abduction,</w:t>
      </w:r>
    </w:p>
    <w:p w14:paraId="4F24B61A" w14:textId="77777777" w:rsidR="00AD5A9D" w:rsidRPr="003939B6" w:rsidRDefault="00AD5A9D" w:rsidP="006C7F39">
      <w:pPr>
        <w:widowControl/>
        <w:spacing w:after="240"/>
        <w:ind w:left="567" w:hanging="567"/>
        <w:rPr>
          <w:szCs w:val="24"/>
        </w:rPr>
      </w:pPr>
      <w:r w:rsidRPr="003939B6">
        <w:sym w:font="Symbol" w:char="F02D"/>
      </w:r>
      <w:r w:rsidRPr="003939B6">
        <w:t xml:space="preserve"> </w:t>
      </w:r>
      <w:r w:rsidRPr="003939B6">
        <w:tab/>
        <w:t>having regard to Article 81(3) and Article 218(6), second subparagraph, point (b), of the Treaty on the Functioning of the European Union, pursuant to which the Council consulted Parliament (C10</w:t>
      </w:r>
      <w:r w:rsidRPr="003939B6">
        <w:noBreakHyphen/>
        <w:t>0081/2026),</w:t>
      </w:r>
    </w:p>
    <w:p w14:paraId="4E6AEEB4" w14:textId="77777777" w:rsidR="00AD5A9D" w:rsidRPr="003939B6" w:rsidRDefault="00AD5A9D" w:rsidP="006C7F39">
      <w:pPr>
        <w:widowControl/>
        <w:spacing w:after="240"/>
        <w:ind w:left="567" w:hanging="567"/>
      </w:pPr>
      <w:r w:rsidRPr="003939B6">
        <w:t>–</w:t>
      </w:r>
      <w:r w:rsidRPr="003939B6">
        <w:tab/>
        <w:t>having regard to the opinion of the Court of Justice</w:t>
      </w:r>
      <w:r w:rsidRPr="003939B6">
        <w:rPr>
          <w:vertAlign w:val="superscript"/>
        </w:rPr>
        <w:footnoteReference w:id="1"/>
      </w:r>
      <w:r w:rsidRPr="003939B6">
        <w:t xml:space="preserve"> on the exclusive external competence of the European Union for a declaration of acceptance for an accession to the 1980 Hague Convention on the Civil Aspect of International Child Abduction, </w:t>
      </w:r>
    </w:p>
    <w:p w14:paraId="77545D15" w14:textId="77777777" w:rsidR="00AD5A9D" w:rsidRPr="003939B6" w:rsidRDefault="00AD5A9D" w:rsidP="006C7F39">
      <w:pPr>
        <w:widowControl/>
        <w:spacing w:after="240"/>
        <w:ind w:left="567" w:hanging="567"/>
        <w:rPr>
          <w:szCs w:val="24"/>
        </w:rPr>
      </w:pPr>
      <w:r w:rsidRPr="003939B6">
        <w:t>–</w:t>
      </w:r>
      <w:r w:rsidRPr="003939B6">
        <w:tab/>
        <w:t>having regard to Rule 84 and Rule 117(8) of its Rules of Procedure,</w:t>
      </w:r>
    </w:p>
    <w:p w14:paraId="7A83EBD5" w14:textId="77777777" w:rsidR="00AD5A9D" w:rsidRPr="003939B6" w:rsidRDefault="00AD5A9D" w:rsidP="006C7F39">
      <w:pPr>
        <w:widowControl/>
        <w:spacing w:after="240"/>
        <w:ind w:left="567" w:hanging="567"/>
        <w:rPr>
          <w:szCs w:val="24"/>
        </w:rPr>
      </w:pPr>
      <w:r w:rsidRPr="003939B6">
        <w:t>–</w:t>
      </w:r>
      <w:r w:rsidRPr="003939B6">
        <w:tab/>
        <w:t>having regard to the report of the Committee on Legal Affairs (A10-0157/2026),</w:t>
      </w:r>
    </w:p>
    <w:p w14:paraId="31FB384D" w14:textId="77777777" w:rsidR="00AD5A9D" w:rsidRPr="003939B6" w:rsidRDefault="00AD5A9D" w:rsidP="006C7F39">
      <w:pPr>
        <w:widowControl/>
        <w:spacing w:after="240"/>
        <w:ind w:left="567" w:hanging="567"/>
        <w:rPr>
          <w:b/>
          <w:bCs/>
          <w:szCs w:val="24"/>
        </w:rPr>
      </w:pPr>
      <w:r w:rsidRPr="003939B6">
        <w:rPr>
          <w:bCs/>
          <w:szCs w:val="24"/>
        </w:rPr>
        <w:t>1.</w:t>
      </w:r>
      <w:r w:rsidRPr="003939B6">
        <w:rPr>
          <w:bCs/>
          <w:szCs w:val="24"/>
        </w:rPr>
        <w:tab/>
      </w:r>
      <w:r w:rsidRPr="003939B6">
        <w:t xml:space="preserve">Approves the </w:t>
      </w:r>
      <w:r w:rsidRPr="003939B6">
        <w:rPr>
          <w:szCs w:val="24"/>
        </w:rPr>
        <w:t xml:space="preserve">authorisation of the Member States to accept, in the interest of the European Union, the accession of Cabo Verde to the 1980 Hague Convention on the Civil Aspects of the International Child </w:t>
      </w:r>
      <w:proofErr w:type="gramStart"/>
      <w:r w:rsidRPr="003939B6">
        <w:rPr>
          <w:szCs w:val="24"/>
        </w:rPr>
        <w:t>Abduction;</w:t>
      </w:r>
      <w:proofErr w:type="gramEnd"/>
    </w:p>
    <w:p w14:paraId="3A387359" w14:textId="6FD5F070" w:rsidR="00E365E1" w:rsidRPr="003939B6" w:rsidRDefault="00AD5A9D" w:rsidP="006C7F39">
      <w:pPr>
        <w:widowControl/>
        <w:spacing w:after="240"/>
        <w:ind w:left="567" w:hanging="567"/>
      </w:pPr>
      <w:r w:rsidRPr="003939B6">
        <w:rPr>
          <w:bCs/>
          <w:szCs w:val="24"/>
        </w:rPr>
        <w:t>2.</w:t>
      </w:r>
      <w:r w:rsidRPr="003939B6">
        <w:rPr>
          <w:bCs/>
          <w:szCs w:val="24"/>
        </w:rPr>
        <w:tab/>
      </w:r>
      <w:r w:rsidRPr="003939B6">
        <w:t>Instructs its President to forward its position to the Council, the Commission and the governments and parliaments of the Member States, as well as to the Permanent Bureau of the Hague Conference on Private International Law.</w:t>
      </w:r>
    </w:p>
    <w:sectPr w:rsidR="00E365E1" w:rsidRPr="003939B6" w:rsidSect="003939B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57C7" w14:textId="77777777" w:rsidR="00A00EA2" w:rsidRPr="003939B6" w:rsidRDefault="00A00EA2">
      <w:r w:rsidRPr="003939B6">
        <w:separator/>
      </w:r>
    </w:p>
  </w:endnote>
  <w:endnote w:type="continuationSeparator" w:id="0">
    <w:p w14:paraId="4F51C7C2" w14:textId="77777777" w:rsidR="00A00EA2" w:rsidRPr="003939B6" w:rsidRDefault="00A00EA2">
      <w:r w:rsidRPr="00393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EC49" w14:textId="77777777" w:rsidR="00064002" w:rsidRPr="003939B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CEAB" w14:textId="77777777" w:rsidR="00064002" w:rsidRPr="003939B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0C41" w14:textId="77777777" w:rsidR="00064002" w:rsidRPr="003939B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082A" w14:textId="77777777" w:rsidR="00A00EA2" w:rsidRPr="003939B6" w:rsidRDefault="00A00EA2">
      <w:r w:rsidRPr="003939B6">
        <w:separator/>
      </w:r>
    </w:p>
  </w:footnote>
  <w:footnote w:type="continuationSeparator" w:id="0">
    <w:p w14:paraId="5941E96C" w14:textId="77777777" w:rsidR="00A00EA2" w:rsidRPr="003939B6" w:rsidRDefault="00A00EA2">
      <w:r w:rsidRPr="003939B6">
        <w:continuationSeparator/>
      </w:r>
    </w:p>
  </w:footnote>
  <w:footnote w:id="1">
    <w:p w14:paraId="39347F25" w14:textId="348106FD" w:rsidR="00AD5A9D" w:rsidRPr="006C7F39" w:rsidRDefault="00AD5A9D" w:rsidP="006C7F39">
      <w:pPr>
        <w:widowControl/>
        <w:ind w:left="567" w:hanging="567"/>
        <w:rPr>
          <w:vertAlign w:val="superscript"/>
        </w:rPr>
      </w:pPr>
      <w:r w:rsidRPr="003939B6">
        <w:rPr>
          <w:rStyle w:val="FootnoteReference"/>
        </w:rPr>
        <w:footnoteRef/>
      </w:r>
      <w:r w:rsidR="003939B6" w:rsidRPr="003939B6">
        <w:t xml:space="preserve"> </w:t>
      </w:r>
      <w:r w:rsidR="003939B6" w:rsidRPr="003939B6">
        <w:tab/>
      </w:r>
      <w:r w:rsidRPr="003939B6">
        <w:t>Opinion 1/13 of the Court of Justice of 14 October 2014, ECLI:EU:C:2014:2303.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D63B" w14:textId="77777777" w:rsidR="00064002" w:rsidRPr="003939B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40BC" w14:textId="77777777" w:rsidR="00064002" w:rsidRPr="003939B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2E50" w14:textId="77777777" w:rsidR="00064002" w:rsidRPr="003939B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24419642">
    <w:abstractNumId w:val="9"/>
  </w:num>
  <w:num w:numId="2" w16cid:durableId="963804141">
    <w:abstractNumId w:val="9"/>
  </w:num>
  <w:num w:numId="3" w16cid:durableId="901214036">
    <w:abstractNumId w:val="7"/>
  </w:num>
  <w:num w:numId="4" w16cid:durableId="856311369">
    <w:abstractNumId w:val="7"/>
  </w:num>
  <w:num w:numId="5" w16cid:durableId="1961570641">
    <w:abstractNumId w:val="6"/>
  </w:num>
  <w:num w:numId="6" w16cid:durableId="1349064211">
    <w:abstractNumId w:val="6"/>
  </w:num>
  <w:num w:numId="7" w16cid:durableId="1041245687">
    <w:abstractNumId w:val="5"/>
  </w:num>
  <w:num w:numId="8" w16cid:durableId="327707293">
    <w:abstractNumId w:val="5"/>
  </w:num>
  <w:num w:numId="9" w16cid:durableId="1314330184">
    <w:abstractNumId w:val="4"/>
  </w:num>
  <w:num w:numId="10" w16cid:durableId="346516595">
    <w:abstractNumId w:val="4"/>
  </w:num>
  <w:num w:numId="11" w16cid:durableId="199369194">
    <w:abstractNumId w:val="8"/>
  </w:num>
  <w:num w:numId="12" w16cid:durableId="1073549507">
    <w:abstractNumId w:val="8"/>
  </w:num>
  <w:num w:numId="13" w16cid:durableId="1553540289">
    <w:abstractNumId w:val="3"/>
  </w:num>
  <w:num w:numId="14" w16cid:durableId="1372879417">
    <w:abstractNumId w:val="3"/>
  </w:num>
  <w:num w:numId="15" w16cid:durableId="1295022758">
    <w:abstractNumId w:val="2"/>
  </w:num>
  <w:num w:numId="16" w16cid:durableId="1183663067">
    <w:abstractNumId w:val="2"/>
  </w:num>
  <w:num w:numId="17" w16cid:durableId="1259482522">
    <w:abstractNumId w:val="1"/>
  </w:num>
  <w:num w:numId="18" w16cid:durableId="528110162">
    <w:abstractNumId w:val="1"/>
  </w:num>
  <w:num w:numId="19" w16cid:durableId="89661573">
    <w:abstractNumId w:val="0"/>
  </w:num>
  <w:num w:numId="20" w16cid:durableId="1409887364">
    <w:abstractNumId w:val="0"/>
  </w:num>
  <w:num w:numId="21" w16cid:durableId="802499773">
    <w:abstractNumId w:val="9"/>
  </w:num>
  <w:num w:numId="22" w16cid:durableId="259526958">
    <w:abstractNumId w:val="7"/>
  </w:num>
  <w:num w:numId="23" w16cid:durableId="1320034520">
    <w:abstractNumId w:val="6"/>
  </w:num>
  <w:num w:numId="24" w16cid:durableId="209221725">
    <w:abstractNumId w:val="5"/>
  </w:num>
  <w:num w:numId="25" w16cid:durableId="1022786400">
    <w:abstractNumId w:val="4"/>
  </w:num>
  <w:num w:numId="26" w16cid:durableId="1148593377">
    <w:abstractNumId w:val="8"/>
  </w:num>
  <w:num w:numId="27" w16cid:durableId="1989166660">
    <w:abstractNumId w:val="3"/>
  </w:num>
  <w:num w:numId="28" w16cid:durableId="1214610566">
    <w:abstractNumId w:val="2"/>
  </w:num>
  <w:num w:numId="29" w16cid:durableId="246036511">
    <w:abstractNumId w:val="1"/>
  </w:num>
  <w:num w:numId="30" w16cid:durableId="1888107158">
    <w:abstractNumId w:val="0"/>
  </w:num>
  <w:num w:numId="31" w16cid:durableId="1593276171">
    <w:abstractNumId w:val="9"/>
  </w:num>
  <w:num w:numId="32" w16cid:durableId="1387409838">
    <w:abstractNumId w:val="7"/>
  </w:num>
  <w:num w:numId="33" w16cid:durableId="428280269">
    <w:abstractNumId w:val="6"/>
  </w:num>
  <w:num w:numId="34" w16cid:durableId="611324651">
    <w:abstractNumId w:val="5"/>
  </w:num>
  <w:num w:numId="35" w16cid:durableId="834150178">
    <w:abstractNumId w:val="4"/>
  </w:num>
  <w:num w:numId="36" w16cid:durableId="1702434796">
    <w:abstractNumId w:val="8"/>
  </w:num>
  <w:num w:numId="37" w16cid:durableId="194275906">
    <w:abstractNumId w:val="3"/>
  </w:num>
  <w:num w:numId="38" w16cid:durableId="283854258">
    <w:abstractNumId w:val="2"/>
  </w:num>
  <w:num w:numId="39" w16cid:durableId="1648899773">
    <w:abstractNumId w:val="1"/>
  </w:num>
  <w:num w:numId="40" w16cid:durableId="150024343">
    <w:abstractNumId w:val="0"/>
  </w:num>
  <w:num w:numId="41" w16cid:durableId="1927689240">
    <w:abstractNumId w:val="10"/>
  </w:num>
  <w:num w:numId="42" w16cid:durableId="1646425063">
    <w:abstractNumId w:val="10"/>
  </w:num>
  <w:num w:numId="43" w16cid:durableId="1930236133">
    <w:abstractNumId w:val="10"/>
  </w:num>
  <w:num w:numId="44" w16cid:durableId="16171019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7/2026"/>
    <w:docVar w:name="dvlangue" w:val="EN"/>
    <w:docVar w:name="dvnumam" w:val="0"/>
    <w:docVar w:name="dvpe" w:val="786.994"/>
    <w:docVar w:name="dvrapporteur" w:val="Rapporteur: "/>
    <w:docVar w:name="dvstar" w:val="*"/>
    <w:docVar w:name="dvtitre" w:val="European Parliament legislative resolution of xx June 2026 on the proposal for a Council decision authorising the Member States to accept, in the interest of the European Union, the accession of Cabo Verde to the 1980 Hague Convention on the Civil Aspects of the International Child Abduction(COM(2026)0063 – C10-0081/2026 – 2026/0041(NLE))"/>
  </w:docVars>
  <w:rsids>
    <w:rsidRoot w:val="00A00EA2"/>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39B6"/>
    <w:rsid w:val="00395FA1"/>
    <w:rsid w:val="003E15D4"/>
    <w:rsid w:val="00411CCE"/>
    <w:rsid w:val="0041666E"/>
    <w:rsid w:val="00421060"/>
    <w:rsid w:val="004449B3"/>
    <w:rsid w:val="00462980"/>
    <w:rsid w:val="00471C19"/>
    <w:rsid w:val="004867E3"/>
    <w:rsid w:val="00494A28"/>
    <w:rsid w:val="004A2134"/>
    <w:rsid w:val="004C0004"/>
    <w:rsid w:val="004C5D52"/>
    <w:rsid w:val="0050519A"/>
    <w:rsid w:val="005072A1"/>
    <w:rsid w:val="00514517"/>
    <w:rsid w:val="00545827"/>
    <w:rsid w:val="00560270"/>
    <w:rsid w:val="005C2568"/>
    <w:rsid w:val="005F1B17"/>
    <w:rsid w:val="006037C0"/>
    <w:rsid w:val="00604496"/>
    <w:rsid w:val="006631B6"/>
    <w:rsid w:val="00680577"/>
    <w:rsid w:val="006C7F3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685F"/>
    <w:rsid w:val="00981893"/>
    <w:rsid w:val="00A00EA2"/>
    <w:rsid w:val="00A1687D"/>
    <w:rsid w:val="00A43E52"/>
    <w:rsid w:val="00A4678D"/>
    <w:rsid w:val="00A778C7"/>
    <w:rsid w:val="00AB441E"/>
    <w:rsid w:val="00AB6293"/>
    <w:rsid w:val="00AD5A9D"/>
    <w:rsid w:val="00AE0928"/>
    <w:rsid w:val="00AF3B82"/>
    <w:rsid w:val="00B12E95"/>
    <w:rsid w:val="00B22876"/>
    <w:rsid w:val="00B41C35"/>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5134D"/>
    <w:rsid w:val="00F74202"/>
    <w:rsid w:val="00F87713"/>
    <w:rsid w:val="00FB3D2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B8FF7"/>
  <w15:chartTrackingRefBased/>
  <w15:docId w15:val="{FFDD6708-3BDC-469B-9248-37EA1C37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AD5A9D"/>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D5A9D"/>
    <w:pPr>
      <w:spacing w:before="480" w:after="240"/>
    </w:pPr>
  </w:style>
  <w:style w:type="paragraph" w:customStyle="1" w:styleId="NormalBold">
    <w:name w:val="NormalBold"/>
    <w:basedOn w:val="Normal"/>
    <w:rsid w:val="00AD5A9D"/>
    <w:rPr>
      <w:b/>
    </w:rPr>
  </w:style>
  <w:style w:type="paragraph" w:styleId="Header">
    <w:name w:val="header"/>
    <w:basedOn w:val="Normal"/>
    <w:link w:val="HeaderChar"/>
    <w:rsid w:val="00AD5A9D"/>
    <w:pPr>
      <w:tabs>
        <w:tab w:val="center" w:pos="4513"/>
        <w:tab w:val="right" w:pos="9026"/>
      </w:tabs>
    </w:pPr>
  </w:style>
  <w:style w:type="character" w:customStyle="1" w:styleId="HeaderChar">
    <w:name w:val="Header Char"/>
    <w:basedOn w:val="DefaultParagraphFont"/>
    <w:link w:val="Header"/>
    <w:rsid w:val="00AD5A9D"/>
    <w:rPr>
      <w:sz w:val="24"/>
    </w:rPr>
  </w:style>
  <w:style w:type="paragraph" w:customStyle="1" w:styleId="EPFooter">
    <w:name w:val="EPFooter"/>
    <w:basedOn w:val="Normal"/>
    <w:rsid w:val="00AD5A9D"/>
    <w:pPr>
      <w:tabs>
        <w:tab w:val="center" w:pos="4535"/>
        <w:tab w:val="right" w:pos="9071"/>
      </w:tabs>
      <w:spacing w:before="240" w:after="240"/>
    </w:pPr>
    <w:rPr>
      <w:color w:val="010000"/>
      <w:sz w:val="22"/>
    </w:rPr>
  </w:style>
  <w:style w:type="paragraph" w:styleId="EndnoteText">
    <w:name w:val="endnote text"/>
    <w:basedOn w:val="Normal"/>
    <w:link w:val="EndnoteTextChar"/>
    <w:unhideWhenUsed/>
    <w:rsid w:val="00AD5A9D"/>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jc w:val="both"/>
    </w:pPr>
    <w:rPr>
      <w:sz w:val="20"/>
    </w:rPr>
  </w:style>
  <w:style w:type="character" w:customStyle="1" w:styleId="EndnoteTextChar">
    <w:name w:val="Endnote Text Char"/>
    <w:basedOn w:val="DefaultParagraphFont"/>
    <w:link w:val="EndnoteText"/>
    <w:rsid w:val="00AD5A9D"/>
  </w:style>
  <w:style w:type="paragraph" w:styleId="ListParagraph">
    <w:name w:val="List Paragraph"/>
    <w:basedOn w:val="Normal"/>
    <w:uiPriority w:val="34"/>
    <w:qFormat/>
    <w:rsid w:val="00AD5A9D"/>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ind w:left="720"/>
      <w:contextualSpacing/>
      <w:jc w:val="both"/>
    </w:pPr>
  </w:style>
  <w:style w:type="paragraph" w:styleId="Revision">
    <w:name w:val="Revision"/>
    <w:hidden/>
    <w:uiPriority w:val="99"/>
    <w:semiHidden/>
    <w:rsid w:val="004449B3"/>
    <w:rPr>
      <w:sz w:val="24"/>
    </w:rPr>
  </w:style>
  <w:style w:type="character" w:styleId="CommentReference">
    <w:name w:val="annotation reference"/>
    <w:basedOn w:val="DefaultParagraphFont"/>
    <w:rsid w:val="004449B3"/>
    <w:rPr>
      <w:sz w:val="16"/>
      <w:szCs w:val="16"/>
    </w:rPr>
  </w:style>
  <w:style w:type="paragraph" w:styleId="CommentText">
    <w:name w:val="annotation text"/>
    <w:basedOn w:val="Normal"/>
    <w:link w:val="CommentTextChar"/>
    <w:rsid w:val="004449B3"/>
    <w:rPr>
      <w:sz w:val="20"/>
    </w:rPr>
  </w:style>
  <w:style w:type="character" w:customStyle="1" w:styleId="CommentTextChar">
    <w:name w:val="Comment Text Char"/>
    <w:basedOn w:val="DefaultParagraphFont"/>
    <w:link w:val="CommentText"/>
    <w:rsid w:val="004449B3"/>
  </w:style>
  <w:style w:type="paragraph" w:styleId="CommentSubject">
    <w:name w:val="annotation subject"/>
    <w:basedOn w:val="CommentText"/>
    <w:next w:val="CommentText"/>
    <w:link w:val="CommentSubjectChar"/>
    <w:rsid w:val="004449B3"/>
    <w:rPr>
      <w:b/>
      <w:bCs/>
    </w:rPr>
  </w:style>
  <w:style w:type="character" w:customStyle="1" w:styleId="CommentSubjectChar">
    <w:name w:val="Comment Subject Char"/>
    <w:basedOn w:val="CommentTextChar"/>
    <w:link w:val="CommentSubject"/>
    <w:rsid w:val="004449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1650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2026-06-17T12:13:00Z</dcterms:created>
  <dcterms:modified xsi:type="dcterms:W3CDTF">2026-06-17T12:13:00Z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A10-0157/2026</vt:lpwstr>
  </property>
  <property fmtid="{D5CDD505-2E9C-101B-9397-08002B2CF9AE}" pid="4" name="&lt;Type&gt;">
    <vt:lpwstr>RR</vt:lpwstr>
  </property>
</Properties>
</file>