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FE000C" w14:textId="77777777" w:rsidTr="0010095E">
        <w:tblPrEx>
          <w:tblW w:w="9072" w:type="dxa"/>
          <w:tblLook w:val="01E0"/>
        </w:tblPrEx>
        <w:trPr>
          <w:trHeight w:hRule="exact" w:val="1418"/>
        </w:trPr>
        <w:tc>
          <w:tcPr>
            <w:tcW w:w="6804" w:type="dxa"/>
            <w:shd w:val="clear" w:color="auto" w:fill="auto"/>
            <w:vAlign w:val="center"/>
          </w:tcPr>
          <w:p w:rsidR="00751A4A" w:rsidRPr="004E4804" w:rsidP="0010095E" w14:paraId="348725FB" w14:textId="77777777">
            <w:pPr>
              <w:pStyle w:val="EPName"/>
            </w:pPr>
            <w:r w:rsidRPr="004E4804">
              <w:t>Parlamento europeo</w:t>
            </w:r>
          </w:p>
          <w:p w:rsidR="00751A4A" w:rsidRPr="004E4804" w:rsidP="005F1B17" w14:paraId="3FC8DF7B" w14:textId="77777777">
            <w:pPr>
              <w:pStyle w:val="EPTerm"/>
              <w:rPr>
                <w:rStyle w:val="HideTWBExt"/>
                <w:noProof w:val="0"/>
                <w:vanish w:val="0"/>
                <w:color w:val="auto"/>
              </w:rPr>
            </w:pPr>
            <w:r w:rsidRPr="004E4804">
              <w:t>2024</w:t>
            </w:r>
            <w:r w:rsidRPr="004E4804" w:rsidR="00817416">
              <w:t>-202</w:t>
            </w:r>
            <w:r w:rsidRPr="004E4804">
              <w:t>9</w:t>
            </w:r>
          </w:p>
        </w:tc>
        <w:tc>
          <w:tcPr>
            <w:tcW w:w="2268" w:type="dxa"/>
            <w:shd w:val="clear" w:color="auto" w:fill="auto"/>
          </w:tcPr>
          <w:p w:rsidR="00751A4A" w:rsidRPr="004E4804" w:rsidP="0010095E" w14:paraId="18324E99" w14:textId="77777777">
            <w:pPr>
              <w:pStyle w:val="EPLogo"/>
            </w:pPr>
            <w:r w:rsidRPr="004E48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4804" w:rsidP="004C5D52" w14:paraId="1754BC9B" w14:textId="77777777">
      <w:pPr>
        <w:pStyle w:val="LineTop"/>
      </w:pPr>
    </w:p>
    <w:p w:rsidR="00680577" w:rsidRPr="004E4804" w:rsidP="00680577" w14:paraId="28D43D88" w14:textId="77777777">
      <w:pPr>
        <w:pStyle w:val="EPBodyTA1"/>
      </w:pPr>
      <w:r w:rsidRPr="004E4804">
        <w:t>TESTI APPROVATI</w:t>
      </w:r>
    </w:p>
    <w:p w:rsidR="00D058B8" w:rsidRPr="004E4804" w:rsidP="00D058B8" w14:paraId="71495F39" w14:textId="77777777">
      <w:pPr>
        <w:pStyle w:val="LineBottom"/>
      </w:pPr>
    </w:p>
    <w:p w:rsidR="004A2CC3" w:rsidRPr="004E4804" w:rsidP="004A2CC3" w14:paraId="26D6FF3A" w14:textId="2E266559">
      <w:pPr>
        <w:pStyle w:val="ATHeading1"/>
      </w:pPr>
      <w:bookmarkStart w:id="0" w:name="TANumber"/>
      <w:r w:rsidRPr="004E4804">
        <w:t>P10_</w:t>
      </w:r>
      <w:r w:rsidRPr="004E4804">
        <w:t>TA(</w:t>
      </w:r>
      <w:r w:rsidRPr="004E4804">
        <w:t>2026)0</w:t>
      </w:r>
      <w:r w:rsidRPr="004E4804" w:rsidR="004E4804">
        <w:t>214</w:t>
      </w:r>
      <w:bookmarkEnd w:id="0"/>
    </w:p>
    <w:p w:rsidR="004A2CC3" w:rsidRPr="004E4804" w:rsidP="004A2CC3" w14:paraId="210A0EBE" w14:textId="77777777">
      <w:pPr>
        <w:pStyle w:val="ATHeading2"/>
      </w:pPr>
      <w:bookmarkStart w:id="1" w:name="title"/>
      <w:r w:rsidRPr="004E4804">
        <w:t xml:space="preserve">Convenzione dell'Aia del 1980 sugli aspetti civili della sottrazione internazionale di minori: adesione di </w:t>
      </w:r>
      <w:r w:rsidRPr="004E4804">
        <w:t>Cabo</w:t>
      </w:r>
      <w:r w:rsidRPr="004E4804">
        <w:t xml:space="preserve"> Verde</w:t>
      </w:r>
      <w:bookmarkEnd w:id="1"/>
    </w:p>
    <w:p w:rsidR="004A2CC3" w:rsidRPr="004E4804" w:rsidP="004A2CC3" w14:paraId="19E44B1E" w14:textId="77777777">
      <w:pPr>
        <w:rPr>
          <w:i/>
          <w:vanish/>
        </w:rPr>
      </w:pPr>
      <w:r>
        <w:rPr>
          <w:i/>
        </w:rPr>
        <w:fldChar w:fldCharType="begin"/>
      </w:r>
      <w:r w:rsidRPr="004E4804">
        <w:rPr>
          <w:i/>
        </w:rPr>
        <w:instrText xml:space="preserve"> TC"(</w:instrText>
      </w:r>
      <w:bookmarkStart w:id="2" w:name="DocNumber"/>
      <w:r w:rsidRPr="004E4804">
        <w:rPr>
          <w:i/>
        </w:rPr>
        <w:instrText>A10-0157/2026</w:instrText>
      </w:r>
      <w:bookmarkEnd w:id="2"/>
      <w:r w:rsidRPr="004E4804">
        <w:rPr>
          <w:i/>
        </w:rPr>
        <w:instrText xml:space="preserve"> - Relatore: Ilhan Kyuchyuk)"\l3 \n&gt; \* MERGEFORMAT </w:instrText>
      </w:r>
      <w:r>
        <w:rPr>
          <w:i/>
        </w:rPr>
        <w:fldChar w:fldCharType="end"/>
      </w:r>
    </w:p>
    <w:p w:rsidR="004A2CC3" w:rsidRPr="004E4804" w:rsidP="004A2CC3" w14:paraId="66228B4C" w14:textId="77777777">
      <w:pPr>
        <w:rPr>
          <w:vanish/>
        </w:rPr>
      </w:pPr>
      <w:bookmarkStart w:id="3" w:name="Commission"/>
      <w:r w:rsidRPr="004E4804">
        <w:rPr>
          <w:vanish/>
        </w:rPr>
        <w:t>Commissione giuridica</w:t>
      </w:r>
      <w:bookmarkEnd w:id="3"/>
    </w:p>
    <w:p w:rsidR="004A2CC3" w:rsidRPr="004E4804" w:rsidP="004A2CC3" w14:paraId="5646D4CD" w14:textId="77777777">
      <w:pPr>
        <w:rPr>
          <w:vanish/>
        </w:rPr>
      </w:pPr>
      <w:bookmarkStart w:id="4" w:name="PE"/>
      <w:r w:rsidRPr="004E4804">
        <w:rPr>
          <w:vanish/>
        </w:rPr>
        <w:t>PE786.994</w:t>
      </w:r>
      <w:bookmarkEnd w:id="4"/>
    </w:p>
    <w:p w:rsidR="004A2CC3" w:rsidRPr="004E4804" w:rsidP="004A2CC3" w14:paraId="765E8F6A" w14:textId="77777777">
      <w:pPr>
        <w:pStyle w:val="ATHeading3"/>
      </w:pPr>
      <w:bookmarkStart w:id="5" w:name="Sujet"/>
      <w:r w:rsidRPr="004E4804">
        <w:t xml:space="preserve">Risoluzione legislativa del Parlamento europeo del 17 giugno 2026 sulla proposta di decisione del Consiglio che autorizza gli Stati membri ad accettare, nell'interesse dell'Unione europea, l'adesione di </w:t>
      </w:r>
      <w:r w:rsidRPr="004E4804">
        <w:t>Cabo</w:t>
      </w:r>
      <w:r w:rsidRPr="004E4804">
        <w:t xml:space="preserve"> Verde alla convenzione dell'Aia del 1980 sugli aspetti civili della sottrazione internazionale di minori</w:t>
      </w:r>
      <w:bookmarkEnd w:id="5"/>
      <w:r w:rsidRPr="004E4804">
        <w:t xml:space="preserve"> </w:t>
      </w:r>
      <w:bookmarkStart w:id="6" w:name="References"/>
      <w:r w:rsidRPr="004E4804">
        <w:t>(</w:t>
      </w:r>
      <w:r w:rsidRPr="004E4804">
        <w:t>COM(</w:t>
      </w:r>
      <w:r w:rsidRPr="004E4804">
        <w:t>2026)0063 – C10-0081/2026 – 2026/0041(NLE))</w:t>
      </w:r>
      <w:bookmarkEnd w:id="6"/>
    </w:p>
    <w:p w:rsidR="00D819B9" w:rsidRPr="004E4804" w:rsidP="00D819B9" w14:paraId="24B0D8A2" w14:textId="77777777">
      <w:pPr>
        <w:pStyle w:val="NormalBold"/>
      </w:pPr>
      <w:r w:rsidRPr="004E4804">
        <w:t>(Consultazione)</w:t>
      </w:r>
    </w:p>
    <w:p w:rsidR="00D819B9" w:rsidRPr="004E4804" w:rsidP="00D819B9" w14:paraId="2F7393E6" w14:textId="77777777">
      <w:pPr>
        <w:pStyle w:val="EPComma"/>
      </w:pPr>
      <w:r w:rsidRPr="004E4804">
        <w:rPr>
          <w:i/>
        </w:rPr>
        <w:t>Il Parlamento europeo</w:t>
      </w:r>
      <w:r w:rsidRPr="004E4804">
        <w:t>,</w:t>
      </w:r>
    </w:p>
    <w:p w:rsidR="00D819B9" w:rsidRPr="004E4804" w:rsidP="00D819B9" w14:paraId="7FFD983F" w14:textId="77777777">
      <w:pPr>
        <w:tabs>
          <w:tab w:val="left" w:pos="-720"/>
          <w:tab w:val="left" w:pos="567"/>
        </w:tabs>
        <w:spacing w:after="120"/>
        <w:ind w:left="567" w:hanging="567"/>
        <w:rPr>
          <w:szCs w:val="24"/>
        </w:rPr>
      </w:pPr>
      <w:r w:rsidRPr="004E4804">
        <w:t>–</w:t>
      </w:r>
      <w:r w:rsidRPr="004E4804">
        <w:tab/>
        <w:t>vista la proposta di decisione del Consiglio (</w:t>
      </w:r>
      <w:r w:rsidRPr="004E4804">
        <w:t>COM(</w:t>
      </w:r>
      <w:r w:rsidRPr="004E4804">
        <w:t>2026)0063),</w:t>
      </w:r>
    </w:p>
    <w:p w:rsidR="00D819B9" w:rsidRPr="004E4804" w:rsidP="00D819B9" w14:paraId="3EC6A3D8" w14:textId="77777777">
      <w:pPr>
        <w:pStyle w:val="EndnoteText"/>
        <w:spacing w:after="120"/>
        <w:ind w:left="567" w:hanging="567"/>
        <w:jc w:val="left"/>
        <w:rPr>
          <w:szCs w:val="24"/>
        </w:rPr>
      </w:pPr>
      <w:r w:rsidRPr="004E4804">
        <w:rPr>
          <w:sz w:val="24"/>
        </w:rPr>
        <w:t>–</w:t>
      </w:r>
      <w:r w:rsidRPr="004E4804">
        <w:rPr>
          <w:sz w:val="24"/>
        </w:rPr>
        <w:tab/>
        <w:t>visto l'articolo 38, quarto comma, della convenzione dell'Aia del 1980 sugli aspetti civili della sottrazione internazionale di minori,</w:t>
      </w:r>
    </w:p>
    <w:p w:rsidR="00D819B9" w:rsidRPr="004E4804" w:rsidP="00D819B9" w14:paraId="65887227" w14:textId="77777777">
      <w:pPr>
        <w:tabs>
          <w:tab w:val="left" w:pos="-720"/>
          <w:tab w:val="left" w:pos="567"/>
        </w:tabs>
        <w:spacing w:after="120"/>
        <w:ind w:left="567" w:hanging="567"/>
        <w:rPr>
          <w:szCs w:val="24"/>
        </w:rPr>
      </w:pPr>
      <w:r w:rsidRPr="004E4804">
        <w:rPr>
          <w:rFonts w:ascii="Symbol" w:hAnsi="Symbol"/>
        </w:rPr>
        <w:sym w:font="Symbol" w:char="F02D"/>
      </w:r>
      <w:r w:rsidRPr="004E4804">
        <w:t xml:space="preserve"> </w:t>
      </w:r>
      <w:r w:rsidRPr="004E4804">
        <w:tab/>
        <w:t>visti l'articolo 81, paragrafo 3, nonché l'articolo 218, paragrafo 6, secondo comma, lettera b), del trattato sul funzionamento dell'Unione europea, a norma dei quali è stato consultato dal Consiglio (C10</w:t>
      </w:r>
      <w:r w:rsidRPr="004E4804">
        <w:noBreakHyphen/>
        <w:t>0081/2026),</w:t>
      </w:r>
    </w:p>
    <w:p w:rsidR="00D819B9" w:rsidRPr="004E4804" w:rsidP="00D819B9" w14:paraId="3E903675" w14:textId="61D07EAF">
      <w:pPr>
        <w:tabs>
          <w:tab w:val="left" w:pos="-720"/>
          <w:tab w:val="left" w:pos="567"/>
        </w:tabs>
        <w:spacing w:after="120"/>
        <w:ind w:left="567" w:hanging="567"/>
      </w:pPr>
      <w:r w:rsidRPr="004E4804">
        <w:t>–</w:t>
      </w:r>
      <w:r w:rsidRPr="004E4804">
        <w:tab/>
        <w:t>visto il parere della Corte di giustizia</w:t>
      </w:r>
      <w:r>
        <w:rPr>
          <w:vertAlign w:val="superscript"/>
        </w:rPr>
        <w:footnoteReference w:id="2"/>
      </w:r>
      <w:r w:rsidRPr="004E4804">
        <w:t xml:space="preserve"> circa la competenza esterna esclusiva dell'Unione europea per una dichiarazione di accettazione dell'adesione alla convenzione dell'Aia del 1980 sugli aspetti civili della sottrazione internazionale di minori,</w:t>
      </w:r>
    </w:p>
    <w:p w:rsidR="00D819B9" w:rsidRPr="004E4804" w:rsidP="00D819B9" w14:paraId="3D85FCBF" w14:textId="77777777">
      <w:pPr>
        <w:tabs>
          <w:tab w:val="left" w:pos="-720"/>
        </w:tabs>
        <w:spacing w:after="120"/>
        <w:ind w:left="567" w:hanging="567"/>
        <w:rPr>
          <w:szCs w:val="24"/>
        </w:rPr>
      </w:pPr>
      <w:r w:rsidRPr="004E4804">
        <w:t>–</w:t>
      </w:r>
      <w:r w:rsidRPr="004E4804">
        <w:tab/>
        <w:t>visti l'articolo 84 e l'articolo 117, paragrafo 8, del suo regolamento,</w:t>
      </w:r>
    </w:p>
    <w:p w:rsidR="00D819B9" w:rsidRPr="004E4804" w:rsidP="00D819B9" w14:paraId="583E07D9" w14:textId="77777777">
      <w:pPr>
        <w:tabs>
          <w:tab w:val="left" w:pos="-720"/>
        </w:tabs>
        <w:spacing w:after="120"/>
        <w:ind w:left="567" w:hanging="567"/>
        <w:rPr>
          <w:szCs w:val="24"/>
        </w:rPr>
      </w:pPr>
      <w:r w:rsidRPr="004E4804">
        <w:t>–</w:t>
      </w:r>
      <w:r w:rsidRPr="004E4804">
        <w:tab/>
        <w:t>vista la relazione della commissione giuridica (A10-0157/2026),</w:t>
      </w:r>
    </w:p>
    <w:p w:rsidR="00D819B9" w:rsidRPr="004E4804" w:rsidP="004E4804" w14:paraId="5EBFEF37" w14:textId="77777777">
      <w:pPr>
        <w:spacing w:after="120"/>
        <w:ind w:left="567" w:hanging="567"/>
        <w:rPr>
          <w:b/>
          <w:bCs/>
          <w:szCs w:val="24"/>
        </w:rPr>
      </w:pPr>
      <w:r w:rsidRPr="004E4804">
        <w:t>1.</w:t>
      </w:r>
      <w:r w:rsidRPr="004E4804">
        <w:tab/>
        <w:t xml:space="preserve">approva l'autorizzazione per gli Stati membri ad accettare, nell'interesse dell'Unione europea, l'adesione di </w:t>
      </w:r>
      <w:r w:rsidRPr="004E4804">
        <w:t>Cabo</w:t>
      </w:r>
      <w:r w:rsidRPr="004E4804">
        <w:t xml:space="preserve"> Verde alla convenzione dell'Aia del 1980 sugli aspetti civili della sottrazione internazionale di minori;</w:t>
      </w:r>
    </w:p>
    <w:p w:rsidR="00E365E1" w:rsidRPr="004E4804" w:rsidP="004E4804" w14:paraId="48048993" w14:textId="1698DAB1">
      <w:pPr>
        <w:pStyle w:val="NormalHanging12a"/>
      </w:pPr>
      <w:r w:rsidRPr="004E4804">
        <w:t>2.</w:t>
      </w:r>
      <w:r w:rsidRPr="004E4804">
        <w:tab/>
        <w:t>incarica la sua Presidente di trasmettere la posizione del Parlamento al Consiglio e alla Commissione nonché ai governi e ai parlamenti degli Stati membri e all'Ufficio permanente della conferenza dell'Aia di diritto internazionale privato</w:t>
      </w:r>
      <w:r w:rsidRPr="004E4804" w:rsidR="00EB1389">
        <w:t>.</w:t>
      </w:r>
    </w:p>
    <w:sectPr w:rsidSect="00AD00E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00E4" w14:paraId="3B1D0BB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00E4" w14:paraId="2A214A4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00E4" w14:paraId="3F4F1F3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A2CC3" w:rsidRPr="00AD00E4" w14:paraId="35E43458" w14:textId="77777777">
      <w:r w:rsidRPr="00AD00E4">
        <w:separator/>
      </w:r>
    </w:p>
  </w:footnote>
  <w:footnote w:type="continuationSeparator" w:id="1">
    <w:p w:rsidR="004A2CC3" w:rsidRPr="00AD00E4" w14:paraId="66967ABB" w14:textId="77777777">
      <w:r w:rsidRPr="00AD00E4">
        <w:continuationSeparator/>
      </w:r>
    </w:p>
  </w:footnote>
  <w:footnote w:id="2">
    <w:p w:rsidR="00D819B9" w:rsidRPr="001227E4" w:rsidP="004E4804" w14:paraId="4FA9409E" w14:textId="5554349A">
      <w:pPr>
        <w:ind w:left="567" w:hanging="567"/>
        <w:rPr>
          <w:vertAlign w:val="superscript"/>
        </w:rPr>
      </w:pPr>
      <w:r w:rsidRPr="00AD00E4">
        <w:rPr>
          <w:rStyle w:val="FootnoteReference"/>
        </w:rPr>
        <w:footnoteRef/>
      </w:r>
      <w:r w:rsidRPr="00AD00E4" w:rsidR="00AD00E4">
        <w:t xml:space="preserve"> </w:t>
      </w:r>
      <w:r w:rsidRPr="00AD00E4" w:rsidR="00AD00E4">
        <w:tab/>
      </w:r>
      <w:r w:rsidRPr="00AD00E4">
        <w:t>Parere 1/13 della Corte di giustizia del 14 ottobre 2014,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00E4" w14:paraId="2787321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00E4" w14:paraId="1CFD5AF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00E4" w14:paraId="4D4E380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1369280">
    <w:abstractNumId w:val="9"/>
  </w:num>
  <w:num w:numId="2" w16cid:durableId="321351887">
    <w:abstractNumId w:val="9"/>
  </w:num>
  <w:num w:numId="3" w16cid:durableId="686489978">
    <w:abstractNumId w:val="7"/>
  </w:num>
  <w:num w:numId="4" w16cid:durableId="1145008028">
    <w:abstractNumId w:val="7"/>
  </w:num>
  <w:num w:numId="5" w16cid:durableId="1998148480">
    <w:abstractNumId w:val="6"/>
  </w:num>
  <w:num w:numId="6" w16cid:durableId="1072971592">
    <w:abstractNumId w:val="6"/>
  </w:num>
  <w:num w:numId="7" w16cid:durableId="1277328233">
    <w:abstractNumId w:val="5"/>
  </w:num>
  <w:num w:numId="8" w16cid:durableId="28452566">
    <w:abstractNumId w:val="5"/>
  </w:num>
  <w:num w:numId="9" w16cid:durableId="837309942">
    <w:abstractNumId w:val="4"/>
  </w:num>
  <w:num w:numId="10" w16cid:durableId="197396620">
    <w:abstractNumId w:val="4"/>
  </w:num>
  <w:num w:numId="11" w16cid:durableId="1723674975">
    <w:abstractNumId w:val="8"/>
  </w:num>
  <w:num w:numId="12" w16cid:durableId="1874075458">
    <w:abstractNumId w:val="8"/>
  </w:num>
  <w:num w:numId="13" w16cid:durableId="587889641">
    <w:abstractNumId w:val="3"/>
  </w:num>
  <w:num w:numId="14" w16cid:durableId="1511942864">
    <w:abstractNumId w:val="3"/>
  </w:num>
  <w:num w:numId="15" w16cid:durableId="1244073026">
    <w:abstractNumId w:val="2"/>
  </w:num>
  <w:num w:numId="16" w16cid:durableId="1847936196">
    <w:abstractNumId w:val="2"/>
  </w:num>
  <w:num w:numId="17" w16cid:durableId="897740329">
    <w:abstractNumId w:val="1"/>
  </w:num>
  <w:num w:numId="18" w16cid:durableId="1808624018">
    <w:abstractNumId w:val="1"/>
  </w:num>
  <w:num w:numId="19" w16cid:durableId="1101990657">
    <w:abstractNumId w:val="0"/>
  </w:num>
  <w:num w:numId="20" w16cid:durableId="1433083822">
    <w:abstractNumId w:val="0"/>
  </w:num>
  <w:num w:numId="21" w16cid:durableId="2081977714">
    <w:abstractNumId w:val="9"/>
  </w:num>
  <w:num w:numId="22" w16cid:durableId="1396509409">
    <w:abstractNumId w:val="7"/>
  </w:num>
  <w:num w:numId="23" w16cid:durableId="157381755">
    <w:abstractNumId w:val="6"/>
  </w:num>
  <w:num w:numId="24" w16cid:durableId="578060025">
    <w:abstractNumId w:val="5"/>
  </w:num>
  <w:num w:numId="25" w16cid:durableId="379939478">
    <w:abstractNumId w:val="4"/>
  </w:num>
  <w:num w:numId="26" w16cid:durableId="1813863223">
    <w:abstractNumId w:val="8"/>
  </w:num>
  <w:num w:numId="27" w16cid:durableId="1691837473">
    <w:abstractNumId w:val="3"/>
  </w:num>
  <w:num w:numId="28" w16cid:durableId="2080668962">
    <w:abstractNumId w:val="2"/>
  </w:num>
  <w:num w:numId="29" w16cid:durableId="1100956172">
    <w:abstractNumId w:val="1"/>
  </w:num>
  <w:num w:numId="30" w16cid:durableId="191655843">
    <w:abstractNumId w:val="0"/>
  </w:num>
  <w:num w:numId="31" w16cid:durableId="528876792">
    <w:abstractNumId w:val="9"/>
  </w:num>
  <w:num w:numId="32" w16cid:durableId="688602213">
    <w:abstractNumId w:val="7"/>
  </w:num>
  <w:num w:numId="33" w16cid:durableId="618220151">
    <w:abstractNumId w:val="6"/>
  </w:num>
  <w:num w:numId="34" w16cid:durableId="476896">
    <w:abstractNumId w:val="5"/>
  </w:num>
  <w:num w:numId="35" w16cid:durableId="1376353396">
    <w:abstractNumId w:val="4"/>
  </w:num>
  <w:num w:numId="36" w16cid:durableId="1662345235">
    <w:abstractNumId w:val="8"/>
  </w:num>
  <w:num w:numId="37" w16cid:durableId="196817582">
    <w:abstractNumId w:val="3"/>
  </w:num>
  <w:num w:numId="38" w16cid:durableId="1714232681">
    <w:abstractNumId w:val="2"/>
  </w:num>
  <w:num w:numId="39" w16cid:durableId="368191505">
    <w:abstractNumId w:val="1"/>
  </w:num>
  <w:num w:numId="40" w16cid:durableId="1113281302">
    <w:abstractNumId w:val="0"/>
  </w:num>
  <w:num w:numId="41" w16cid:durableId="772242874">
    <w:abstractNumId w:val="10"/>
  </w:num>
  <w:num w:numId="42" w16cid:durableId="1779595112">
    <w:abstractNumId w:val="10"/>
  </w:num>
  <w:num w:numId="43" w16cid:durableId="2079472136">
    <w:abstractNumId w:val="10"/>
  </w:num>
  <w:num w:numId="44" w16cid:durableId="550506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CC3"/>
    <w:rsid w:val="00002272"/>
    <w:rsid w:val="00064002"/>
    <w:rsid w:val="000677B9"/>
    <w:rsid w:val="00081D39"/>
    <w:rsid w:val="000831BA"/>
    <w:rsid w:val="000A42CC"/>
    <w:rsid w:val="000E7DD9"/>
    <w:rsid w:val="0010095E"/>
    <w:rsid w:val="001227E4"/>
    <w:rsid w:val="00125B37"/>
    <w:rsid w:val="00187494"/>
    <w:rsid w:val="001F32AE"/>
    <w:rsid w:val="002767FF"/>
    <w:rsid w:val="002B18FE"/>
    <w:rsid w:val="002B5493"/>
    <w:rsid w:val="00343214"/>
    <w:rsid w:val="00361C00"/>
    <w:rsid w:val="00395FA1"/>
    <w:rsid w:val="003E15D4"/>
    <w:rsid w:val="00411CCE"/>
    <w:rsid w:val="0041666E"/>
    <w:rsid w:val="00417254"/>
    <w:rsid w:val="00421060"/>
    <w:rsid w:val="00471C19"/>
    <w:rsid w:val="004867E3"/>
    <w:rsid w:val="00494A28"/>
    <w:rsid w:val="004A2CC3"/>
    <w:rsid w:val="004C0004"/>
    <w:rsid w:val="004C5D52"/>
    <w:rsid w:val="004E480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0E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9B9"/>
    <w:rsid w:val="00D834A0"/>
    <w:rsid w:val="00D872DF"/>
    <w:rsid w:val="00D91E21"/>
    <w:rsid w:val="00DA7FCD"/>
    <w:rsid w:val="00DB4375"/>
    <w:rsid w:val="00E365E1"/>
    <w:rsid w:val="00E820A4"/>
    <w:rsid w:val="00EB006A"/>
    <w:rsid w:val="00EB1389"/>
    <w:rsid w:val="00EB4772"/>
    <w:rsid w:val="00ED169E"/>
    <w:rsid w:val="00ED4235"/>
    <w:rsid w:val="00F04346"/>
    <w:rsid w:val="00F075DC"/>
    <w:rsid w:val="00F149E9"/>
    <w:rsid w:val="00F5134D"/>
    <w:rsid w:val="00F74202"/>
    <w:rsid w:val="00F87713"/>
    <w:rsid w:val="00FB4360"/>
    <w:rsid w:val="00FD0C70"/>
  </w:rsids>
  <w:docVars>
    <w:docVar w:name="dvdocse" w:val="A10-0157/2026"/>
    <w:docVar w:name="dvlangue" w:val="IT"/>
    <w:docVar w:name="dvnumam" w:val="0"/>
    <w:docVar w:name="dvpe" w:val="786.994"/>
    <w:docVar w:name="dvrapporteur" w:val="Relatore: "/>
    <w:docVar w:name="dvstar" w:val="*"/>
    <w:docVar w:name="dvtitre" w:val="Risoluzione legislativa del Parlamento europeo del 17 giugno 2026 sulla proposta di decisione del Consiglio che autorizza gli Stati membri ad accettare, nell'interesse dell'Unione europea, l'adesione di Cabo Verde alla convenzione dell'Aia del 1980 sugli aspetti civili della sottrazione internazionale di minori(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978C2C"/>
  <w15:chartTrackingRefBased/>
  <w15:docId w15:val="{2042E5B4-2909-4C8C-A052-0EC51663B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19B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19B9"/>
    <w:pPr>
      <w:spacing w:before="480" w:after="240"/>
    </w:pPr>
  </w:style>
  <w:style w:type="paragraph" w:customStyle="1" w:styleId="NormalBold">
    <w:name w:val="NormalBold"/>
    <w:basedOn w:val="Normal"/>
    <w:rsid w:val="00D819B9"/>
    <w:rPr>
      <w:b/>
    </w:rPr>
  </w:style>
  <w:style w:type="paragraph" w:customStyle="1" w:styleId="NormalHanging12a">
    <w:name w:val="NormalHanging12a"/>
    <w:basedOn w:val="Normal"/>
    <w:rsid w:val="00D819B9"/>
    <w:pPr>
      <w:spacing w:after="240"/>
      <w:ind w:left="567" w:hanging="567"/>
    </w:pPr>
  </w:style>
  <w:style w:type="paragraph" w:styleId="Header">
    <w:name w:val="header"/>
    <w:basedOn w:val="Normal"/>
    <w:link w:val="HeaderChar"/>
    <w:rsid w:val="00D819B9"/>
    <w:pPr>
      <w:tabs>
        <w:tab w:val="center" w:pos="4513"/>
        <w:tab w:val="right" w:pos="9026"/>
      </w:tabs>
    </w:pPr>
  </w:style>
  <w:style w:type="character" w:customStyle="1" w:styleId="HeaderChar">
    <w:name w:val="Header Char"/>
    <w:basedOn w:val="DefaultParagraphFont"/>
    <w:link w:val="Header"/>
    <w:rsid w:val="00D819B9"/>
    <w:rPr>
      <w:sz w:val="24"/>
      <w:lang w:val="it-IT"/>
    </w:rPr>
  </w:style>
  <w:style w:type="paragraph" w:customStyle="1" w:styleId="EPFooter">
    <w:name w:val="EPFooter"/>
    <w:basedOn w:val="Normal"/>
    <w:rsid w:val="00D819B9"/>
    <w:pPr>
      <w:tabs>
        <w:tab w:val="center" w:pos="4535"/>
        <w:tab w:val="right" w:pos="9071"/>
      </w:tabs>
      <w:spacing w:before="240" w:after="240"/>
    </w:pPr>
    <w:rPr>
      <w:color w:val="010000"/>
      <w:sz w:val="22"/>
    </w:rPr>
  </w:style>
  <w:style w:type="paragraph" w:styleId="ListParagraph">
    <w:name w:val="List Paragraph"/>
    <w:basedOn w:val="Normal"/>
    <w:uiPriority w:val="34"/>
    <w:qFormat/>
    <w:rsid w:val="00D819B9"/>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EndnoteText">
    <w:name w:val="endnote text"/>
    <w:basedOn w:val="Normal"/>
    <w:link w:val="EndnoteTextChar"/>
    <w:unhideWhenUsed/>
    <w:rsid w:val="00D819B9"/>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D819B9"/>
    <w:rPr>
      <w:lang w:val="it-IT"/>
    </w:rPr>
  </w:style>
  <w:style w:type="paragraph" w:styleId="Revision">
    <w:name w:val="Revision"/>
    <w:hidden/>
    <w:uiPriority w:val="99"/>
    <w:semiHidden/>
    <w:rsid w:val="00EB1389"/>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1732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2026-06-17T12:42:00Z</dcterms:created>
  <dcterms:modified xsi:type="dcterms:W3CDTF">2026-06-17T12:42:00Z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A10-0157/2026</vt:lpwstr>
  </property>
  <property fmtid="{D5CDD505-2E9C-101B-9397-08002B2CF9AE}" pid="4" name="&lt;Type&gt;">
    <vt:lpwstr>RR</vt:lpwstr>
  </property>
</Properties>
</file>