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C3D55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A37E4" w:rsidP="0010095E" w14:paraId="144A6B19" w14:textId="77777777">
            <w:pPr>
              <w:pStyle w:val="EPName"/>
            </w:pPr>
            <w:r w:rsidRPr="00BA37E4">
              <w:t>Parlament Europejski</w:t>
            </w:r>
          </w:p>
          <w:p w:rsidR="00751A4A" w:rsidRPr="00BA37E4" w:rsidP="005F1B17" w14:paraId="05FB59A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37E4">
              <w:t>2024</w:t>
            </w:r>
            <w:r w:rsidRPr="00BA37E4" w:rsidR="00817416">
              <w:t>-202</w:t>
            </w:r>
            <w:r w:rsidRPr="00BA37E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A37E4" w:rsidP="0010095E" w14:paraId="16AB1EA8" w14:textId="77777777">
            <w:pPr>
              <w:pStyle w:val="EPLogo"/>
            </w:pPr>
            <w:r w:rsidRPr="00BA37E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A37E4" w:rsidP="004C5D52" w14:paraId="1CDC614B" w14:textId="77777777">
      <w:pPr>
        <w:pStyle w:val="LineTop"/>
      </w:pPr>
    </w:p>
    <w:p w:rsidR="00680577" w:rsidRPr="00BA37E4" w:rsidP="00680577" w14:paraId="4D8D494C" w14:textId="77777777">
      <w:pPr>
        <w:pStyle w:val="EPBodyTA1"/>
      </w:pPr>
      <w:r w:rsidRPr="00BA37E4">
        <w:t>TEKSTY PRZYJĘTE</w:t>
      </w:r>
    </w:p>
    <w:p w:rsidR="00D058B8" w:rsidRPr="00BA37E4" w:rsidP="00D058B8" w14:paraId="4041B44A" w14:textId="77777777">
      <w:pPr>
        <w:pStyle w:val="LineBottom"/>
      </w:pPr>
    </w:p>
    <w:p w:rsidR="00EF1804" w:rsidRPr="00BA37E4" w:rsidP="00EF1804" w14:paraId="33AE3FE5" w14:textId="454628D0">
      <w:pPr>
        <w:pStyle w:val="ATHeading1"/>
      </w:pPr>
      <w:bookmarkStart w:id="0" w:name="TANumber"/>
      <w:r w:rsidRPr="00BA37E4">
        <w:t>P10_</w:t>
      </w:r>
      <w:r w:rsidRPr="00BA37E4">
        <w:t>TA(</w:t>
      </w:r>
      <w:r w:rsidRPr="00BA37E4">
        <w:t>2026)0</w:t>
      </w:r>
      <w:bookmarkEnd w:id="0"/>
      <w:r w:rsidR="007A27FB">
        <w:t>215</w:t>
      </w:r>
    </w:p>
    <w:p w:rsidR="00EF1804" w:rsidRPr="00BA37E4" w:rsidP="00EF1804" w14:paraId="3ED5F2D5" w14:textId="0A7847D8">
      <w:pPr>
        <w:pStyle w:val="ATHeading2"/>
      </w:pPr>
      <w:bookmarkStart w:id="1" w:name="title"/>
      <w:r w:rsidRPr="007A27FB">
        <w:rPr>
          <w:bCs/>
        </w:rPr>
        <w:t>Sprawozdanie Komisji dotyczące Turcji – 2025 r.</w:t>
      </w:r>
      <w:bookmarkEnd w:id="1"/>
    </w:p>
    <w:p w:rsidR="00EF1804" w:rsidRPr="00BA37E4" w:rsidP="00EF1804" w14:paraId="30D1A986" w14:textId="77777777">
      <w:pPr>
        <w:rPr>
          <w:i/>
          <w:vanish/>
        </w:rPr>
      </w:pPr>
      <w:r>
        <w:rPr>
          <w:i/>
        </w:rPr>
        <w:fldChar w:fldCharType="begin"/>
      </w:r>
      <w:r w:rsidRPr="00BA37E4">
        <w:rPr>
          <w:i/>
        </w:rPr>
        <w:instrText xml:space="preserve"> TC"(</w:instrText>
      </w:r>
      <w:bookmarkStart w:id="2" w:name="DocNumber"/>
      <w:r w:rsidRPr="00BA37E4">
        <w:rPr>
          <w:i/>
        </w:rPr>
        <w:instrText>A10-0106/2026</w:instrText>
      </w:r>
      <w:bookmarkEnd w:id="2"/>
      <w:r w:rsidRPr="00BA37E4">
        <w:rPr>
          <w:i/>
        </w:rPr>
        <w:instrText xml:space="preserve"> - Sprawozdawca: Nacho Sánchez Amor)"\l3 \n&gt; \* MERGEFORMAT </w:instrText>
      </w:r>
      <w:r>
        <w:rPr>
          <w:i/>
        </w:rPr>
        <w:fldChar w:fldCharType="end"/>
      </w:r>
    </w:p>
    <w:p w:rsidR="00EF1804" w:rsidRPr="00BA37E4" w:rsidP="00EF1804" w14:paraId="766152D7" w14:textId="77777777">
      <w:pPr>
        <w:rPr>
          <w:vanish/>
        </w:rPr>
      </w:pPr>
      <w:bookmarkStart w:id="3" w:name="Commission"/>
      <w:r w:rsidRPr="00BA37E4">
        <w:rPr>
          <w:vanish/>
        </w:rPr>
        <w:t>Komisja Spraw Zagranicznych</w:t>
      </w:r>
      <w:bookmarkEnd w:id="3"/>
    </w:p>
    <w:p w:rsidR="00EF1804" w:rsidRPr="00BA37E4" w:rsidP="00EF1804" w14:paraId="0EB40828" w14:textId="77777777">
      <w:pPr>
        <w:rPr>
          <w:vanish/>
        </w:rPr>
      </w:pPr>
      <w:bookmarkStart w:id="4" w:name="PE"/>
      <w:r w:rsidRPr="00BA37E4">
        <w:rPr>
          <w:vanish/>
        </w:rPr>
        <w:t>PE781.407</w:t>
      </w:r>
      <w:bookmarkEnd w:id="4"/>
    </w:p>
    <w:p w:rsidR="00EF1804" w:rsidRPr="00BA37E4" w:rsidP="00EF1804" w14:paraId="2BA9985C" w14:textId="40F4D307">
      <w:pPr>
        <w:pStyle w:val="ATHeading3"/>
      </w:pPr>
      <w:bookmarkStart w:id="5" w:name="Sujet"/>
      <w:r w:rsidRPr="00BA37E4">
        <w:t xml:space="preserve">Rezolucja Parlamentu Europejskiego z dnia </w:t>
      </w:r>
      <w:r w:rsidR="00C05291">
        <w:t>17 czerwca</w:t>
      </w:r>
      <w:r w:rsidRPr="00BA37E4">
        <w:t xml:space="preserve"> 2026 r. w sprawie sprawozdania Komisji dotyczącego Turcji – 2025 r.</w:t>
      </w:r>
      <w:bookmarkEnd w:id="5"/>
      <w:r w:rsidRPr="00BA37E4">
        <w:t xml:space="preserve"> </w:t>
      </w:r>
      <w:bookmarkStart w:id="6" w:name="References"/>
      <w:r w:rsidRPr="00BA37E4">
        <w:t>(2025/2256(INI))</w:t>
      </w:r>
      <w:bookmarkEnd w:id="6"/>
    </w:p>
    <w:p w:rsidR="00C073AA" w:rsidRPr="00BA37E4" w:rsidP="007A27FB" w14:paraId="682F92E9" w14:textId="77777777">
      <w:pPr>
        <w:pStyle w:val="Normal12"/>
        <w:spacing w:before="480"/>
      </w:pPr>
      <w:r w:rsidRPr="00BA37E4">
        <w:rPr>
          <w:i/>
        </w:rPr>
        <w:t>Parlament Europejski</w:t>
      </w:r>
      <w:r w:rsidRPr="00BA37E4">
        <w:t>,</w:t>
      </w:r>
    </w:p>
    <w:p w:rsidR="00C073AA" w:rsidRPr="00BA37E4" w:rsidP="00C073AA" w14:paraId="0423EA36" w14:textId="6D292417">
      <w:pPr>
        <w:pStyle w:val="NormalHanging"/>
      </w:pPr>
      <w:r w:rsidRPr="00BA37E4">
        <w:t>–</w:t>
      </w:r>
      <w:r w:rsidRPr="00BA37E4">
        <w:tab/>
        <w:t xml:space="preserve">uwzględniając konkluzje Rady Europejskiej z </w:t>
      </w:r>
      <w:r w:rsidRPr="0098736C" w:rsidR="0098736C">
        <w:t xml:space="preserve">dnia </w:t>
      </w:r>
      <w:r w:rsidRPr="00BA37E4">
        <w:t>17 i 18 kwietnia 2024 r., 30 czerwca 2023 r., 23 czerwca 2022 r., 24 czerwca 2021 r. i 12 grudnia 2019 r. oraz wszystkie wcześniejsze odnośne konkluzje Rady i Rady Europejskiej,</w:t>
      </w:r>
    </w:p>
    <w:p w:rsidR="00C073AA" w:rsidRPr="00BA37E4" w:rsidP="00C073AA" w14:paraId="70DCCCDE" w14:textId="77777777">
      <w:pPr>
        <w:pStyle w:val="NormalHanging"/>
      </w:pPr>
      <w:r w:rsidRPr="00BA37E4">
        <w:t>–</w:t>
      </w:r>
      <w:r w:rsidRPr="00BA37E4">
        <w:tab/>
        <w:t>uwzględniając członkostwo Turcji w Radzie Europy i NATO,</w:t>
      </w:r>
    </w:p>
    <w:p w:rsidR="00C073AA" w:rsidRPr="00BA37E4" w:rsidP="00C073AA" w14:paraId="61AC43C7" w14:textId="3B9B086F">
      <w:pPr>
        <w:pStyle w:val="NormalHanging"/>
      </w:pPr>
      <w:r w:rsidRPr="00BA37E4">
        <w:t>–</w:t>
      </w:r>
      <w:r w:rsidRPr="00BA37E4">
        <w:tab/>
        <w:t>uwzględniając umowę między Unią Europejską a Republiką Turcji o readmisji osób przebywających nielegalnie</w:t>
      </w:r>
      <w:r>
        <w:rPr>
          <w:rStyle w:val="FootnoteReference"/>
        </w:rPr>
        <w:footnoteReference w:id="2"/>
      </w:r>
      <w:r w:rsidRPr="00BA37E4">
        <w:t xml:space="preserve"> (umowa o readmisji UE–Turcja),</w:t>
      </w:r>
    </w:p>
    <w:p w:rsidR="00C073AA" w:rsidRPr="00BA37E4" w:rsidP="00C073AA" w14:paraId="28B10F1F" w14:textId="411A043D">
      <w:pPr>
        <w:pStyle w:val="NormalHanging"/>
      </w:pPr>
      <w:r w:rsidRPr="00BA37E4">
        <w:t>–</w:t>
      </w:r>
      <w:r w:rsidRPr="00BA37E4">
        <w:tab/>
        <w:t xml:space="preserve">uwzględniając oświadczenie członków Rady Europejskiej z </w:t>
      </w:r>
      <w:r w:rsidRPr="0098736C" w:rsidR="0098736C">
        <w:t xml:space="preserve">dnia </w:t>
      </w:r>
      <w:r w:rsidRPr="00BA37E4">
        <w:t>25 marca 2021 r. w sprawie Turcji,</w:t>
      </w:r>
    </w:p>
    <w:p w:rsidR="00C073AA" w:rsidRPr="00BA37E4" w:rsidP="00C073AA" w14:paraId="2B9DEC55" w14:textId="231B815C">
      <w:pPr>
        <w:pStyle w:val="NormalHanging"/>
      </w:pPr>
      <w:r w:rsidRPr="00BA37E4">
        <w:t>–</w:t>
      </w:r>
      <w:r w:rsidRPr="00BA37E4">
        <w:tab/>
        <w:t>uwzględniając oświadczenia UE–Turcja: Rady z </w:t>
      </w:r>
      <w:r w:rsidRPr="0098736C" w:rsidR="0098736C">
        <w:t xml:space="preserve">dnia </w:t>
      </w:r>
      <w:r w:rsidRPr="00BA37E4">
        <w:t>18 marca 2016 r. i Rady Europejskiej z 29 listopada 2015 r.,</w:t>
      </w:r>
    </w:p>
    <w:p w:rsidR="00C073AA" w:rsidRPr="00BA37E4" w:rsidP="00C073AA" w14:paraId="64804B13" w14:textId="00CB9CC8">
      <w:pPr>
        <w:pStyle w:val="NormalHanging"/>
      </w:pPr>
      <w:r w:rsidRPr="00BA37E4">
        <w:t>–</w:t>
      </w:r>
      <w:r w:rsidRPr="00BA37E4">
        <w:tab/>
        <w:t xml:space="preserve">uwzględniając unijne ramy negocjacyjne dla Turcji z </w:t>
      </w:r>
      <w:r w:rsidRPr="0098736C" w:rsidR="0098736C">
        <w:t xml:space="preserve">dnia </w:t>
      </w:r>
      <w:r w:rsidRPr="00BA37E4">
        <w:t>3 października 2005 r.,</w:t>
      </w:r>
    </w:p>
    <w:p w:rsidR="00C073AA" w:rsidRPr="00BA37E4" w:rsidP="00C073AA" w14:paraId="28CCFBB5" w14:textId="77777777">
      <w:pPr>
        <w:pStyle w:val="NormalHanging"/>
      </w:pPr>
      <w:r w:rsidRPr="00BA37E4">
        <w:t>–</w:t>
      </w:r>
      <w:r w:rsidRPr="00BA37E4">
        <w:tab/>
        <w:t>uwzględniając oświadczenie wydane przez Wspólnotę Europejską i jej państwa członkowskie 21 września 2005 r. w następstwie oświadczenia złożonego przez Turcję po podpisaniu przez nią protokołu dodatkowego do Układu z Ankary 29 lipca 2005 r.,</w:t>
      </w:r>
    </w:p>
    <w:p w:rsidR="00C073AA" w:rsidRPr="00BA37E4" w:rsidP="00C073AA" w14:paraId="5AE1267E" w14:textId="65BB6B47">
      <w:pPr>
        <w:pStyle w:val="NormalHanging"/>
      </w:pPr>
      <w:r w:rsidRPr="00BA37E4">
        <w:t>–</w:t>
      </w:r>
      <w:r w:rsidRPr="00BA37E4">
        <w:tab/>
        <w:t xml:space="preserve">uwzględniając konkluzje Rady z </w:t>
      </w:r>
      <w:r w:rsidRPr="0098736C" w:rsidR="0098736C">
        <w:t xml:space="preserve">dnia </w:t>
      </w:r>
      <w:r w:rsidRPr="00BA37E4">
        <w:t>11 grudnia 2006 r. i 6 marca 2020 r. oraz konkluzje prezydencji z posiedzenia Rady Europejskiej w Kopenhadze w dniach 21–22 czerwca 1993 r., znane również jako kryteria kopenhaskie,</w:t>
      </w:r>
    </w:p>
    <w:p w:rsidR="00C073AA" w:rsidRPr="00BA37E4" w:rsidP="00C073AA" w14:paraId="0A8EA484" w14:textId="74F5E762">
      <w:pPr>
        <w:pStyle w:val="NormalHanging12a"/>
      </w:pPr>
      <w:r w:rsidRPr="00BA37E4">
        <w:t>–</w:t>
      </w:r>
      <w:r w:rsidRPr="00BA37E4">
        <w:tab/>
        <w:t xml:space="preserve">uwzględniając konkluzje prezydencji Rady z </w:t>
      </w:r>
      <w:r w:rsidRPr="0098736C" w:rsidR="0098736C">
        <w:t xml:space="preserve">dnia </w:t>
      </w:r>
      <w:r w:rsidRPr="00BA37E4">
        <w:t xml:space="preserve">16 grudnia 2025 r. w sprawie rozszerzenia oraz konkluzje Rady z </w:t>
      </w:r>
      <w:r w:rsidRPr="0098736C" w:rsidR="0098736C">
        <w:t xml:space="preserve">dnia </w:t>
      </w:r>
      <w:r w:rsidRPr="00BA37E4">
        <w:t>17 grudnia 2024 r. i 12 grudnia 2023 r.,</w:t>
      </w:r>
    </w:p>
    <w:p w:rsidR="00C073AA" w:rsidRPr="00BA37E4" w:rsidP="00C073AA" w14:paraId="1D4A0F48" w14:textId="77777777">
      <w:pPr>
        <w:pStyle w:val="NormalHanging12a"/>
      </w:pPr>
      <w:r w:rsidRPr="00BA37E4">
        <w:t>–</w:t>
      </w:r>
      <w:r w:rsidRPr="00BA37E4">
        <w:tab/>
        <w:t>uwzględniając międzynarodowe prawo morza odzwierciedlone w Konwencji Narodów Zjednoczonych o prawie morza (UNCLOS), która ustanawia ramy prawne regulujące strefy morskie i suwerenne prawa państw nadbrzeżnych,</w:t>
      </w:r>
    </w:p>
    <w:p w:rsidR="00C073AA" w:rsidRPr="00BA37E4" w:rsidP="00C073AA" w14:paraId="3D3900E4" w14:textId="0997AD25">
      <w:pPr>
        <w:pStyle w:val="NormalHanging12a"/>
      </w:pPr>
      <w:r w:rsidRPr="00BA37E4">
        <w:t>–</w:t>
      </w:r>
      <w:r w:rsidRPr="00BA37E4">
        <w:tab/>
        <w:t>uwzględniając komunikat Komisji z </w:t>
      </w:r>
      <w:r w:rsidRPr="0098736C" w:rsidR="0098736C">
        <w:t xml:space="preserve">dnia </w:t>
      </w:r>
      <w:r w:rsidRPr="00BA37E4">
        <w:t>4 listopada 2025 r. pt. „Komunikat z 2025 r. w sprawie polityki rozszerzenia UE” (</w:t>
      </w:r>
      <w:r w:rsidRPr="00BA37E4">
        <w:t>COM(</w:t>
      </w:r>
      <w:r w:rsidRPr="00BA37E4">
        <w:t>2025)0690) oraz towarzyszący mu dokument roboczy służb Komisji pt. „Sprawozdanie za rok 2025 dotyczące Turcji” (SWD(2025)0756),</w:t>
      </w:r>
    </w:p>
    <w:p w:rsidR="00C073AA" w:rsidRPr="00BA37E4" w:rsidP="00C073AA" w14:paraId="4EE40C76" w14:textId="64C1C98E">
      <w:pPr>
        <w:pStyle w:val="NormalHanging"/>
      </w:pPr>
      <w:r w:rsidRPr="00BA37E4">
        <w:t>–</w:t>
      </w:r>
      <w:r w:rsidRPr="00BA37E4">
        <w:tab/>
        <w:t xml:space="preserve">uwzględniając sprawozdanie specjalne Europejskiego Trybunału Obrachunkowego 06/2024 z </w:t>
      </w:r>
      <w:r w:rsidRPr="0098736C" w:rsidR="0098736C">
        <w:t xml:space="preserve">dnia </w:t>
      </w:r>
      <w:r w:rsidRPr="00BA37E4">
        <w:t>24 kwietnia 2024 r. pt. „Instrument Pomocy dla Uchodźców w Turcji – zapewnił korzyści uchodźcom i społecznościom przyjmującym, lecz wpływ i trwałość działań wciąż są niepewne”,</w:t>
      </w:r>
    </w:p>
    <w:p w:rsidR="00C073AA" w:rsidRPr="00BA37E4" w:rsidP="00C073AA" w14:paraId="1DBED858" w14:textId="5DEE98B0">
      <w:pPr>
        <w:pStyle w:val="NormalHanging"/>
      </w:pPr>
      <w:r w:rsidRPr="00BA37E4">
        <w:t>–</w:t>
      </w:r>
      <w:r w:rsidRPr="00BA37E4">
        <w:tab/>
        <w:t xml:space="preserve">uwzględniając wspólne komunikaty Komisji oraz wysokiego przedstawiciela Unii do spraw zagranicznych i polityki bezpieczeństwa z </w:t>
      </w:r>
      <w:r w:rsidRPr="0098736C" w:rsidR="0098736C">
        <w:t xml:space="preserve">dnia </w:t>
      </w:r>
      <w:r w:rsidRPr="00BA37E4">
        <w:t>29 listopada 2023 r. (</w:t>
      </w:r>
      <w:r w:rsidRPr="00BA37E4">
        <w:t>JOIN(</w:t>
      </w:r>
      <w:r w:rsidRPr="00BA37E4">
        <w:t>2023)0050) i 22 marca 2021 r. (</w:t>
      </w:r>
      <w:r w:rsidRPr="00BA37E4">
        <w:t>JOIN(</w:t>
      </w:r>
      <w:r w:rsidRPr="00BA37E4">
        <w:t>2021)0008) w sprawie stanu stosunków politycznych, gospodarczych i handlowych między UE a Turcją,</w:t>
      </w:r>
    </w:p>
    <w:p w:rsidR="00C073AA" w:rsidRPr="00BA37E4" w:rsidP="00C073AA" w14:paraId="3D7E7AC4" w14:textId="63D8F3E7">
      <w:pPr>
        <w:pStyle w:val="NormalHanging"/>
      </w:pPr>
      <w:r w:rsidRPr="00BA37E4">
        <w:t>–</w:t>
      </w:r>
      <w:r w:rsidRPr="00BA37E4">
        <w:tab/>
        <w:t xml:space="preserve">uwzględniając komunikat Komisji z </w:t>
      </w:r>
      <w:r w:rsidRPr="0098736C" w:rsidR="0098736C">
        <w:t xml:space="preserve">dnia </w:t>
      </w:r>
      <w:r w:rsidRPr="00BA37E4">
        <w:t>25 września 2025 r. zatytułowany „Dziewiąte sprawozdanie roczne w sprawie Instrumentu Pomocy dla Uchodźców w Turcji” (</w:t>
      </w:r>
      <w:r w:rsidRPr="00BA37E4">
        <w:t>COM(</w:t>
      </w:r>
      <w:r w:rsidRPr="00BA37E4">
        <w:t>2025)0517),</w:t>
      </w:r>
    </w:p>
    <w:p w:rsidR="00C073AA" w:rsidRPr="00BA37E4" w:rsidP="00C073AA" w14:paraId="38388007" w14:textId="095925C3">
      <w:pPr>
        <w:pStyle w:val="NormalHanging12a"/>
      </w:pPr>
      <w:r w:rsidRPr="00BA37E4">
        <w:t>–</w:t>
      </w:r>
      <w:r w:rsidRPr="00BA37E4">
        <w:tab/>
        <w:t xml:space="preserve">uwzględniając rezolucję Europejskiego Komitetu Regionów z </w:t>
      </w:r>
      <w:r w:rsidRPr="0098736C" w:rsidR="0098736C">
        <w:t xml:space="preserve">dnia </w:t>
      </w:r>
      <w:r w:rsidRPr="00BA37E4">
        <w:t>3 kwietnia 2025 r. w sprawie aresztowania tureckich burmistrzów i zamachu na demokrację lokalną w Turcji,</w:t>
      </w:r>
    </w:p>
    <w:p w:rsidR="00C073AA" w:rsidRPr="00BA37E4" w:rsidP="00C073AA" w14:paraId="6A9469AD" w14:textId="23A3157E">
      <w:pPr>
        <w:pStyle w:val="NormalHanging12a"/>
      </w:pPr>
      <w:r w:rsidRPr="00BA37E4">
        <w:t>–</w:t>
      </w:r>
      <w:r w:rsidRPr="00BA37E4">
        <w:tab/>
        <w:t xml:space="preserve">uwzględniając opinię Europejskiego Komitetu Regionów z </w:t>
      </w:r>
      <w:r w:rsidRPr="0098736C" w:rsidR="0098736C">
        <w:t xml:space="preserve">dnia </w:t>
      </w:r>
      <w:r w:rsidRPr="00BA37E4">
        <w:t>5 marca 2026 r. w sprawie pakietu rozszerzeniowego 2025 – Bałkany Zachodnie i Turcja,</w:t>
      </w:r>
    </w:p>
    <w:p w:rsidR="00C073AA" w:rsidRPr="00BA37E4" w:rsidP="00C073AA" w14:paraId="5AA70995" w14:textId="70F9BA58">
      <w:pPr>
        <w:pStyle w:val="NormalHanging12a"/>
      </w:pPr>
      <w:r w:rsidRPr="00BA37E4">
        <w:t>–</w:t>
      </w:r>
      <w:r w:rsidRPr="00BA37E4">
        <w:tab/>
        <w:t xml:space="preserve">uwzględniając podstawowe zasady prawa międzynarodowego oraz Kartę Narodów Zjednoczonych, porozumienia wysokiego szczebla z 1977 r. i 1979 r. między przywódcami obu społeczności na Cyprze, a także odpowiednie rezolucje Rady Bezpieczeństwa ONZ w sprawie Cypru, w tym rezolucję 186 (1964) z </w:t>
      </w:r>
      <w:r w:rsidRPr="0098736C" w:rsidR="0098736C">
        <w:t xml:space="preserve">dnia </w:t>
      </w:r>
      <w:r w:rsidRPr="00BA37E4">
        <w:t xml:space="preserve">4 marca 1964 r., w której potwierdzono suwerenność Republiki Cypryjskiej, rezolucje 541 (1983) i 550 (1984) z </w:t>
      </w:r>
      <w:r w:rsidRPr="0098736C" w:rsidR="0098736C">
        <w:t xml:space="preserve">dnia </w:t>
      </w:r>
      <w:r w:rsidRPr="00BA37E4">
        <w:t xml:space="preserve">11 maja 1984 r. w sprawie działań secesjonistycznych na Cyprze, rezolucję 789 (1992) z </w:t>
      </w:r>
      <w:r w:rsidRPr="0098736C" w:rsidR="0098736C">
        <w:t xml:space="preserve">dnia </w:t>
      </w:r>
      <w:r w:rsidRPr="00BA37E4">
        <w:t xml:space="preserve">25 listopada 1992 r., oświadczenie przewodniczącego Rady Bezpieczeństwa ONZ z </w:t>
      </w:r>
      <w:r w:rsidRPr="0098736C" w:rsidR="0098736C">
        <w:t xml:space="preserve">dnia </w:t>
      </w:r>
      <w:r w:rsidRPr="00BA37E4">
        <w:t xml:space="preserve">23 lipca 2021 r. w sprawie </w:t>
      </w:r>
      <w:r w:rsidRPr="00BA37E4">
        <w:t>Warosii</w:t>
      </w:r>
      <w:r w:rsidRPr="00BA37E4">
        <w:t>, a także oświadczenie przewodniczącego Rady Bezpieczeństwa ONZ oraz rezolucje Rady Bezpieczeństwa ONZ w sprawie sił pokojowych ONZ na Cyprze (UNFICYP), których mandat przedłużono do 31 stycznia 2027 r. na mocy rezolucji 2815 (2026),</w:t>
      </w:r>
    </w:p>
    <w:p w:rsidR="00C073AA" w:rsidRPr="00BA37E4" w:rsidP="00C073AA" w14:paraId="55277D02" w14:textId="77777777">
      <w:pPr>
        <w:pStyle w:val="NormalHanging"/>
      </w:pPr>
      <w:r w:rsidRPr="00BA37E4">
        <w:t>–</w:t>
      </w:r>
      <w:r w:rsidRPr="00BA37E4">
        <w:tab/>
        <w:t>uwzględniając art. 46 europejskiej konwencji praw człowieka (EKPC), który stanowi, że układające się strony zobowiązują się do przestrzegania ostatecznego wyroku Europejskiego Trybunału Praw Człowieka (ETPC) we wszystkich sprawach, w których są stronami, i uwzględniając wynikające z tego zobowiązanie Turcji do wdrożenia wszystkich wyroków ETPC,</w:t>
      </w:r>
    </w:p>
    <w:p w:rsidR="00C073AA" w:rsidRPr="00BA37E4" w:rsidP="00C073AA" w14:paraId="66F3946F" w14:textId="77777777">
      <w:pPr>
        <w:pStyle w:val="NormalHanging"/>
      </w:pPr>
      <w:r w:rsidRPr="00BA37E4">
        <w:t>–</w:t>
      </w:r>
      <w:r w:rsidRPr="00BA37E4">
        <w:tab/>
        <w:t>uwzględniając odnośne rezolucje Komitetu Ministrów Rady Europy,</w:t>
      </w:r>
    </w:p>
    <w:p w:rsidR="00C073AA" w:rsidRPr="00BA37E4" w:rsidP="00C073AA" w14:paraId="299256F1" w14:textId="10DF9267">
      <w:pPr>
        <w:pStyle w:val="NormalHanging"/>
      </w:pPr>
      <w:r w:rsidRPr="00BA37E4">
        <w:t>–</w:t>
      </w:r>
      <w:r w:rsidRPr="00BA37E4">
        <w:tab/>
        <w:t xml:space="preserve">uwzględniając deklarację 12(2025) Kongresu Władz Lokalnych i Regionalnych Rady Europy z </w:t>
      </w:r>
      <w:r w:rsidRPr="0098736C" w:rsidR="0098736C">
        <w:t xml:space="preserve">dnia </w:t>
      </w:r>
      <w:r w:rsidRPr="00BA37E4">
        <w:t>27 marca 2025 r. pt. „Zwolnienia burmistrzów w Turcji”,</w:t>
      </w:r>
    </w:p>
    <w:p w:rsidR="00C073AA" w:rsidRPr="00BA37E4" w:rsidP="00C073AA" w14:paraId="6E1E359D" w14:textId="77777777">
      <w:pPr>
        <w:pStyle w:val="NormalHanging"/>
      </w:pPr>
      <w:r w:rsidRPr="00BA37E4">
        <w:t>–</w:t>
      </w:r>
      <w:r w:rsidRPr="00BA37E4">
        <w:tab/>
        <w:t>uwzględniając sprawozdanie przyjęte przez Komisję Wenecką Rady Europy na posiedzeniu 9 i 10 października 2025 r. w sprawie wpływu tymczasowego aresztowania burmistrzów na sprawowanie lokalnych rządów demokratycznych,</w:t>
      </w:r>
    </w:p>
    <w:p w:rsidR="00C073AA" w:rsidRPr="00BA37E4" w:rsidP="00C073AA" w14:paraId="17FBAE9D" w14:textId="77777777">
      <w:pPr>
        <w:pStyle w:val="NormalHanging"/>
      </w:pPr>
      <w:r w:rsidRPr="00BA37E4">
        <w:t>–</w:t>
      </w:r>
      <w:r w:rsidRPr="00BA37E4">
        <w:tab/>
        <w:t>uwzględniając światowy ranking wolności prasy za 2025 r. opublikowany przez Reporterów bez Granic,</w:t>
      </w:r>
    </w:p>
    <w:p w:rsidR="00C073AA" w:rsidRPr="00BA37E4" w:rsidP="00C073AA" w14:paraId="2D668A23" w14:textId="77777777">
      <w:pPr>
        <w:pStyle w:val="NormalHanging12a"/>
      </w:pPr>
      <w:r w:rsidRPr="00BA37E4">
        <w:t>–</w:t>
      </w:r>
      <w:r w:rsidRPr="00BA37E4">
        <w:tab/>
        <w:t>uwzględniając sprawozdanie monitorujące z 2025 r. opublikowane przez mechanizm szybkiego reagowania w kwestii wolności mediów,</w:t>
      </w:r>
    </w:p>
    <w:p w:rsidR="00C073AA" w:rsidRPr="00BA37E4" w:rsidP="00C073AA" w14:paraId="51CE3708" w14:textId="77777777">
      <w:pPr>
        <w:pStyle w:val="NormalHanging12a"/>
      </w:pPr>
      <w:r w:rsidRPr="00BA37E4">
        <w:t>–</w:t>
      </w:r>
      <w:r w:rsidRPr="00BA37E4">
        <w:tab/>
        <w:t>uwzględniając Konwencję ONZ w sprawie likwidacji wszelkich form dyskryminacji kobiet oraz konwencję stambulską,</w:t>
      </w:r>
    </w:p>
    <w:p w:rsidR="00C073AA" w:rsidRPr="00BA37E4" w:rsidP="00C073AA" w14:paraId="6F221155" w14:textId="77777777">
      <w:pPr>
        <w:pStyle w:val="NormalHanging12a"/>
      </w:pPr>
      <w:r w:rsidRPr="00BA37E4">
        <w:t>–</w:t>
      </w:r>
      <w:r w:rsidRPr="00BA37E4">
        <w:tab/>
        <w:t xml:space="preserve">uwzględniając wskaźnik postrzegania korupcji z 2025 r. opublikowany 10 lutego 2026 r. przez </w:t>
      </w:r>
      <w:r w:rsidRPr="00BA37E4">
        <w:t>Transparency</w:t>
      </w:r>
      <w:r w:rsidRPr="00BA37E4">
        <w:t xml:space="preserve"> International,</w:t>
      </w:r>
    </w:p>
    <w:p w:rsidR="00C073AA" w:rsidRPr="00BA37E4" w:rsidP="00C073AA" w14:paraId="08FFEB82" w14:textId="79559853">
      <w:pPr>
        <w:pStyle w:val="NormalHanging"/>
      </w:pPr>
      <w:r w:rsidRPr="00BA37E4">
        <w:t>–</w:t>
      </w:r>
      <w:r w:rsidRPr="00BA37E4">
        <w:tab/>
        <w:t xml:space="preserve">uwzględniając dokument Międzynarodowego Funduszu Walutowego (MFW) z </w:t>
      </w:r>
      <w:r w:rsidRPr="0098736C" w:rsidR="0098736C">
        <w:t xml:space="preserve">dnia </w:t>
      </w:r>
      <w:r w:rsidRPr="00BA37E4">
        <w:t>22 listopada 2025 r. pt. „Republika Turcji: oświadczenie końcowe służb z misji przeprowadzonej na podstawie art. IV w 2025 r.”,</w:t>
      </w:r>
    </w:p>
    <w:p w:rsidR="00C073AA" w:rsidRPr="00BA37E4" w:rsidP="00C073AA" w14:paraId="5CFA96FE" w14:textId="77777777">
      <w:pPr>
        <w:pStyle w:val="NormalHanging12a"/>
      </w:pPr>
      <w:r w:rsidRPr="00BA37E4">
        <w:t>–</w:t>
      </w:r>
      <w:r w:rsidRPr="00BA37E4">
        <w:tab/>
        <w:t>uwzględniając sprawozdanie Światowego Forum Ekonomicznego za 2025 r. na temat nierówności płci na świecie, opublikowane 11 czerwca 2025 r.,</w:t>
      </w:r>
    </w:p>
    <w:p w:rsidR="00C073AA" w:rsidRPr="00BA37E4" w:rsidP="00C073AA" w14:paraId="147F7407" w14:textId="2A78F971">
      <w:pPr>
        <w:pStyle w:val="NormalHanging"/>
      </w:pPr>
      <w:r w:rsidRPr="00BA37E4">
        <w:t>–</w:t>
      </w:r>
      <w:r w:rsidRPr="00BA37E4">
        <w:tab/>
        <w:t xml:space="preserve">uwzględniając oświadczenie UNESCO z </w:t>
      </w:r>
      <w:r w:rsidRPr="0098736C" w:rsidR="0098736C">
        <w:t xml:space="preserve">dnia </w:t>
      </w:r>
      <w:r w:rsidRPr="00BA37E4">
        <w:t xml:space="preserve">10 lipca 2020 r. w sprawie </w:t>
      </w:r>
      <w:r w:rsidRPr="00BA37E4">
        <w:t>Hagii</w:t>
      </w:r>
      <w:r w:rsidRPr="00BA37E4">
        <w:t xml:space="preserve"> Sophii oraz odpowiednie decyzje Komitetu Światowego Dziedzictwa UNESCO nr 44 COM 7B.58 (2021) i 45 COM 7B.58 (2023) w sprawie historycznych obszarów Stambułu, przyjęte odpowiednio na 44. i 45. sesji,</w:t>
      </w:r>
    </w:p>
    <w:p w:rsidR="00C073AA" w:rsidRPr="00BA37E4" w:rsidP="00C073AA" w14:paraId="7892FDA4" w14:textId="6692C88D">
      <w:pPr>
        <w:pStyle w:val="NormalHanging12a"/>
      </w:pPr>
      <w:r w:rsidRPr="00BA37E4">
        <w:t>–</w:t>
      </w:r>
      <w:r w:rsidRPr="00BA37E4">
        <w:tab/>
        <w:t xml:space="preserve">uwzględniając swoją rezolucję z </w:t>
      </w:r>
      <w:r w:rsidRPr="0098736C" w:rsidR="0098736C">
        <w:t xml:space="preserve">dnia </w:t>
      </w:r>
      <w:r w:rsidRPr="00BA37E4">
        <w:t>11 marca 2026 r. w sprawie strategii rozszerzenia UE</w:t>
      </w:r>
      <w:r>
        <w:rPr>
          <w:rStyle w:val="FootnoteReference"/>
        </w:rPr>
        <w:footnoteReference w:id="3"/>
      </w:r>
      <w:r w:rsidRPr="00BA37E4">
        <w:t>,</w:t>
      </w:r>
    </w:p>
    <w:p w:rsidR="00C073AA" w:rsidRPr="00BA37E4" w:rsidP="00C073AA" w14:paraId="3A197942" w14:textId="2638B05A">
      <w:pPr>
        <w:pStyle w:val="NormalHanging"/>
      </w:pPr>
      <w:r w:rsidRPr="00BA37E4">
        <w:t>–</w:t>
      </w:r>
      <w:r w:rsidRPr="00BA37E4">
        <w:tab/>
        <w:t xml:space="preserve">uwzględniając swoją rezolucję z </w:t>
      </w:r>
      <w:r w:rsidRPr="0098736C" w:rsidR="0098736C">
        <w:t xml:space="preserve">dnia </w:t>
      </w:r>
      <w:r w:rsidRPr="00BA37E4">
        <w:t>29 lutego 2024 r. w sprawie pogłębienia integracji europejskiej z myślą o przyszłym rozszerzeniu</w:t>
      </w:r>
      <w:r>
        <w:rPr>
          <w:rStyle w:val="FootnoteReference"/>
        </w:rPr>
        <w:footnoteReference w:id="4"/>
      </w:r>
      <w:r w:rsidRPr="00BA37E4">
        <w:t>,</w:t>
      </w:r>
    </w:p>
    <w:p w:rsidR="00C073AA" w:rsidRPr="00BA37E4" w:rsidP="00C073AA" w14:paraId="7E4DBC67" w14:textId="2F60B105">
      <w:pPr>
        <w:pStyle w:val="NormalHanging12a"/>
      </w:pPr>
      <w:r w:rsidRPr="00BA37E4">
        <w:t>–</w:t>
      </w:r>
      <w:r w:rsidRPr="00BA37E4">
        <w:tab/>
        <w:t xml:space="preserve">uwzględniając swoją rezolucję z </w:t>
      </w:r>
      <w:r w:rsidRPr="0098736C" w:rsidR="0098736C">
        <w:t xml:space="preserve">dnia </w:t>
      </w:r>
      <w:r w:rsidRPr="00BA37E4">
        <w:t>12 lutego 2026 r. w sprawie ukierunkowanych wydaleń zagranicznych dziennikarzy i chrześcijan w Turcji pod pretekstem zapewniania bezpieczeństwa narodowego</w:t>
      </w:r>
      <w:r>
        <w:rPr>
          <w:rStyle w:val="FootnoteReference"/>
        </w:rPr>
        <w:footnoteReference w:id="5"/>
      </w:r>
      <w:r w:rsidRPr="00BA37E4">
        <w:t>,</w:t>
      </w:r>
    </w:p>
    <w:p w:rsidR="00C073AA" w:rsidRPr="00BA37E4" w:rsidP="00C073AA" w14:paraId="0741BD0C" w14:textId="77777777">
      <w:pPr>
        <w:pStyle w:val="NormalHanging"/>
      </w:pPr>
      <w:r w:rsidRPr="00BA37E4">
        <w:t>–</w:t>
      </w:r>
      <w:r w:rsidRPr="00BA37E4">
        <w:tab/>
        <w:t>uwzględniając wszystkie swoje wcześniejsze rezolucje w sprawie Turcji,</w:t>
      </w:r>
    </w:p>
    <w:p w:rsidR="00C073AA" w:rsidRPr="00BA37E4" w:rsidP="00C073AA" w14:paraId="7FFE321F" w14:textId="77777777">
      <w:pPr>
        <w:pStyle w:val="NormalHanging"/>
      </w:pPr>
      <w:r w:rsidRPr="00BA37E4">
        <w:t>–</w:t>
      </w:r>
      <w:r w:rsidRPr="00BA37E4">
        <w:tab/>
        <w:t>uwzględniając swoje rezolucje w sprawie Cypru,</w:t>
      </w:r>
    </w:p>
    <w:p w:rsidR="00C073AA" w:rsidRPr="00BA37E4" w:rsidP="00C073AA" w14:paraId="55D5DB60" w14:textId="68C884BB">
      <w:pPr>
        <w:pStyle w:val="NormalHanging12a"/>
      </w:pPr>
      <w:r w:rsidRPr="00BA37E4">
        <w:t>–</w:t>
      </w:r>
      <w:r w:rsidRPr="00BA37E4">
        <w:tab/>
        <w:t xml:space="preserve">uwzględniając swoją rezolucję z </w:t>
      </w:r>
      <w:r w:rsidRPr="0098736C" w:rsidR="0098736C">
        <w:t xml:space="preserve">dnia </w:t>
      </w:r>
      <w:r w:rsidRPr="00BA37E4">
        <w:t>15 kwietnia 2015 r. w sprawie setnej rocznicy ludobójstwa Ormian</w:t>
      </w:r>
      <w:r>
        <w:rPr>
          <w:rStyle w:val="FootnoteReference"/>
        </w:rPr>
        <w:footnoteReference w:id="6"/>
      </w:r>
      <w:r w:rsidRPr="00BA37E4">
        <w:t>,</w:t>
      </w:r>
    </w:p>
    <w:p w:rsidR="00C073AA" w:rsidRPr="00BA37E4" w:rsidP="00C073AA" w14:paraId="084DE57E" w14:textId="77777777">
      <w:pPr>
        <w:pStyle w:val="NormalHanging"/>
      </w:pPr>
      <w:r w:rsidRPr="00BA37E4">
        <w:t>–</w:t>
      </w:r>
      <w:r w:rsidRPr="00BA37E4">
        <w:tab/>
        <w:t>uwzględniając art. 55 Regulaminu,</w:t>
      </w:r>
    </w:p>
    <w:p w:rsidR="00C073AA" w:rsidRPr="00BA37E4" w:rsidP="00C073AA" w14:paraId="2F69D0AA" w14:textId="77777777">
      <w:pPr>
        <w:pStyle w:val="NormalHanging"/>
      </w:pPr>
      <w:r w:rsidRPr="00BA37E4">
        <w:t>–</w:t>
      </w:r>
      <w:r w:rsidRPr="00BA37E4">
        <w:tab/>
        <w:t>uwzględniając sprawozdanie Komisji Spraw Zagranicznych (A10-0106/2026),</w:t>
      </w:r>
    </w:p>
    <w:p w:rsidR="00C073AA" w:rsidRPr="00BA37E4" w:rsidP="00C073AA" w14:paraId="0976E4F3" w14:textId="77777777">
      <w:pPr>
        <w:pStyle w:val="NormalHanging12a"/>
      </w:pPr>
      <w:r w:rsidRPr="00BA37E4">
        <w:t>A.</w:t>
      </w:r>
      <w:r w:rsidRPr="00BA37E4">
        <w:tab/>
        <w:t>mając na uwadze, że Turcja wciąż jest krajem kandydującym do przystąpienia do UE; mając na uwadze, że członkostwo w UE pozostaje wielokrotnie deklarowanym celem politycznym rządu tureckiego, chociaż nadal rośnie przepaść pod względem wartości i zasad zapisanych w art. 2 Traktatu o Unii Europejskiej i niektórych strategii politycznych UE; mając na uwadze, że Turcja – aby ożywić swoją europejską perspektywę – musi w wiarygodny sposób wykazać swoje zaangażowanie na rzecz bliższych stosunków i dostosowania się do Unii Europejskiej, poszanowania i przestrzegania kryteriów kopenhaskich, w tym polityki zagranicznej i bezpieczeństwa UE, normalizacji stosunków ze wszystkimi państwami członkowskimi UE oraz utrzymywania stosunków dobrosąsiedzkich z UE i wszystkimi jej państwami członkowskimi; mając na uwadze, że wielokrotnie zwracano się do Turcji o powstrzymanie się od wszelkich działań naruszających suwerenność i suwerenne prawa wszystkich państw członkowskich UE oraz prawo międzynarodowe i unijne;</w:t>
      </w:r>
    </w:p>
    <w:p w:rsidR="00C073AA" w:rsidRPr="00BA37E4" w:rsidP="00C073AA" w14:paraId="3139F3ED" w14:textId="77777777">
      <w:pPr>
        <w:pStyle w:val="NormalHanging12a"/>
      </w:pPr>
      <w:r w:rsidRPr="00BA37E4">
        <w:t>B.</w:t>
      </w:r>
      <w:r w:rsidRPr="00BA37E4">
        <w:tab/>
        <w:t>mając na uwadze, że negocjacje w sprawie przystąpienia do UE faktycznie wstrzymano w 2018 r. z powodu pogorszenia się praworządności i demokracji w Turcji oraz w kontekście napiętych wówczas stosunków dwustronnych;</w:t>
      </w:r>
    </w:p>
    <w:p w:rsidR="00C073AA" w:rsidRPr="00BA37E4" w:rsidP="00C073AA" w14:paraId="174FA70A" w14:textId="77777777">
      <w:pPr>
        <w:pStyle w:val="NormalHanging12a"/>
      </w:pPr>
      <w:r w:rsidRPr="00BA37E4">
        <w:t>C.</w:t>
      </w:r>
      <w:r w:rsidRPr="00BA37E4">
        <w:tab/>
        <w:t>mając na uwadze, że w swoim najnowszym sprawozdaniu z postępów z 2025 r. Komisja ponownie odnotowała w Turcji poważny regres w obszarze praworządności i pogarszającą się sytuację w zakresie praw człowieka oraz zgłosiła obawy co do przestrzegania podstawowych zasad demokratycznych w porównaniu z poprzednim okresem sprawozdawczym w 2024 r.;</w:t>
      </w:r>
    </w:p>
    <w:p w:rsidR="00C073AA" w:rsidRPr="00BA37E4" w:rsidP="00C073AA" w14:paraId="65C7D93C" w14:textId="77777777">
      <w:pPr>
        <w:pStyle w:val="NormalHanging12a"/>
      </w:pPr>
      <w:r w:rsidRPr="00BA37E4">
        <w:t>D.</w:t>
      </w:r>
      <w:r w:rsidRPr="00BA37E4">
        <w:tab/>
        <w:t>mając na uwadze, że stan niezależności sądownictwa pozostaje szczególnie niepokojący pomimo 11 „pakietów sądowych” uchwalonych przez rząd turecki od 2019 r.; mając na uwadze, że porządek konstytucyjny kraju jest zagrożony, ponieważ autorytet Trybunału Konstytucyjnego jest podważany przez sądy niższego szczebla odmawiające wykonywania jego orzeczeń;</w:t>
      </w:r>
    </w:p>
    <w:p w:rsidR="00C073AA" w:rsidRPr="00BA37E4" w:rsidP="00C073AA" w14:paraId="3EE5D240" w14:textId="77777777">
      <w:pPr>
        <w:pStyle w:val="NormalHanging12a"/>
      </w:pPr>
      <w:r w:rsidRPr="00BA37E4">
        <w:t>E.</w:t>
      </w:r>
      <w:r w:rsidRPr="00BA37E4">
        <w:tab/>
        <w:t>mając na uwadze, że w świetle prawa wyraźnie istnieją podwójne standardy, o czym świadczy bardzo zróżnicowane traktowanie podobnych spraw, zwłaszcza w politycznych lub głośnych postępowaniach sądowych lub w sprawach związanych z zarzutami o znieważenie urzędników państwowych;</w:t>
      </w:r>
    </w:p>
    <w:p w:rsidR="00C073AA" w:rsidP="00C073AA" w14:paraId="11BFB9F8" w14:textId="0AFFA59A">
      <w:pPr>
        <w:pStyle w:val="NormalHanging12a"/>
      </w:pPr>
      <w:r w:rsidRPr="00BA37E4">
        <w:t>F.</w:t>
      </w:r>
      <w:r w:rsidRPr="00BA37E4">
        <w:tab/>
        <w:t xml:space="preserve">mając na uwadze, że Turcja systematycznie instrumentalizowała prawo karne i przepisy antyterrorystyczne w celu rozprawienia się z urzędnikami wybieranymi, politykami opozycji i obrońcami praw człowieka; mając na uwadze, że w ostatnim czasie standardy i procesy demokratyczne w Turcji bardzo się pogorszyły, zarówno na poziomie lokalnym, jak i krajowym, w wyniku orzeczeń sądowych i presji rządowej wywieranej na opozycyjnych burmistrzów i opozycyjne gminy; mając na uwadze, że </w:t>
      </w:r>
      <w:r w:rsidRPr="00B57A1F" w:rsidR="00460AD8">
        <w:rPr>
          <w:bCs/>
          <w:iCs/>
        </w:rPr>
        <w:t>od wyborów lokalnych w marcu 2024 r. co najmniej 39</w:t>
      </w:r>
      <w:r w:rsidRPr="00460AD8" w:rsidR="00460AD8">
        <w:rPr>
          <w:bCs/>
          <w:iCs/>
        </w:rPr>
        <w:t xml:space="preserve"> </w:t>
      </w:r>
      <w:r w:rsidRPr="00BA37E4">
        <w:t>burmistrzów z partii opozycyjnych (</w:t>
      </w:r>
      <w:r w:rsidR="00460AD8">
        <w:t>29</w:t>
      </w:r>
      <w:r w:rsidRPr="00BA37E4">
        <w:t xml:space="preserve"> z </w:t>
      </w:r>
      <w:r w:rsidRPr="00BA37E4">
        <w:t>Republikańskiej Partii Ludowej (CHP) i 10 z Ludowej Partii Równości i Demokracji (DEM)) zostało aresztowanych i usuniętych ze stanowiska; mając na uwadze, że w 1</w:t>
      </w:r>
      <w:r w:rsidR="00460AD8">
        <w:t>3</w:t>
      </w:r>
      <w:r w:rsidRPr="00BA37E4">
        <w:t xml:space="preserve"> przypadkach burmistrzów zastąpiono pełnomocnikami powołanymi przez rząd;</w:t>
      </w:r>
    </w:p>
    <w:p w:rsidR="00460AD8" w:rsidRPr="00460AD8" w:rsidP="00C073AA" w14:paraId="0F60B60F" w14:textId="1F640319">
      <w:pPr>
        <w:pStyle w:val="NormalHanging12a"/>
        <w:rPr>
          <w:bCs/>
          <w:iCs/>
        </w:rPr>
      </w:pPr>
      <w:r>
        <w:rPr>
          <w:bCs/>
          <w:iCs/>
        </w:rPr>
        <w:t>G</w:t>
      </w:r>
      <w:r w:rsidRPr="00B57A1F">
        <w:rPr>
          <w:bCs/>
          <w:iCs/>
        </w:rPr>
        <w:t>.</w:t>
      </w:r>
      <w:r w:rsidRPr="00460AD8">
        <w:rPr>
          <w:bCs/>
          <w:iCs/>
        </w:rPr>
        <w:tab/>
      </w:r>
      <w:r w:rsidRPr="00B57A1F">
        <w:rPr>
          <w:bCs/>
          <w:iCs/>
        </w:rPr>
        <w:t>mając na uwadze, że 21 maja 2026 r., po przedłużającym się postępowaniu sądowym, regionalny sąd apelacyjny w Ankarze orzekł o bezwzględnej nieważności kongresu partii CHP z 2023 r. („</w:t>
      </w:r>
      <w:r w:rsidRPr="00B57A1F">
        <w:rPr>
          <w:bCs/>
          <w:iCs/>
        </w:rPr>
        <w:t>mutlak</w:t>
      </w:r>
      <w:r w:rsidRPr="00B57A1F">
        <w:rPr>
          <w:bCs/>
          <w:iCs/>
        </w:rPr>
        <w:t xml:space="preserve"> </w:t>
      </w:r>
      <w:r w:rsidRPr="00B57A1F">
        <w:rPr>
          <w:bCs/>
          <w:iCs/>
        </w:rPr>
        <w:t>butlan</w:t>
      </w:r>
      <w:r w:rsidRPr="00B57A1F">
        <w:rPr>
          <w:bCs/>
          <w:iCs/>
        </w:rPr>
        <w:t xml:space="preserve">”), a tym samym unieważnił wybory, które doprowadziły do wyboru </w:t>
      </w:r>
      <w:r w:rsidRPr="00B57A1F">
        <w:rPr>
          <w:bCs/>
          <w:iCs/>
        </w:rPr>
        <w:t>Özgüra</w:t>
      </w:r>
      <w:r w:rsidRPr="00B57A1F">
        <w:rPr>
          <w:bCs/>
          <w:iCs/>
        </w:rPr>
        <w:t xml:space="preserve"> </w:t>
      </w:r>
      <w:r w:rsidRPr="00B57A1F">
        <w:rPr>
          <w:bCs/>
          <w:iCs/>
        </w:rPr>
        <w:t>Özela</w:t>
      </w:r>
      <w:r w:rsidRPr="00B57A1F">
        <w:rPr>
          <w:bCs/>
          <w:iCs/>
        </w:rPr>
        <w:t xml:space="preserve"> na przewodniczącego i ukonstytuowania się obecnego kierownictwa partii; mając na uwadze, że tej decyzji sądu, pomimo ewentualnych toczących się </w:t>
      </w:r>
      <w:r w:rsidRPr="00B57A1F">
        <w:rPr>
          <w:bCs/>
          <w:iCs/>
        </w:rPr>
        <w:t>odwołań</w:t>
      </w:r>
      <w:r w:rsidRPr="00B57A1F">
        <w:rPr>
          <w:bCs/>
          <w:iCs/>
        </w:rPr>
        <w:t xml:space="preserve">, towarzyszył specjalny nakaz skutecznego odwołania z urzędu wybranego kierownictwa i przekazania mandatu byłemu przewodniczącemu Kemalowi </w:t>
      </w:r>
      <w:r w:rsidRPr="00B57A1F">
        <w:rPr>
          <w:bCs/>
          <w:iCs/>
        </w:rPr>
        <w:t>Kılıçdaroğlu</w:t>
      </w:r>
      <w:r w:rsidRPr="00B57A1F">
        <w:rPr>
          <w:bCs/>
          <w:iCs/>
        </w:rPr>
        <w:t xml:space="preserve"> i poprzedniemu zgromadzeniu partii; mając na uwadze, że trzy dni później, 24 maja 2026 r., na wniosek zespołu byłego przewodniczącego </w:t>
      </w:r>
      <w:r w:rsidRPr="00B57A1F">
        <w:rPr>
          <w:bCs/>
          <w:iCs/>
        </w:rPr>
        <w:t>Kılıçdaroğlu</w:t>
      </w:r>
      <w:r w:rsidRPr="00B57A1F">
        <w:rPr>
          <w:bCs/>
          <w:iCs/>
        </w:rPr>
        <w:t>, turecka policja prewencji wkroczyła siłą do siedziby CHP w Ankarze, przy użyciu gazu łzawiącego i przemocy, aby wyegzekwować orzeczenie sądu o odwołaniu wybranego kierownictwa i przywróceniu poprzedniego;</w:t>
      </w:r>
    </w:p>
    <w:p w:rsidR="00C073AA" w:rsidRPr="00BA37E4" w:rsidP="00C073AA" w14:paraId="034E14F9" w14:textId="0C80CB3B">
      <w:pPr>
        <w:pStyle w:val="NormalHanging"/>
      </w:pPr>
      <w:r>
        <w:t>H</w:t>
      </w:r>
      <w:r w:rsidRPr="00BA37E4">
        <w:t>.</w:t>
      </w:r>
      <w:r w:rsidRPr="00BA37E4">
        <w:tab/>
        <w:t xml:space="preserve">mając na uwadze, że demokratycznie wybrany burmistrz Stambułu </w:t>
      </w:r>
      <w:r w:rsidRPr="00BA37E4">
        <w:t>Ekrem</w:t>
      </w:r>
      <w:r w:rsidRPr="00BA37E4">
        <w:t xml:space="preserve"> </w:t>
      </w:r>
      <w:r w:rsidRPr="00BA37E4">
        <w:t>İmamoğlu</w:t>
      </w:r>
      <w:r w:rsidRPr="00BA37E4">
        <w:t xml:space="preserve"> jest w więzieniu od 19 marca 2025 r. pod sfabrykowanymi zarzutami noszącymi znamiona presji politycznej i stanowiącymi rażące naruszenie podstawowych zasad prawa karnego, takich jak zasada odpowiedzialności indywidualnej; mając na uwadze, że powszechnie uznaje się to za próbę politycznego wyeliminowania głównego kandydata opozycji w następnych wyborach prezydenckich;</w:t>
      </w:r>
    </w:p>
    <w:p w:rsidR="00C073AA" w:rsidRPr="00BA37E4" w:rsidP="00C073AA" w14:paraId="65873892" w14:textId="44015872">
      <w:pPr>
        <w:pStyle w:val="NormalHanging"/>
      </w:pPr>
      <w:r>
        <w:t>I</w:t>
      </w:r>
      <w:r w:rsidRPr="00BA37E4">
        <w:t>.</w:t>
      </w:r>
      <w:r w:rsidRPr="00BA37E4">
        <w:tab/>
        <w:t>mając na uwadze, że na rozpatrzenie przez Wielkie Zgromadzenie Narodowe Turcji (GNAT) czeka obecnie około 800 wniosków o uchylenie immunitetu parlamentarnego obecnych posłów; mając na uwadze, że zdecydowana większość tych wniosków dotyczy posłów z partii opozycyjnych, głównie DEM i CHP;</w:t>
      </w:r>
    </w:p>
    <w:p w:rsidR="00C073AA" w:rsidRPr="00BA37E4" w:rsidP="00C073AA" w14:paraId="0F922803" w14:textId="02AAE83B">
      <w:pPr>
        <w:pStyle w:val="NormalHanging12a"/>
      </w:pPr>
      <w:r>
        <w:t>J</w:t>
      </w:r>
      <w:r w:rsidRPr="00BA37E4">
        <w:t>.</w:t>
      </w:r>
      <w:r w:rsidRPr="00BA37E4">
        <w:tab/>
        <w:t>mając na uwadze, że Turcja jest członkiem Rady Europy i w związku z tym obowiązują ją na mocy prawa wyroki ETPC; mając na uwadze, że z powodu niestosowania przełomowych orzeczeń ETPC wobec Turcji toczy się historyczne postępowanie w sprawie uchybienia zobowiązaniom państwa członkowskiego; mając na uwadze, że Turcja stale plasuje się wśród krajów, w których najczęściej dochodzi do naruszeń praw człowieka i podstawowych wolności chronionych EKPC; mając na uwadze, że w styczniu 2026 r. Turcji dotyczyła największa liczba spraw toczących się przed ETPC – ponad jedna trzecia wszystkich spraw rozpatrywanych przez Trybunał;</w:t>
      </w:r>
    </w:p>
    <w:p w:rsidR="00C073AA" w:rsidRPr="00BA37E4" w:rsidP="00C073AA" w14:paraId="7515C5F1" w14:textId="719BD89A">
      <w:pPr>
        <w:pStyle w:val="NormalHanging12a"/>
      </w:pPr>
      <w:r>
        <w:t>K</w:t>
      </w:r>
      <w:r w:rsidRPr="00BA37E4">
        <w:t>.</w:t>
      </w:r>
      <w:r w:rsidRPr="00BA37E4">
        <w:tab/>
        <w:t xml:space="preserve">mając na uwadze, że według </w:t>
      </w:r>
      <w:r w:rsidRPr="00BA37E4">
        <w:t>Freedom</w:t>
      </w:r>
      <w:r w:rsidRPr="00BA37E4">
        <w:t xml:space="preserve"> House Turcja jest krajem, w którym nie ma wolności, i doświadczyła jednego z największych spadków poziomu wolności na świecie w ciągu ostatnich 11 lat; mając na uwadze, że światowy ranking wolności prasy z 2025 r. wskazuje na dalsze pogorszenie sytuacji, gdyż Turcja znajduje się w nim na 159. miejscu na 180 krajów pod kątem wolności prasy, a w sprawozdaniu podkreślono, że w Turcji rośnie autorytaryzm, kwestionuje się pluralizm mediów i wykorzystuje się wszystkie możliwe środki do podważania opinii krytyków; mając na uwadze, że według Reporterów bez Granic i sprawozdań z monitorowania mediów BIA w 2025 r. uwięziono od 20 do 29 dziennikarzy, trzech innych miesiącami przetrzymywano w areszcie domowym, a dziesiątki innych poddano kontroli sądowej w sposób naruszający ich swobodę przemieszczania się; mając na uwadze, że w tym samym okresie łącznie 58 dziennikarzy zostało zatrzymanych lub przymusowo doprowadzonych na przesłuchanie przez policję;</w:t>
      </w:r>
    </w:p>
    <w:p w:rsidR="00C073AA" w:rsidRPr="00BA37E4" w:rsidP="00C073AA" w14:paraId="5F5799FF" w14:textId="02D17C7E">
      <w:pPr>
        <w:pStyle w:val="NormalHanging12a"/>
      </w:pPr>
      <w:r>
        <w:t>L</w:t>
      </w:r>
      <w:r w:rsidRPr="00BA37E4">
        <w:t>.</w:t>
      </w:r>
      <w:r w:rsidRPr="00BA37E4">
        <w:tab/>
        <w:t xml:space="preserve">mając na uwadze, że w światowym wskaźniku nierówności płci z 2025 r. Turcja zajęła 135. miejsce na 146 krajów, co podkreśla poważne nierówne traktowanie płci i systemowe niepowodzenia w ochronie praw kobiet; mając na uwadze, że według danych platformy „We </w:t>
      </w:r>
      <w:r w:rsidRPr="00BA37E4">
        <w:t>Will</w:t>
      </w:r>
      <w:r w:rsidRPr="00BA37E4">
        <w:t xml:space="preserve"> Stop </w:t>
      </w:r>
      <w:r w:rsidRPr="00BA37E4">
        <w:t>Femicide</w:t>
      </w:r>
      <w:r w:rsidRPr="00BA37E4">
        <w:t xml:space="preserve">” w 2025 r. doszło do 297 podejrzanych zgonów kobiet i 294 </w:t>
      </w:r>
      <w:r w:rsidRPr="00BA37E4">
        <w:t>kobietobójstw</w:t>
      </w:r>
      <w:r w:rsidRPr="00BA37E4">
        <w:t xml:space="preserve">, podczas gdy inne źródła odnotowały aż 420 takich przypadków; mając na uwadze, że w 2025 r. odnotowano w Turcji rekordowy wzrost liczby podejrzanych zgonów kobiet; mając na uwadze, że brak kompleksowego oficjalnego systemu gromadzenia danych na temat </w:t>
      </w:r>
      <w:r w:rsidRPr="00BA37E4">
        <w:t>kobietobójstw</w:t>
      </w:r>
      <w:r w:rsidRPr="00BA37E4">
        <w:t xml:space="preserve"> pozostaje poważnym problemem; mając na uwadze, że Turcja wyróżnia się jako jedno z państw OECD najbardziej dotkniętych przemocą wobec kobiet;</w:t>
      </w:r>
    </w:p>
    <w:p w:rsidR="00C073AA" w:rsidRPr="00BA37E4" w:rsidP="00C073AA" w14:paraId="3EBBB7C2" w14:textId="39A1B196">
      <w:pPr>
        <w:pStyle w:val="NormalHanging12a"/>
      </w:pPr>
      <w:r>
        <w:t>M</w:t>
      </w:r>
      <w:r w:rsidRPr="00BA37E4">
        <w:t>.</w:t>
      </w:r>
      <w:r w:rsidRPr="00BA37E4">
        <w:tab/>
        <w:t>mając na uwadze, że według lokalnych organizacji praw człowieka IHD i TIHV w Turcji na dzień 2 grudnia 2025 r. liczba osadzonych osiągnęła rekordowy poziom 433 543, co oznacza siedmiokrotny wzrost w ciągu ostatnich 20 lat, a kolejne 460 921 osób było objętych nadzorem sądowym; mając na uwadze, że organizacje te udokumentowały również 1 412 przypadków chorych osadzonych, w tym 335 w stanie ciężkim; mając na uwadze, że turecki system więziennictwa jest niewydolny, co pogłębia takie problemy jak przeludnienie, nieodpowiednie warunki życiowe i ograniczony dostęp do podstawowych zasobów; mając na uwadze, że wzrosła liczba doniesień o naruszeniach praw człowieka w więzieniach;</w:t>
      </w:r>
    </w:p>
    <w:p w:rsidR="00C073AA" w:rsidRPr="00BA37E4" w:rsidP="00C073AA" w14:paraId="42856B70" w14:textId="0B2689BC">
      <w:pPr>
        <w:pStyle w:val="NormalHanging"/>
      </w:pPr>
      <w:r>
        <w:t>N</w:t>
      </w:r>
      <w:r w:rsidRPr="00BA37E4">
        <w:t>.</w:t>
      </w:r>
      <w:r w:rsidRPr="00BA37E4">
        <w:tab/>
        <w:t xml:space="preserve">mając na uwadze, że według </w:t>
      </w:r>
      <w:r w:rsidRPr="00BA37E4">
        <w:t>Transparency</w:t>
      </w:r>
      <w:r w:rsidRPr="00BA37E4">
        <w:t xml:space="preserve"> International Turcja uzyskała 31/100 punktów we wskaźniku postrzegania korupcji w 2025 r., co stanowi spadek z 50/100 punktów w 2013 r. do najniższego wyniku i oznacza, że Turcja zajmuje obecnie 124. miejsce na 180 krajów; mając na uwadze, że ponad dziewięć lat po przyjęciu sprawozdania w sprawie Turcji z czwartej rundy oceny przeprowadzonej przez Grupę Państw Przeciwko Korupcji (GRECO) przy Radzie Europy w pełni wdrożono tylko trzy zalecenia z 22 zaleceń zawartych w sprawozdaniu;</w:t>
      </w:r>
    </w:p>
    <w:p w:rsidR="00C073AA" w:rsidRPr="00BA37E4" w:rsidP="00C073AA" w14:paraId="137778FD" w14:textId="607EAB4A">
      <w:pPr>
        <w:pStyle w:val="NormalHanging"/>
      </w:pPr>
      <w:r>
        <w:t>O</w:t>
      </w:r>
      <w:r w:rsidRPr="00BA37E4">
        <w:t>.</w:t>
      </w:r>
      <w:r w:rsidRPr="00BA37E4">
        <w:tab/>
        <w:t>mając na uwadze, że Turcja jest zróżnicowanym wieloetnicznym społeczeństwem w skomplikowanym regionie podatnym na napięcia;</w:t>
      </w:r>
    </w:p>
    <w:p w:rsidR="00C073AA" w:rsidRPr="00BA37E4" w:rsidP="00C073AA" w14:paraId="69693875" w14:textId="767E2659">
      <w:pPr>
        <w:pStyle w:val="NormalHanging12a"/>
      </w:pPr>
      <w:r>
        <w:t>P</w:t>
      </w:r>
      <w:r w:rsidRPr="00BA37E4">
        <w:t>.</w:t>
      </w:r>
      <w:r w:rsidRPr="00BA37E4">
        <w:tab/>
        <w:t>mając na uwadze, że Turcja realizuje program polityczny „Turcja wolna od terroryzmu”, którego celem jest położenie kresu przemocy politycznej i znalezienie politycznego rozwiązania dla kwestii kurdyjskiej;</w:t>
      </w:r>
    </w:p>
    <w:p w:rsidR="00C073AA" w:rsidRPr="00BA37E4" w:rsidP="00C073AA" w14:paraId="04A7C357" w14:textId="609216D2">
      <w:pPr>
        <w:pStyle w:val="NormalHanging12a"/>
      </w:pPr>
      <w:r>
        <w:t>Q</w:t>
      </w:r>
      <w:r w:rsidRPr="00BA37E4">
        <w:t>.</w:t>
      </w:r>
      <w:r w:rsidRPr="00BA37E4">
        <w:tab/>
        <w:t>mając na uwadze, że – abstrahując od procesu akcesyjnego – potrzebne jest konstruktywne zaangażowanie na rzecz stosunków między UE a Turcją, a także mając na uwadze, że Turcja jest członkiem NATO i kluczowym partnerem na rzecz stabilności w szerzej pojętym wschodnim regionie Morza Śródziemnego oraz w dziedzinie handlu, stosunków gospodarczych, bezpieczeństwa, migracji i współpracy przeciwko terroryzmowi; mając na uwadze, że współpraca z Turcją rozwija się w wielu obszarach polityki będących przedmiotem wspólnego zainteresowania, w tym poprzez dialogi na wysokim szczeblu dotyczące usuwania barier handlowych i zacieśnioną współpracę w zakresie zapobiegania obchodzeniu sankcji, i mogłaby dalej rozwijać się w sposób stopniowy, proporcjonalny i odwracalny, w pełnej zgodności z konkluzjami Rady Europejskiej z kwietnia 2024 r.,</w:t>
      </w:r>
    </w:p>
    <w:p w:rsidR="00C073AA" w:rsidRPr="00BA37E4" w:rsidP="00C073AA" w14:paraId="32FD841F" w14:textId="5F82651B">
      <w:pPr>
        <w:pStyle w:val="NormalHanging12a"/>
      </w:pPr>
      <w:r>
        <w:t>R</w:t>
      </w:r>
      <w:r w:rsidRPr="00BA37E4">
        <w:t>.</w:t>
      </w:r>
      <w:r w:rsidRPr="00BA37E4">
        <w:tab/>
        <w:t xml:space="preserve">mając na uwadze, że Turcja nadal przyjmuje jedną z największych grup uchodźców na świecie; mając na uwadze, że współpraca między UE a Turcją w zakresie zarządzania migracjami, bezpieczeństwa i stabilności regionalnej nadal ma strategiczne znaczenie </w:t>
      </w:r>
      <w:r w:rsidRPr="00BA37E4">
        <w:t>oraz przyczynia się do ograniczenia liczby nielegalnych i niebezpiecznych przepraw na szlaku wschodniośródziemnomorskim do Europy oraz do ratowania życia na morzu; mając na uwadze, że od 2011 r. UE wydała blisko 12,5 mld EUR na wsparcie uchodźców i społeczności przyjmujących w Turcji;</w:t>
      </w:r>
    </w:p>
    <w:p w:rsidR="00C073AA" w:rsidRPr="00BA37E4" w:rsidP="00C073AA" w14:paraId="42C276D9" w14:textId="286DAF73">
      <w:pPr>
        <w:pStyle w:val="NormalHanging12a"/>
      </w:pPr>
      <w:r>
        <w:t>S</w:t>
      </w:r>
      <w:r w:rsidRPr="00BA37E4">
        <w:t>.</w:t>
      </w:r>
      <w:r w:rsidRPr="00BA37E4">
        <w:tab/>
        <w:t>mając na uwadze, że dostosowanie Turcji do wspólnej polityki zagranicznej i bezpieczeństwa UE osiągnęło w 2025 r. najniższy w historii poziom 4 % w porównaniu z 6 % w 2024 r.; mając na uwadze, że jest to zdecydowanie najniższy poziom dostosowania spośród wszystkich krajów kandydujących; mając na uwadze, że ten wskaźnik nie odzwierciedla wszystkich poziomów zaangażowania danego kraju kandydującego w dziedzinie polityki zagranicznej i bezpieczeństwa;</w:t>
      </w:r>
    </w:p>
    <w:p w:rsidR="00C073AA" w:rsidRPr="00BA37E4" w:rsidP="00C073AA" w14:paraId="395637A7" w14:textId="12F0A52C">
      <w:pPr>
        <w:pStyle w:val="NormalHanging12a"/>
      </w:pPr>
      <w:r>
        <w:t>T</w:t>
      </w:r>
      <w:r w:rsidRPr="00BA37E4">
        <w:t>.</w:t>
      </w:r>
      <w:r w:rsidRPr="00BA37E4">
        <w:tab/>
        <w:t>mając na uwadze, że napięcia między UE a Turcją w związku z sytuacją we wschodniej części regionu Morza Śródziemnego osłabły, ale nie ustały;</w:t>
      </w:r>
    </w:p>
    <w:p w:rsidR="00C073AA" w:rsidRPr="00BA37E4" w:rsidP="00C073AA" w14:paraId="3BA1CCD2" w14:textId="34FD4D05">
      <w:pPr>
        <w:pStyle w:val="NormalHanging"/>
      </w:pPr>
      <w:r>
        <w:t>U</w:t>
      </w:r>
      <w:r w:rsidRPr="00BA37E4">
        <w:t>.</w:t>
      </w:r>
      <w:r w:rsidRPr="00BA37E4">
        <w:tab/>
        <w:t>mając na uwadze, że Turcja nadal odgrywa istotną rolę w konflikcie syryjskim; mając na uwadze, że Turcja przeprowadziła zakrojone na szeroką skalę operacje wojskowe na terytorium Syrii, w szczególności wymierzone w terytoria kurdyjskie, oraz okupuje tereny w północnej Syrii, naruszając tymi działaniami prawo międzynarodowe;</w:t>
      </w:r>
    </w:p>
    <w:p w:rsidR="00C073AA" w:rsidRPr="00BA37E4" w:rsidP="00C073AA" w14:paraId="493B753F" w14:textId="74808FF5">
      <w:pPr>
        <w:pStyle w:val="NormalHanging"/>
      </w:pPr>
      <w:r>
        <w:t>V</w:t>
      </w:r>
      <w:r w:rsidRPr="00BA37E4">
        <w:t>.</w:t>
      </w:r>
      <w:r w:rsidRPr="00BA37E4">
        <w:tab/>
        <w:t>mając na uwadze, że operacje wojskowe przeciwko reżimowi irańskiemu będą miały konsekwencje dla Turcji ze względu na jej bliskość geograficzną, w tym poprzez skutki uboczne, w szczególności w postaci ponownej presji migracyjnej; mając na uwadze, że Turcja była celem szeregu gróźb rakietowych skierowanych przeciwko jej terytorium z Iranu; zostały one z powodzeniem zneutralizowane za pośrednictwem zintegrowanego systemu obrony powietrznej i przeciwrakietowej NATO;</w:t>
      </w:r>
    </w:p>
    <w:p w:rsidR="00C073AA" w:rsidRPr="00BA37E4" w:rsidP="00C073AA" w14:paraId="090DCD61" w14:textId="031F8D5D">
      <w:pPr>
        <w:pStyle w:val="NormalHanging12a"/>
      </w:pPr>
      <w:r>
        <w:t>W</w:t>
      </w:r>
      <w:r w:rsidRPr="00BA37E4">
        <w:t>.</w:t>
      </w:r>
      <w:r w:rsidRPr="00BA37E4">
        <w:tab/>
        <w:t>mając na uwadze, że UE i Turcja utrzymują szczególnie intensywne stosunki handlowe, które obejmują wysoce zintegrowane łańcuchy dostaw i szacowane są na ponad 210 mld EUR w 2024 r., przy czym Turcja jest piątym co do wielkości partnerem handlowym UE, a UE jest zdecydowanie największym partnerem handlowym Turcji, jak również głównym źródłem bezpośrednich inwestycji zagranicznych w tym kraju;</w:t>
      </w:r>
    </w:p>
    <w:p w:rsidR="00C073AA" w:rsidRPr="00BA37E4" w:rsidP="00C073AA" w14:paraId="718CAD65" w14:textId="6C7ED6DD">
      <w:pPr>
        <w:pStyle w:val="NormalHanging12a"/>
      </w:pPr>
      <w:r>
        <w:t>X</w:t>
      </w:r>
      <w:r w:rsidRPr="00BA37E4">
        <w:t>.</w:t>
      </w:r>
      <w:r w:rsidRPr="00BA37E4">
        <w:tab/>
        <w:t>mając na uwadze, że na gospodarkę Turcji wpływają wysoka inflacja, niestabilność walutowa i wyzwania strukturalne, co ma bezpośrednie konsekwencje dla pracowników, gospodarstw domowych i spójności społecznej; mając na uwadze, że w ciągu ostatnich dwóch lat negatywna tendencja została zatrzymana i skorygowana za pomocą rozsądnej polityki makroekonomicznej, której realizacja wymaga jednak czasu;</w:t>
      </w:r>
    </w:p>
    <w:p w:rsidR="00C073AA" w:rsidRPr="00BA37E4" w:rsidP="00C073AA" w14:paraId="3CE4ED82" w14:textId="5905D153">
      <w:pPr>
        <w:pStyle w:val="NormalHanging12a"/>
      </w:pPr>
      <w:r>
        <w:t>Y</w:t>
      </w:r>
      <w:r w:rsidRPr="00BA37E4">
        <w:t>.</w:t>
      </w:r>
      <w:r w:rsidRPr="00BA37E4">
        <w:tab/>
        <w:t>mając na uwadze, że obywatele Turcji zajmują drugie miejsce pod względem liczby rozpatrzonych wniosków o wizy UE;</w:t>
      </w:r>
    </w:p>
    <w:p w:rsidR="00C073AA" w:rsidRPr="00BA37E4" w:rsidP="00C073AA" w14:paraId="35786AC5" w14:textId="4F3C436E">
      <w:pPr>
        <w:pStyle w:val="NormalHanging12a"/>
      </w:pPr>
      <w:r>
        <w:t>Z</w:t>
      </w:r>
      <w:r w:rsidRPr="00BA37E4">
        <w:t>.</w:t>
      </w:r>
      <w:r w:rsidRPr="00BA37E4">
        <w:tab/>
        <w:t>mając na uwadze, że Turcja będzie gospodarzem 31. konferencji ONZ w sprawie zmiany klimatu w Antalyi w listopadzie 2026 r. i w związku z tym powinna wykazać wiarygodne zaangażowanie w osiągnięcie swoich celów w zakresie redukcji emisji CO</w:t>
      </w:r>
      <w:r w:rsidRPr="00BA37E4">
        <w:rPr>
          <w:vertAlign w:val="subscript"/>
        </w:rPr>
        <w:t>2</w:t>
      </w:r>
      <w:r w:rsidRPr="00BA37E4">
        <w:t xml:space="preserve"> oraz zwiększyć poziom ambicji swojej polityki klimatycznej;</w:t>
      </w:r>
    </w:p>
    <w:p w:rsidR="00C073AA" w:rsidRPr="00BA37E4" w:rsidP="00C073AA" w14:paraId="67A4D989" w14:textId="55F3AA7A">
      <w:pPr>
        <w:pStyle w:val="NormalHanging12a"/>
      </w:pPr>
      <w:r>
        <w:t>AA</w:t>
      </w:r>
      <w:r w:rsidRPr="00BA37E4">
        <w:t>.</w:t>
      </w:r>
      <w:r w:rsidRPr="00BA37E4">
        <w:tab/>
        <w:t xml:space="preserve">mając na uwadze, że czołowi działacze opozycji otwarcie opowiedzieli się ostatnio za wznowieniem kontaktów między UE a Turcją; mając na uwadze, że były współprzewodniczący Ludowej Partii Demokratycznej (HDP) </w:t>
      </w:r>
      <w:r w:rsidRPr="00BA37E4">
        <w:t>Selahattin</w:t>
      </w:r>
      <w:r w:rsidRPr="00BA37E4">
        <w:t xml:space="preserve"> </w:t>
      </w:r>
      <w:r w:rsidRPr="00BA37E4">
        <w:t>Demirtaș</w:t>
      </w:r>
      <w:r w:rsidRPr="00BA37E4">
        <w:t xml:space="preserve"> zaapelował o wznowienie procesu akcesyjnego Turcji, zakładając, że pomimo </w:t>
      </w:r>
      <w:r w:rsidRPr="00BA37E4">
        <w:t xml:space="preserve">wszystkich obecnych trudności i niedociągnięć doprowadziłoby to do podjęcia działań w obszarze reform demokratycznych i mogłoby zmobilizować wszystkie zainteresowane strony; mając na uwadze, że przewodniczący CHP </w:t>
      </w:r>
      <w:r w:rsidRPr="00BA37E4">
        <w:t>Özgür</w:t>
      </w:r>
      <w:r w:rsidRPr="00BA37E4">
        <w:t xml:space="preserve"> </w:t>
      </w:r>
      <w:r w:rsidRPr="00BA37E4">
        <w:t>Özel</w:t>
      </w:r>
      <w:r w:rsidRPr="00BA37E4">
        <w:t xml:space="preserve"> w piśmie skierowanym do zainteresowanych stron z UE opowiedział się za bardziej </w:t>
      </w:r>
      <w:r w:rsidRPr="00BA37E4">
        <w:t>inkluzywnym</w:t>
      </w:r>
      <w:r w:rsidRPr="00BA37E4">
        <w:t xml:space="preserve"> i strategicznym zrozumieniem współpracy między UE a Turcją, potwierdzając poparcie dla pełnego członkostwa i podkreślając, że pogłębienie integracji instytucjonalnej i gospodarczej – w tym w ramach procesu „</w:t>
      </w:r>
      <w:r w:rsidRPr="00BA37E4">
        <w:t>Made</w:t>
      </w:r>
      <w:r w:rsidRPr="00BA37E4">
        <w:t xml:space="preserve"> in Europe” – posłuży jako ważny czynnik umacniania demokracji, praw człowieka i praworządności w Turcji; mając na uwadze, że kandydat na prezydenta z ramienia CHP i burmistrz Stambułu </w:t>
      </w:r>
      <w:r w:rsidRPr="00BA37E4">
        <w:t>Ekrem</w:t>
      </w:r>
      <w:r w:rsidRPr="00BA37E4">
        <w:t xml:space="preserve"> </w:t>
      </w:r>
      <w:r w:rsidRPr="00BA37E4">
        <w:t>İmamoğlu</w:t>
      </w:r>
      <w:r w:rsidRPr="00BA37E4">
        <w:t xml:space="preserve"> również wyraził w piśmie pogląd, iż brak dialogu z Turcją osłabiłby unijne poparcie dla transformacji demokratycznej w kraju; mając na uwadze, że zaapelował on ponadto o stopniową odbudowę stosunków opartą na zasadach, w tym o stałe zaangażowanie oparte na kryteriach kopenhaskich, a także o pilne rozpoczęcie rozmów na temat modernizacji unii celnej jako sposobu na utrzymanie ścisłego dostosowania Turcji do standardów UE oraz na wzmocnienie przejrzystości, konkurencyjności i praworządności;</w:t>
      </w:r>
    </w:p>
    <w:p w:rsidR="00C073AA" w:rsidRPr="00BA37E4" w:rsidP="00C073AA" w14:paraId="3A3A5208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 xml:space="preserve">Zaangażowanie na rzecz przystąpienia do UE </w:t>
      </w:r>
    </w:p>
    <w:p w:rsidR="00C073AA" w:rsidRPr="00BA37E4" w:rsidP="00C073AA" w14:paraId="6A69E102" w14:textId="77777777">
      <w:pPr>
        <w:pStyle w:val="NormalHanging12a"/>
      </w:pPr>
      <w:r w:rsidRPr="00BA37E4">
        <w:t>1.</w:t>
      </w:r>
      <w:r w:rsidRPr="00BA37E4">
        <w:tab/>
        <w:t>ponownie wyraża uznanie dla długotrwałych aspiracji większości społeczeństwa tureckiego dotyczących przystąpienia do UE i utrzymania statusu Turcji jako kraju kandydującego, pomimo ciągłego braku postępów i woli politycznej; rozumie, że w związku z tym zainteresowane podmioty po obu stronach procesu odczuwają coraz większe zmęczenie; podkreśla jednak, że wszelkie zmiany w procesie akcesyjnym wymagają wymiernych postępów w utrzymaniu praworządności i procesów demokratycznych, oraz uważa, że w przypadku braku takich postępów proces przystąpienia Turcji do UE nie może zostać wznowiony;</w:t>
      </w:r>
    </w:p>
    <w:p w:rsidR="00C073AA" w:rsidRPr="00BA37E4" w:rsidP="00C073AA" w14:paraId="7AE9FD56" w14:textId="77777777">
      <w:pPr>
        <w:pStyle w:val="NormalHanging12a"/>
      </w:pPr>
      <w:r w:rsidRPr="00BA37E4">
        <w:t>2.</w:t>
      </w:r>
      <w:r w:rsidRPr="00BA37E4">
        <w:tab/>
        <w:t>podkreśla oparty na osiągnięciach, normatywny, nietransakcyjny charakter procesu przystąpienia do UE, który zależy od spełnienia kryteriów kopenhaskich i nie jest związany żadnym terminem; podkreśla, że spełnienie tych kryteriów wymaga stabilnych instytucji gwarantujących demokrację, praworządność, prawa człowieka, poszanowanie i ochronę mniejszości, stosunki dobrosąsiedzkie, uznanie wszystkich państw członkowskich, poszanowanie prawa międzynarodowego oraz dostosowanie się do wspólnej polityki zagranicznej i bezpieczeństwa UE;</w:t>
      </w:r>
    </w:p>
    <w:p w:rsidR="00C073AA" w:rsidRPr="00BA37E4" w:rsidP="00C073AA" w14:paraId="7DA8D6DB" w14:textId="77777777">
      <w:pPr>
        <w:pStyle w:val="NormalHanging12a"/>
      </w:pPr>
      <w:r w:rsidRPr="00BA37E4">
        <w:t>3.</w:t>
      </w:r>
      <w:r w:rsidRPr="00BA37E4">
        <w:tab/>
        <w:t>zauważa z ubolewaniem, że choć rząd turecki wielokrotnie powtarzał, że zależy mu na członkostwie w UE, nie zajęto się wyrażonymi w poprzednich sprawozdaniach stałymi i poważnymi obawami dotyczącymi niedociągnięć mających wpływ na proces akcesyjny, w tym ciągłym podważaniem praw człowieka i ograniczeniem przestrzeni społeczeństwa obywatelskiego; w ostatnim okresie udokumentowano nawet jeszcze większy poważny regres w obszarze praworządności i pogarszanie się sytuacji w zakresie praw podstawowych, co stanowi kontynuację tendencji, która w ciągu ostatniej dekady popchnęła ten kraj w kierunku modelu autorytarnego; uważa, że ta ciągła bezczynność wyraźnie wskazuje na brak prawdziwej woli politycznej rządu tureckiego do przeprowadzenia reform czy ożywienia procesu akcesyjnego;</w:t>
      </w:r>
    </w:p>
    <w:p w:rsidR="00C073AA" w:rsidRPr="00BA37E4" w:rsidP="00C073AA" w14:paraId="51479142" w14:textId="77777777">
      <w:pPr>
        <w:pStyle w:val="NormalHanging12a"/>
      </w:pPr>
      <w:r w:rsidRPr="00BA37E4">
        <w:t>4.</w:t>
      </w:r>
      <w:r w:rsidRPr="00BA37E4">
        <w:tab/>
        <w:t xml:space="preserve">apeluje do rządu tureckiego, by przeszedł od słów do czynów i zamiast ubolewać nad tym, jak długo Turcja trzymana jest na progu UE, wykazał za pomocą konkretnych i dobrze zrozumianych środków rzeczywistą gotowość do zajęcia się utrzymującymi się niedociągnięciami w dziedzinie praworządności, praw człowieka, standardów </w:t>
      </w:r>
      <w:r w:rsidRPr="00BA37E4">
        <w:t>demokratycznych, wolności prasy i innych podstawowych wolności, a także w odniesieniu do poszanowania stosunków dobrosąsiedzkich i prawa międzynarodowego; podkreśla w szczególności, oprócz innych pilnych środków, potrzebę wzmocnienia niezależności sądownictwa, ochrony wolności wypowiedzi, ochrony dziennikarzy i praw władz lokalnych oraz położenia kresu politycznie motywowanym procesom;</w:t>
      </w:r>
    </w:p>
    <w:p w:rsidR="00C073AA" w:rsidRPr="00BA37E4" w:rsidP="00C073AA" w14:paraId="419C7B00" w14:textId="77777777">
      <w:pPr>
        <w:pStyle w:val="NormalHanging12a"/>
      </w:pPr>
      <w:r w:rsidRPr="00BA37E4">
        <w:t>5.</w:t>
      </w:r>
      <w:r w:rsidRPr="00BA37E4">
        <w:tab/>
        <w:t>przypomina jednak, że choć proces akcesyjny wstrzymano w 2018 r., Turcja nadal jest krajem o strategicznym znaczeniu, sojusznikiem NATO i krajem, z którym UE utrzymuje wielowymiarowe stosunki w obszarach od handlu, gospodarki i zarządzania migracją po politykę zagraniczną i bezpieczeństwa; podkreśla znaczenie Turcji dla regionalnych ram bezpieczeństwa i stabilności, a także dla bezpieczeństwa Ukrainy w obliczu rosyjskiej agresji; podkreśla jednak, że rosnące rozbieżności w polityce zagranicznej są trudne do pogodzenia z europejską architekturą bezpieczeństwa i obrony; zdecydowanie popiera rozwój opartych na współpracy i wzajemnie korzystnych stosunków z Turcją we wszystkich obszarach będących przedmiotem wspólnego zainteresowania, prowadzony w stopniowy, proporcjonalny i odwracalny sposób zgodnie z konkluzjami Rady Europejskiej z kwietnia 2024 r., a także w oparciu o prawo międzynarodowe i z myślą o jego promowaniu;</w:t>
      </w:r>
    </w:p>
    <w:p w:rsidR="00C073AA" w:rsidRPr="00BA37E4" w:rsidP="00C073AA" w14:paraId="2B2789AA" w14:textId="77777777">
      <w:pPr>
        <w:pStyle w:val="NormalHanging12a"/>
      </w:pPr>
      <w:r w:rsidRPr="00BA37E4">
        <w:t>6.</w:t>
      </w:r>
      <w:r w:rsidRPr="00BA37E4">
        <w:tab/>
        <w:t>wyraża nadzieję na zmianę kursu w zaangażowaniu rządu tureckiego w podstawowe kwestie leżące u podstaw procesu przystąpienia do UE, co umożliwiłoby rozwój stosunków między UE a Turcją w kierunku bliższego partnerstwa z perspektywą ewentualnego wznowienia procesu akcesyjnego w przyszłości;</w:t>
      </w:r>
    </w:p>
    <w:p w:rsidR="00C073AA" w:rsidRPr="00BA37E4" w:rsidP="00C073AA" w14:paraId="26D9105B" w14:textId="77777777">
      <w:pPr>
        <w:pStyle w:val="NormalHanging12a"/>
      </w:pPr>
      <w:r w:rsidRPr="00BA37E4">
        <w:t>7.</w:t>
      </w:r>
      <w:r w:rsidRPr="00BA37E4">
        <w:tab/>
        <w:t xml:space="preserve">jest głęboko zaniepokojony słabym i rzadko zabieranym głosem innych instytucji UE i wielu państw członkowskich UE w obliczu erozji praworządności w Turcji; podkreśla, że fakt, iż unijni urzędnicy wysokiego szczebla nie są w stanie systematycznie i publicznie poruszać kwestii trwającego regresu demokracji – zwłaszcza podczas oficjalnych wizyt w tym państwie – grozi dalszą alienacją tureckiego społeczeństwa obywatelskiego oraz osłabieniem wizerunku i wiarygodności UE, w tym wśród najbardziej </w:t>
      </w:r>
      <w:r w:rsidRPr="00BA37E4">
        <w:t>prounijnych</w:t>
      </w:r>
      <w:r w:rsidRPr="00BA37E4">
        <w:t xml:space="preserve"> tureckich grup społecznych, a zaradzenie tej sytuacji zajmie dużo czasu; wzywa ambasadora UE i ambasadorów państw członkowskich UE w Turcji, by ponownie zaczęli odwiedzać uwięzione ważne osobistości, brali udział w odpowiednich procesach, publicznie sprzeciwiali się ciągłym atakom na partie polityczne i członków opozycji oraz głosy sprzeciwu, a także by regularnie zgłaszali władzom tureckim obawy w tym zakresie, a jednocześnie nadal ściśle współpracowali ze społeczeństwem obywatelskim;</w:t>
      </w:r>
    </w:p>
    <w:p w:rsidR="00C073AA" w:rsidRPr="00BA37E4" w:rsidP="00C073AA" w14:paraId="7055457A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>Istota procesu akcesyjnego – demokracja, praworządność i prawa podstawowe</w:t>
      </w:r>
    </w:p>
    <w:p w:rsidR="00C073AA" w:rsidRPr="00BA37E4" w:rsidP="00C073AA" w14:paraId="12575208" w14:textId="77777777">
      <w:pPr>
        <w:pStyle w:val="NormalHanging12a"/>
      </w:pPr>
      <w:r w:rsidRPr="00BA37E4">
        <w:t>8.</w:t>
      </w:r>
      <w:r w:rsidRPr="00BA37E4">
        <w:tab/>
        <w:t>wyraża głębokie zaniepokojenie postępującą poważną erozją praworządności i brakiem niezależności sądów w Turcji w ramach głęboko zakorzenionej autorytarnej interpretacji systemu prezydenckiego; ubolewa nad represjami i arbitralnymi postępowaniami sądowymi prowadzonymi przez turecki wymiar sprawiedliwości wobec polityków, dziennikarzy, prawników, działaczy, artystów i każdego, kto odważy się wyrazić głos krytyczny; ponadto ubolewa nad ograniczaniem wolności mediów, aktywności obywatelskiej i prawa do zgromadzania się w kraju i wzywa rząd do odwrócenia tej tendencji, zanim będzie za późno; wzywa do przyjęcia środków strukturalnych umożliwiających znaczną poprawę niezależności sądów;</w:t>
      </w:r>
    </w:p>
    <w:p w:rsidR="00C073AA" w:rsidRPr="00BA37E4" w:rsidP="00C073AA" w14:paraId="3AF2C85C" w14:textId="77777777">
      <w:pPr>
        <w:pStyle w:val="NormalHanging12a"/>
      </w:pPr>
      <w:r w:rsidRPr="00BA37E4">
        <w:t>9.</w:t>
      </w:r>
      <w:r w:rsidRPr="00BA37E4">
        <w:tab/>
        <w:t>ubolewa nad brakiem bezstronności i niezależności oraz powszechnym stosowaniem podwójnych standardów w sądownictwie, zarówno przez prokuratorów, jak i sędziów, w szczególności w odniesieniu do spraw dotyczących znieważania urzędników lub zarzutów korupcji; zauważa, że zwolennicy rządu nie są traktowani w taki sam sposób jak członkowie opozycji; ponadto ubolewa nad bezprawną praktyką odwoływania i arbitralnego przenoszenia sędziów zajmujących się sprawami politycznymi, co znacząco wpływa na bezstronność procesu; wzywa tureckie sądownictwo do położenia kresu praktyce wykorzystywania dowodów pochodzących od tajnych świadków; praktyka ta szczególnie powtarza się w głośnych sprawach, a dowody są przyjmowane bez weryfikacji, co stanowi wyraźne naruszenie prawa do rzetelnego procesu sądowego i jest sprzeczne z orzecznictwem ETPC; podkreśla, że to nadużywanie postępowań sądowych prowadzi do poważnych naruszeń prawnego domniemania niewinności, co jest sprzeczne z międzynarodowymi obowiązkami prawnymi i tureckim prawem krajowym; jest zaniepokojony doniesieniami o poważnym pogorszeniu jakości postępowań sądowych w Turcji, szczególnie widocznym w niskiej jakości aktów oskarżenia, co stanowi naruszenie zarówno krajowych, jak i międzynarodowych standardów prawnych; wskazuje na turecką Radę Sędziów i Prokuratorów oraz na jej oczywisty brak niezależności od rządu przy wyborze, rekrutacji i promowaniu sędziów i prokuratorów – jest to kluczowy czynnik umożliwiający celowe wykorzystywanie wymiaru sprawiedliwości jako broni w celu tłumienia sprzeciwu;</w:t>
      </w:r>
    </w:p>
    <w:p w:rsidR="00C073AA" w:rsidRPr="00BA37E4" w:rsidP="00C073AA" w14:paraId="0EFD47E4" w14:textId="7D099A8D">
      <w:pPr>
        <w:pStyle w:val="NormalHanging12a"/>
      </w:pPr>
      <w:r w:rsidRPr="00BA37E4">
        <w:t>10.</w:t>
      </w:r>
      <w:r w:rsidRPr="00BA37E4">
        <w:tab/>
        <w:t xml:space="preserve">zauważa z ubolewaniem, że chociaż polityka rozszerzenia UE obecnie na nowo nabiera rozpędu, Turcja nie wykorzystuje tej szansy ze względu na brak reform demokratycznych; ponadto zauważa, że pierwszym krokiem do skorzystania z tej możliwości byłoby zastosowanie się do orzeczeń ETPC i Trybunału Konstytucyjnego Turcji; jest nadal zbulwersowany ciągłym lekceważeniem przełomowych orzeczeń Trybunału Konstytucyjnego i ETPC i niestosowaniem się do nich przez władze tureckie, a w szczególności przez tureckie sądownictwo, co podważa pewność prawa i utrwala naruszenia systemowe; z ubolewaniem odnotowuje przedłużające się postępowanie w sprawie naruszenia przepisów prowadzone przez Komitet Ministrów Rady Europy, w którym to postępowaniu nie udało się podjąć skutecznych działań w celu egzekwowania wyroków ETPC i zapewnienia ich przestrzegania; wzywa Komisję i państwa członkowskie, by wykorzystały wszystkie kanały dyplomatyczne do nakłonienia Turcji do wykonania odnośnych orzeczeń ETPC, a także by rozważyły zastosowanie odpowiedniej warunkowości finansowania w zależności od stosowania się do orzeczeń ETPC; z całą stanowczością potępia niezmienną i celową decyzję władz tureckich o nielegalnym przetrzymywaniu w więzieniu ze względów politycznych ważnych osobistości takich jak byli współprzewodniczący partii HDP </w:t>
      </w:r>
      <w:r w:rsidRPr="00BA37E4">
        <w:t>Selahattin</w:t>
      </w:r>
      <w:r w:rsidRPr="00BA37E4">
        <w:t xml:space="preserve"> </w:t>
      </w:r>
      <w:r w:rsidRPr="00BA37E4">
        <w:t>Demirtaș</w:t>
      </w:r>
      <w:r w:rsidRPr="00BA37E4">
        <w:t xml:space="preserve"> i </w:t>
      </w:r>
      <w:r w:rsidRPr="00BA37E4">
        <w:t>Figen</w:t>
      </w:r>
      <w:r w:rsidRPr="00BA37E4">
        <w:t xml:space="preserve"> </w:t>
      </w:r>
      <w:r w:rsidRPr="00BA37E4">
        <w:t>Yüksekdağ</w:t>
      </w:r>
      <w:r w:rsidRPr="00BA37E4">
        <w:t xml:space="preserve"> (przez ponad 9 lat) oraz obrońca praw człowieka Osman </w:t>
      </w:r>
      <w:r w:rsidRPr="00BA37E4">
        <w:t>Kavala</w:t>
      </w:r>
      <w:r w:rsidRPr="00BA37E4">
        <w:t xml:space="preserve"> (przez ponad 8 lat), pomimo odpowiednich orzeczeń ETPC; wzywa do ich bezzwłocznego i bezwarunkowego uwolnienia; jest zbulwersowany faktem, że zamiast zostać natychmiast zwolniony, 6 stycznia 2026 r. </w:t>
      </w:r>
      <w:r w:rsidRPr="00BA37E4">
        <w:t>Selahattin</w:t>
      </w:r>
      <w:r w:rsidRPr="00BA37E4">
        <w:t xml:space="preserve"> </w:t>
      </w:r>
      <w:r w:rsidRPr="00BA37E4">
        <w:t>Demirtaș</w:t>
      </w:r>
      <w:r w:rsidRPr="00BA37E4">
        <w:t xml:space="preserve"> otrzymał dodatkową karę ponad roku więzienia w innej sprawie na podstawie przemówień wygłoszonych w 2015 r., pomimo trzech przełomowych orzeczeń ETPC, w których zaapelowano o jego uwolnienie, przy czym ostatnie z tych orzeczeń uprawomocniło się 3 listopada 2025 r.; uważa te działania za poważne nadużycie władzy i przejaw rażącego lekceważenia praworządności; ponownie wzywa Turcję do pełnego wdrożenia wszystkich wyroków ETPC zgodnie z art. 46 europejskiej konwencji praw człowieka oraz z bezwarunkowymi obowiązkami wynikającymi z art. 90 tureckiej konstytucji, w tym orzeczenia ETPC z 2023 r. w sprawie </w:t>
      </w:r>
      <w:r w:rsidRPr="00BA37E4">
        <w:t>Yüksel</w:t>
      </w:r>
      <w:r w:rsidRPr="00BA37E4">
        <w:t xml:space="preserve"> </w:t>
      </w:r>
      <w:r w:rsidRPr="00BA37E4">
        <w:t>Yalçınkaya</w:t>
      </w:r>
      <w:r w:rsidRPr="00BA37E4">
        <w:t xml:space="preserve"> przeciwko Turcji i w </w:t>
      </w:r>
      <w:r w:rsidRPr="00BA37E4">
        <w:t xml:space="preserve">sprawach powiązanych; odnotowuje decyzję ETPC, by nie przyznawać odszkodowania ani nie pokrywać kosztów sądowych w tysiącach spraw następczych, co może być potencjalnie nieuczciwe wobec skarżących i niezgodne z wcześniejszą praktyką Trybunału; wzywa Turcję do poszanowania również wyroków dotyczących osób zaginionych i mienia na Cyprze, w tym decyzji ETPC z </w:t>
      </w:r>
      <w:r w:rsidRPr="0098736C" w:rsidR="0098736C">
        <w:t xml:space="preserve">dnia </w:t>
      </w:r>
      <w:r w:rsidRPr="00BA37E4">
        <w:t xml:space="preserve">24 stycznia 2008 r. w sprawie zabójstw </w:t>
      </w:r>
      <w:r w:rsidRPr="00BA37E4">
        <w:t>Tassosa</w:t>
      </w:r>
      <w:r w:rsidRPr="00BA37E4">
        <w:t xml:space="preserve"> Isaaka i </w:t>
      </w:r>
      <w:r w:rsidRPr="00BA37E4">
        <w:t>Solomosa</w:t>
      </w:r>
      <w:r w:rsidRPr="00BA37E4">
        <w:t xml:space="preserve"> </w:t>
      </w:r>
      <w:r w:rsidRPr="00BA37E4">
        <w:t>Solomou</w:t>
      </w:r>
      <w:r w:rsidRPr="00BA37E4">
        <w:t>; wzywa władze tureckie do wykonania międzynarodowych nakazów aresztowania wydanych wobec podejrzanych o te morderstwa oraz do przekazania tych osób Republice Cypryjskiej;</w:t>
      </w:r>
    </w:p>
    <w:p w:rsidR="00C073AA" w:rsidP="00C073AA" w14:paraId="25BBC0D5" w14:textId="77777777">
      <w:pPr>
        <w:pStyle w:val="NormalHanging12a"/>
      </w:pPr>
      <w:r w:rsidRPr="00BA37E4">
        <w:t>11.</w:t>
      </w:r>
      <w:r w:rsidRPr="00BA37E4">
        <w:tab/>
        <w:t xml:space="preserve">jest głęboko zaniepokojony narastającym kryzysem konstytucyjnym w Turcji spowodowanym odmową zastosowania się przez sądy powszechne do wiążących wyroków Trybunału Konstytucyjnego lub innych decyzji odpowiednich wyższych instancji sądowych, co stanowi wyraźne naruszenie porządku prawnego; potępia dalsze pozbawienie wolności </w:t>
      </w:r>
      <w:r w:rsidRPr="00BA37E4">
        <w:t>Cana</w:t>
      </w:r>
      <w:r w:rsidRPr="00BA37E4">
        <w:t xml:space="preserve"> </w:t>
      </w:r>
      <w:r w:rsidRPr="00BA37E4">
        <w:t>Atalaya</w:t>
      </w:r>
      <w:r w:rsidRPr="00BA37E4">
        <w:t xml:space="preserve">, oskarżonego w sprawie </w:t>
      </w:r>
      <w:r w:rsidRPr="00BA37E4">
        <w:t>Gezi</w:t>
      </w:r>
      <w:r w:rsidRPr="00BA37E4">
        <w:t xml:space="preserve">, pomimo dwóch wiążących orzeczeń Trybunału Konstytucyjnego, i zdecydowanie potępia bezprawne pozbawienie go mandatu parlamentarnego z jawnym naruszeniem gwarancji konstytucyjnych i demokratycznej woli elektoratu; potępia decyzję 13. Sądu Karnego w Stambule w sprawie odrzucenia nakazu Trybunału Konstytucyjnego o ponownym rozpoznaniu sprawy </w:t>
      </w:r>
      <w:r w:rsidRPr="00BA37E4">
        <w:t>Tayfuna</w:t>
      </w:r>
      <w:r w:rsidRPr="00BA37E4">
        <w:t xml:space="preserve"> </w:t>
      </w:r>
      <w:r w:rsidRPr="00BA37E4">
        <w:t>Kahramana</w:t>
      </w:r>
      <w:r w:rsidRPr="00BA37E4">
        <w:t xml:space="preserve">, innego oskarżonego w sprawie </w:t>
      </w:r>
      <w:r w:rsidRPr="00BA37E4">
        <w:t>Gezi</w:t>
      </w:r>
      <w:r w:rsidRPr="00BA37E4">
        <w:t xml:space="preserve">, którego stan zdrowia znacznie się ostatnio pogorszył, a także potępia odrzucenie jego wniosków o wstrzymanie wykonania kary i zwolnienie; jest zbulwersowany niedawnym skazaniem </w:t>
      </w:r>
      <w:r w:rsidRPr="00BA37E4">
        <w:t>Ayșe</w:t>
      </w:r>
      <w:r w:rsidRPr="00BA37E4">
        <w:t xml:space="preserve"> </w:t>
      </w:r>
      <w:r w:rsidRPr="00BA37E4">
        <w:t>Barımy</w:t>
      </w:r>
      <w:r w:rsidRPr="00BA37E4">
        <w:t xml:space="preserve">, znanej menedżerki talentów, w związku z zarzutem udziału w protestach w parku </w:t>
      </w:r>
      <w:r w:rsidRPr="00BA37E4">
        <w:t>Gezi</w:t>
      </w:r>
      <w:r w:rsidRPr="00BA37E4">
        <w:t xml:space="preserve"> 13 lat temu, pomimo braku jakichkolwiek dowodów na wykroczenie; ubolewa ponadto, że 13. Izba Administracyjna Regionalnego Sądu Administracyjnego w Ankarze odmówiła zastosowania się do przełomowej decyzji Rady Stanu w sprawie </w:t>
      </w:r>
      <w:r w:rsidRPr="00BA37E4">
        <w:t>Hafize</w:t>
      </w:r>
      <w:r w:rsidRPr="00BA37E4">
        <w:t xml:space="preserve"> </w:t>
      </w:r>
      <w:r w:rsidRPr="00BA37E4">
        <w:t>Öztürk</w:t>
      </w:r>
      <w:r w:rsidRPr="00BA37E4">
        <w:t xml:space="preserve"> </w:t>
      </w:r>
      <w:r w:rsidRPr="00BA37E4">
        <w:t>Türkmen</w:t>
      </w:r>
      <w:r w:rsidRPr="00BA37E4">
        <w:t xml:space="preserve"> – pierwszej sprawie związanej z jednym z pracowników akademickich zajmujących się pokojem; na mocy tej decyzji powinna ona była zostać przywrócona na stanowisko na uczelni; wzywa do natychmiastowego i bezwarunkowego uwolnienia wszystkich arbitralnie zatrzymanych osób, do wycofania zarzutów wobec osób ściganych wyłącznie za korzystanie z przysługujących im praw podstawowych oraz do położenia kresu nadużywaniu mechanizmów zwalczania terroryzmu i mechanizmów sądowych w celu uciszania sprzeciwu;</w:t>
      </w:r>
    </w:p>
    <w:p w:rsidR="00436FF1" w:rsidRPr="00436FF1" w:rsidP="00C073AA" w14:paraId="3EFD8918" w14:textId="65E81C4A">
      <w:pPr>
        <w:pStyle w:val="NormalHanging12a"/>
        <w:rPr>
          <w:bCs/>
          <w:iCs/>
        </w:rPr>
      </w:pPr>
      <w:r w:rsidRPr="00B57A1F">
        <w:rPr>
          <w:bCs/>
          <w:iCs/>
        </w:rPr>
        <w:t>1</w:t>
      </w:r>
      <w:r w:rsidR="00B57A1F">
        <w:rPr>
          <w:bCs/>
          <w:iCs/>
        </w:rPr>
        <w:t>2</w:t>
      </w:r>
      <w:r w:rsidRPr="00B57A1F">
        <w:rPr>
          <w:bCs/>
          <w:iCs/>
        </w:rPr>
        <w:t>.</w:t>
      </w:r>
      <w:r w:rsidRPr="00436FF1">
        <w:rPr>
          <w:bCs/>
          <w:iCs/>
        </w:rPr>
        <w:tab/>
      </w:r>
      <w:r w:rsidRPr="00B57A1F">
        <w:rPr>
          <w:bCs/>
          <w:iCs/>
        </w:rPr>
        <w:t xml:space="preserve">potępia nieustanne ataki rządu tureckiego na partie polityczne i członków opozycji, które w ostatnim roku były szczególnie dotkliwe w przypadku głównej partii opozycyjnej CHP, co jeszcze bardziej oddala Turcję od i tak już ograniczonej rywalizacji partyjnej w kierunku w pełni autorytarnego reżimu; zdecydowanie potępia politycznie zaaranżowane usunięcie z urzędu przewodniczącego CHP </w:t>
      </w:r>
      <w:r w:rsidRPr="00B57A1F">
        <w:rPr>
          <w:bCs/>
          <w:iCs/>
        </w:rPr>
        <w:t>Özgüra</w:t>
      </w:r>
      <w:r w:rsidRPr="00B57A1F">
        <w:rPr>
          <w:bCs/>
          <w:iCs/>
        </w:rPr>
        <w:t xml:space="preserve"> </w:t>
      </w:r>
      <w:r w:rsidRPr="00B57A1F">
        <w:rPr>
          <w:bCs/>
          <w:iCs/>
        </w:rPr>
        <w:t>Özela</w:t>
      </w:r>
      <w:r w:rsidRPr="00B57A1F">
        <w:rPr>
          <w:bCs/>
          <w:iCs/>
        </w:rPr>
        <w:t xml:space="preserve"> i kierownictwa partii </w:t>
      </w:r>
      <w:bookmarkStart w:id="7" w:name="_Hlk232062542"/>
      <w:r w:rsidRPr="00B57A1F">
        <w:rPr>
          <w:bCs/>
          <w:iCs/>
        </w:rPr>
        <w:t>w następstwie orzeczenia sądu, w którym uznano kongres CHP w 2023 r. za nieważny i zdecydowano o przywróceniu byłego kierownictwa partii</w:t>
      </w:r>
      <w:bookmarkEnd w:id="7"/>
      <w:r w:rsidRPr="00B57A1F">
        <w:rPr>
          <w:bCs/>
          <w:iCs/>
        </w:rPr>
        <w:t xml:space="preserve">; wzywa rząd turecki do położenia kresu tej polityce nadużyć, która stanowi poważny atak na pluralizm demokratyczny, praworządność oraz suwerenność członków partii i wyborców w Turcji; uważa, że sprawa ta jest najnowszym przykładem szerszego trendu stosowania represji wobec opozycji, w tym instrumentalizacji systemu sądowego w celu wyeliminowania potencjalnych konkurentów w nadchodzących wyborach, a tym samym dalszego ugruntowania w pełni autorytarnego systemu w Turcji; wzywa Komisję i państwa członkowskie do publicznego i prywatnego potępienia zawieszenia kierownictwa CHP w kontaktach z rządem tureckim oraz do bardziej konstruktywnej współpracy z tureckimi partiami opozycyjnymi; jest zaniepokojony ryzykiem długotrwałego kryzysu wewnętrznego w głównej partii opozycyjnej, jeżeli w krótkim </w:t>
      </w:r>
      <w:r w:rsidRPr="00B57A1F">
        <w:rPr>
          <w:bCs/>
          <w:iCs/>
        </w:rPr>
        <w:t>czasie nie dojdzie do zwołania kongresu, podczas którego członkowie partii mogliby demokratycznie zadecydować o swoim kierownictwie;</w:t>
      </w:r>
    </w:p>
    <w:p w:rsidR="00C073AA" w:rsidRPr="00BA37E4" w:rsidP="00C073AA" w14:paraId="2EE17E67" w14:textId="4C26C038">
      <w:pPr>
        <w:pStyle w:val="NormalHanging12a"/>
      </w:pPr>
      <w:r w:rsidRPr="00BA37E4">
        <w:t>1</w:t>
      </w:r>
      <w:r w:rsidR="00B57A1F">
        <w:t>3</w:t>
      </w:r>
      <w:r w:rsidRPr="00BA37E4">
        <w:t>.</w:t>
      </w:r>
      <w:r w:rsidRPr="00BA37E4">
        <w:tab/>
        <w:t xml:space="preserve">ponownie zdecydowanie potępia dalsze przetrzymywanie i odwołanie ze stanowiska burmistrza Stambułu </w:t>
      </w:r>
      <w:r w:rsidRPr="00BA37E4">
        <w:t>Ekrema</w:t>
      </w:r>
      <w:r w:rsidRPr="00BA37E4">
        <w:t xml:space="preserve"> </w:t>
      </w:r>
      <w:r w:rsidRPr="00BA37E4">
        <w:t>İmamoğlu</w:t>
      </w:r>
      <w:r w:rsidRPr="00BA37E4">
        <w:t xml:space="preserve"> z CHP w ramach szeroko zakrojonej sprawy politycznej dotyczącej ponad 400 oskarżonych, w tym burmistrzów dystryktów i urzędników, z których 105 przebywa obecnie w areszcie tymczasowym; </w:t>
      </w:r>
      <w:r w:rsidRPr="00B57A1F" w:rsidR="000B090E">
        <w:rPr>
          <w:bCs/>
          <w:iCs/>
        </w:rPr>
        <w:t xml:space="preserve">zdecydowanie odrzuca decyzję sądu okręgowego w Ankarze z 21 maja 2026 r. o unieważnieniu decyzji 38. zwyczajnej i 21. nadzwyczajnej konwencji CHP oraz o przywróceniu na stanowisko byłego lidera CHP Kemala </w:t>
      </w:r>
      <w:r w:rsidRPr="00B57A1F" w:rsidR="000B090E">
        <w:rPr>
          <w:bCs/>
          <w:iCs/>
        </w:rPr>
        <w:t>Kılıçdaroğlu</w:t>
      </w:r>
      <w:r w:rsidRPr="00B57A1F" w:rsidR="000B090E">
        <w:rPr>
          <w:bCs/>
          <w:iCs/>
        </w:rPr>
        <w:t xml:space="preserve"> po odsunięciu obecnego przywódcy </w:t>
      </w:r>
      <w:r w:rsidRPr="00B57A1F" w:rsidR="000B090E">
        <w:rPr>
          <w:bCs/>
          <w:iCs/>
        </w:rPr>
        <w:t>Özgüra</w:t>
      </w:r>
      <w:r w:rsidRPr="00B57A1F" w:rsidR="000B090E">
        <w:rPr>
          <w:bCs/>
          <w:iCs/>
        </w:rPr>
        <w:t xml:space="preserve"> </w:t>
      </w:r>
      <w:r w:rsidRPr="00B57A1F" w:rsidR="000B090E">
        <w:rPr>
          <w:bCs/>
          <w:iCs/>
        </w:rPr>
        <w:t>Özela</w:t>
      </w:r>
      <w:r w:rsidRPr="00B57A1F" w:rsidR="000B090E">
        <w:rPr>
          <w:bCs/>
          <w:iCs/>
        </w:rPr>
        <w:t xml:space="preserve">; uważa to orzeczenie za rażący przykład ingerencji państwa w wewnętrzne sprawy największej partii opozycyjnej; ponadto potępia aresztowanie 4 kwietnia 2026 r. wybranego opozycyjnego burmistrza Mustafy </w:t>
      </w:r>
      <w:r w:rsidRPr="00B57A1F" w:rsidR="000B090E">
        <w:rPr>
          <w:bCs/>
          <w:iCs/>
        </w:rPr>
        <w:t>Bozbeya</w:t>
      </w:r>
      <w:r w:rsidRPr="00B57A1F" w:rsidR="000B090E">
        <w:rPr>
          <w:bCs/>
          <w:iCs/>
        </w:rPr>
        <w:t xml:space="preserve"> wraz z kilkoma członkami CHP pod zarzutami korupcji i przekupstwa, które według doniesień są fałszywe; uznaje te wydarzenia za kolejny dowód systemowej erozji demokratycznych rządów i pluralizmu politycznego na szczeblu lokalnym w Turcji;</w:t>
      </w:r>
      <w:r w:rsidRPr="002517B6" w:rsidR="000B090E">
        <w:t xml:space="preserve"> </w:t>
      </w:r>
      <w:r w:rsidRPr="00BA37E4">
        <w:t xml:space="preserve">z zadowoleniem przyjmuje niedawne wizyty w Turcji burmistrzów i przedstawicieli miast UE oraz członków Europejskiego Komitetu Regionów, którzy okazali pozwanym solidarność i wsparcie; ponawia ich apel o poszanowanie swobód samorządowych; jest głęboko zaniepokojony przyjęciem prawie 4 000-stronicowego aktu oskarżenia, przygotowanego pod nadzorem znanego byłego prokuratora generalnego Stambułu </w:t>
      </w:r>
      <w:r w:rsidRPr="00BA37E4">
        <w:t>Akına</w:t>
      </w:r>
      <w:r w:rsidRPr="00BA37E4">
        <w:t xml:space="preserve"> </w:t>
      </w:r>
      <w:r w:rsidRPr="00BA37E4">
        <w:t>Gürlka</w:t>
      </w:r>
      <w:r w:rsidRPr="00BA37E4">
        <w:t xml:space="preserve">, w którym oskarżono </w:t>
      </w:r>
      <w:r w:rsidRPr="00BA37E4">
        <w:t>İmamoğlu</w:t>
      </w:r>
      <w:r w:rsidRPr="00BA37E4">
        <w:t xml:space="preserve"> o kierowanie rozległą siatką przestępczą i popełnienie 142 przestępstw, co może skutkować karą do 2 430 lat pozbawienia wolności; z zadowoleniem przyjmuje ważną decyzję ETPC o przyjęciu wniosku </w:t>
      </w:r>
      <w:r w:rsidRPr="00BA37E4">
        <w:t>İmamoğlu</w:t>
      </w:r>
      <w:r w:rsidRPr="00BA37E4">
        <w:t xml:space="preserve"> dotyczącego podejrzewanego bezprawnego zatrzymania w ramach procedury „sprawy priorytetowej”; potępia długotrwałe ataki na </w:t>
      </w:r>
      <w:r w:rsidRPr="00BA37E4">
        <w:t>Ekrema</w:t>
      </w:r>
      <w:r w:rsidRPr="00BA37E4">
        <w:t xml:space="preserve"> </w:t>
      </w:r>
      <w:r w:rsidRPr="00BA37E4">
        <w:t>İmamoğlu</w:t>
      </w:r>
      <w:r w:rsidRPr="00BA37E4">
        <w:t xml:space="preserve">, obecnego kandydata na prezydenta z ramienia CHP, polegające na licznych dochodzeniach, nakładających się na siebie sprawach sądowych i arbitralnych decyzjach administracyjnych; obejmuje to kolejny niedawno sformułowany akt oskarżenia pod zarzutem „szpiegostwa politycznego” oraz bezprawne i motywowane politycznie cofnięcie dyplomu ukończenia przez </w:t>
      </w:r>
      <w:r w:rsidRPr="00BA37E4">
        <w:t>İmamoğlu</w:t>
      </w:r>
      <w:r w:rsidRPr="00BA37E4">
        <w:t xml:space="preserve"> studiów wyższych, którego posiadanie jest warunkiem niezbędnym do sprawowania urzędu prezydenta Turcji; ubolewa nad decyzją 5. Sądu Administracyjnego w Stambule z 23 stycznia 2026 r. o odrzuceniu wniosku </w:t>
      </w:r>
      <w:r w:rsidRPr="00BA37E4">
        <w:t>İmamoğlu</w:t>
      </w:r>
      <w:r w:rsidRPr="00BA37E4">
        <w:t xml:space="preserve"> o uchylenie decyzji o cofnięciu dyplomu; jest głęboko zaniepokojony olbrzymią liczbą postępowań zainicjowanych przed Wielkim Zgromadzeniem Narodowym Turcji w celu uchylenia immunitetu parlamentarnego obecnych posłów; postępowania te w przeważającej mierze dotyczą członków partii opozycyjnych; podkreśla, że działania te podważają perspektywę silniejszego, bardziej kompleksowego partnerstwa między UE a Turcją oraz perspektywę ogólnej poprawy stosunków; apeluje do wszystkich podmiotów politycznych w Turcji, aby poważnie zaangażowały się we wzmocnienie Wielkiego Zgromadzenia Narodowego Turcji jako pluralistycznej izby, a także aby zajęły się wyzwaniami stojącymi przed tureckim społeczeństwem i stworzyły podstawy demokratycznej przyszłości;</w:t>
      </w:r>
    </w:p>
    <w:p w:rsidR="00C073AA" w:rsidRPr="00BA37E4" w:rsidP="00C073AA" w14:paraId="1BBAF2C9" w14:textId="7B5A3478">
      <w:pPr>
        <w:pStyle w:val="NormalHanging12a"/>
      </w:pPr>
      <w:r w:rsidRPr="00BA37E4">
        <w:t>1</w:t>
      </w:r>
      <w:r w:rsidR="00B57A1F">
        <w:t>4</w:t>
      </w:r>
      <w:r w:rsidRPr="00BA37E4">
        <w:t>.</w:t>
      </w:r>
      <w:r w:rsidRPr="00BA37E4">
        <w:tab/>
        <w:t xml:space="preserve">jest poważnie zaniepokojony dalszym pogarszaniem się stanu demokracji lokalnej w Turcji; zdecydowanie potępia odwołanie i aresztowanie </w:t>
      </w:r>
      <w:r w:rsidRPr="00B57A1F" w:rsidR="00436FF1">
        <w:rPr>
          <w:bCs/>
          <w:iCs/>
        </w:rPr>
        <w:t>co najmniej 39</w:t>
      </w:r>
      <w:r w:rsidRPr="0029261C" w:rsidR="00436FF1">
        <w:t xml:space="preserve"> </w:t>
      </w:r>
      <w:r w:rsidRPr="00BA37E4">
        <w:t>wyłonionych w wyborach burmistrzów z partii opozycyjnych i dziesiątków urzędników lokalnych, a także zastąpienie 1</w:t>
      </w:r>
      <w:r w:rsidR="00F20CB7">
        <w:t>3</w:t>
      </w:r>
      <w:r w:rsidRPr="00BA37E4">
        <w:t xml:space="preserve"> burmistrzów pełnomocnikami powołanymi przez rząd, często w związku z nadmiernie szerokim i arbitralnym stosowaniem tureckich przepisów antyterrorystycznych lub z bezpodstawnymi zarzutami o korupcję; ponownie podkreśla, że uważa tę długoletnią praktykę powoływania pełnomocników za jawny atak na </w:t>
      </w:r>
      <w:r w:rsidRPr="00BA37E4">
        <w:t>najbardziej podstawowe zasady demokracji lokalnej; wzywa władze tureckie do natychmiastowego zaprzestania i cofnięcia represji wobec gmin opozycyjnych – w tym w postaci selektywnej konfiskaty aktywów finansowych – oraz do poszanowania praw wyborców do wyboru swoich przedstawicieli zgodnie z zaleceniami Kongresu Władz Lokalnych i Regionalnych Rady Europy oraz Komisji Weneckiej</w:t>
      </w:r>
      <w:r w:rsidRPr="00B57A1F" w:rsidR="00FF65C4">
        <w:rPr>
          <w:bCs/>
          <w:iCs/>
        </w:rPr>
        <w:t>;</w:t>
      </w:r>
      <w:r w:rsidRPr="00FF65C4" w:rsidR="00FF65C4">
        <w:rPr>
          <w:bCs/>
          <w:iCs/>
        </w:rPr>
        <w:t xml:space="preserve"> </w:t>
      </w:r>
      <w:r w:rsidRPr="00B57A1F" w:rsidR="00FF65C4">
        <w:rPr>
          <w:bCs/>
          <w:iCs/>
        </w:rPr>
        <w:t>jest głęboko zaniepokojony niedawną reformą prawa wymagającą od samorządów lokalnych, ich podmiotów powiązanych i przedsiębiorstw kontrolowanych przez gminy uzyskania zgody prezydenta przed założeniem przedsiębiorstw lub spółdzielni i podjęciem innych strategicznych decyzji finansowych, co znacznie rozszerza scentralizowany nadzór wykonawczy nad podejmowaniem decyzji gospodarczych na szczeblu lokalnym i jeszcze bardziej osłabia kurczącą się autonomię samorządów lokalnych</w:t>
      </w:r>
      <w:r w:rsidRPr="00BA37E4">
        <w:t>; podkreśla, że demontaż demokracji lokalnej znacznie osłabia zdolności państwa, zwłaszcza w zakresie świadczenia usług, reagowania kryzysowego (na przykład w razie trzęsienia ziemi) oraz usług społecznych dla uchodźców i słabszych grup społecznych, a tym samym zagraża bezpieczeństwu ludzkiemu;</w:t>
      </w:r>
    </w:p>
    <w:p w:rsidR="00C073AA" w:rsidRPr="00BA37E4" w:rsidP="00C073AA" w14:paraId="6E00D9CA" w14:textId="4E9BD3E2">
      <w:pPr>
        <w:pStyle w:val="NormalHanging12a"/>
      </w:pPr>
      <w:r w:rsidRPr="00BA37E4">
        <w:t>1</w:t>
      </w:r>
      <w:r w:rsidR="00B57A1F">
        <w:t>5</w:t>
      </w:r>
      <w:r w:rsidRPr="00BA37E4">
        <w:t>.</w:t>
      </w:r>
      <w:r w:rsidRPr="00BA37E4">
        <w:tab/>
        <w:t xml:space="preserve">potępia nękanie i atakowanie obrońców z powodu ich działalności zawodowej, o czym świadczy przetrzymywanie w więzieniu adwokata </w:t>
      </w:r>
      <w:r w:rsidRPr="00BA37E4">
        <w:t>Mehmeta</w:t>
      </w:r>
      <w:r w:rsidRPr="00BA37E4">
        <w:t xml:space="preserve"> </w:t>
      </w:r>
      <w:r w:rsidRPr="00BA37E4">
        <w:t>Pehlivana</w:t>
      </w:r>
      <w:r w:rsidRPr="00BA37E4">
        <w:t xml:space="preserve"> (obrońcy </w:t>
      </w:r>
      <w:r w:rsidRPr="00BA37E4">
        <w:t>Ekrema</w:t>
      </w:r>
      <w:r w:rsidRPr="00BA37E4">
        <w:t xml:space="preserve"> </w:t>
      </w:r>
      <w:r w:rsidRPr="00BA37E4">
        <w:t>İmamoğlu</w:t>
      </w:r>
      <w:r w:rsidRPr="00BA37E4">
        <w:t xml:space="preserve">) lub niedawne skazanie na 11 lat więzienia adwokata </w:t>
      </w:r>
      <w:r w:rsidRPr="00BA37E4">
        <w:t>Ramazana</w:t>
      </w:r>
      <w:r w:rsidRPr="00BA37E4">
        <w:t xml:space="preserve"> </w:t>
      </w:r>
      <w:r w:rsidRPr="00BA37E4">
        <w:t>Demira</w:t>
      </w:r>
      <w:r w:rsidRPr="00BA37E4">
        <w:t xml:space="preserve"> (obrońcy </w:t>
      </w:r>
      <w:r w:rsidRPr="00BA37E4">
        <w:t>Selahattina</w:t>
      </w:r>
      <w:r w:rsidRPr="00BA37E4">
        <w:t xml:space="preserve"> </w:t>
      </w:r>
      <w:r w:rsidRPr="00BA37E4">
        <w:t>Demirtașa</w:t>
      </w:r>
      <w:r w:rsidRPr="00BA37E4">
        <w:t>); uważa te oraz inne działania przeciwko prawnikom za niedopuszczalną ingerencję w prawo do obrony i w zawód adwokata, a są to jedne z podstawowych elementów funkcjonowania sądownictwa i praworządności; z zadowoleniem przyjmuje uniewinnienie przez 26. Sąd Karny w Stambule prezesa i 10 członków zarządu Izby Adwokackiej w Stambule, którym zarzucano czyny związane z terroryzmem, ale podkreśla, że ta sprawa karna w ogóle nie powinna była zostać wszczęta; wzywa władze tureckie do wdrożenia zabezpieczeń zapewniających niezależność, bezpieczeństwo i autonomię prawników oraz do dopilnowania, aby prawnicy i ich organizacje zawodowe nie byli ścigani ani poddawani innym niewłaściwym naciskom wyłącznie w związku z wykonywaniem ich zgodnych z prawem funkcji, co pozwoli dostosować prawa przedstawicieli zawodów prawniczych do standardów Rady Europy;</w:t>
      </w:r>
    </w:p>
    <w:p w:rsidR="00C073AA" w:rsidRPr="00BA37E4" w:rsidP="00C073AA" w14:paraId="31B0133E" w14:textId="19E91B6F">
      <w:pPr>
        <w:pStyle w:val="NormalHanging12a"/>
      </w:pPr>
      <w:r w:rsidRPr="00BA37E4">
        <w:t>1</w:t>
      </w:r>
      <w:r w:rsidR="00B57A1F">
        <w:t>6</w:t>
      </w:r>
      <w:r w:rsidRPr="00BA37E4">
        <w:t>.</w:t>
      </w:r>
      <w:r w:rsidRPr="00BA37E4">
        <w:tab/>
        <w:t xml:space="preserve">nadal potępia ciągłe i nasilające się prześladowanie, cenzurowanie i nękanie dziennikarzy oraz niezależnych mediów, pozbawiające ich swobody wykonywania obowiązków zawodowych i informowania opinii publicznej, co ma zasadnicze znaczenie dla funkcjonowania społeczeństwa demokratycznego; jest głęboko zaniepokojony doniesieniami, z których wynika, że nawet 90 % mediów krajowych jest obecnie prorządowych lub kontrolowanych przez rząd; w związku z tym głęboko ubolewa nad przejęciem przez rząd turecki kanału TELE1, jednego z niewielu pozostałych krytycznych nadawców, znajdującego się obecnie pod kontrolą pełnomocnika, i uważa, że stanowi to celowy atak na wolność mediów; potępia nękanie niezależnych dziennikarzy, którzy w 2025 r. doświadczyli większej liczby aresztowań i zatrzymań, głównie w związku z zarzutami „przynależności do organizacji terrorystycznej”, „znieważenia prezydenta” lub naruszenia ustawy o zgromadzeniach i demonstracjach; z wielkim zaniepokojeniem śledzi między innymi sprawy: dziennikarza Deutsche </w:t>
      </w:r>
      <w:r w:rsidRPr="00BA37E4">
        <w:t>Welle</w:t>
      </w:r>
      <w:r w:rsidRPr="00BA37E4">
        <w:t xml:space="preserve"> </w:t>
      </w:r>
      <w:r w:rsidRPr="00BA37E4">
        <w:t>Alicana</w:t>
      </w:r>
      <w:r w:rsidRPr="00BA37E4">
        <w:t xml:space="preserve"> </w:t>
      </w:r>
      <w:r w:rsidRPr="00BA37E4">
        <w:t>Uludağa</w:t>
      </w:r>
      <w:r w:rsidRPr="00BA37E4">
        <w:t xml:space="preserve">, który został </w:t>
      </w:r>
      <w:r w:rsidRPr="00B57A1F" w:rsidR="000B090E">
        <w:rPr>
          <w:bCs/>
          <w:iCs/>
        </w:rPr>
        <w:t>aresztowany za posty w mediach społecznościowych sprzed ponad roku, był przetrzymywany w więzieniu o zaostrzonym rygorze</w:t>
      </w:r>
      <w:r w:rsidRPr="000B090E" w:rsidR="000B090E">
        <w:rPr>
          <w:bCs/>
          <w:iCs/>
        </w:rPr>
        <w:t xml:space="preserve"> przez </w:t>
      </w:r>
      <w:r w:rsidRPr="00B57A1F" w:rsidR="000B090E">
        <w:rPr>
          <w:bCs/>
          <w:iCs/>
        </w:rPr>
        <w:t>ponad 90 dni i został niedawno zwolniony</w:t>
      </w:r>
      <w:r w:rsidRPr="000B090E" w:rsidR="000B090E">
        <w:rPr>
          <w:bCs/>
          <w:iCs/>
        </w:rPr>
        <w:t xml:space="preserve">, </w:t>
      </w:r>
      <w:r w:rsidRPr="00B57A1F" w:rsidR="000B090E">
        <w:rPr>
          <w:bCs/>
          <w:iCs/>
        </w:rPr>
        <w:t>chociaż nie wycofano stawianych mu zarzutów, a we wrześniu jego proces zostanie wznowiony</w:t>
      </w:r>
      <w:r w:rsidRPr="00BA37E4">
        <w:t xml:space="preserve">, redaktora naczelnego TELE1 </w:t>
      </w:r>
      <w:r w:rsidRPr="00BA37E4">
        <w:t>Merdana</w:t>
      </w:r>
      <w:r w:rsidRPr="00BA37E4">
        <w:t xml:space="preserve"> </w:t>
      </w:r>
      <w:r w:rsidRPr="00BA37E4">
        <w:t>Yanardağa</w:t>
      </w:r>
      <w:r w:rsidRPr="00BA37E4">
        <w:t xml:space="preserve">, który jest obecnie więziony pod zarzutami „szpiegostwa”, reportera </w:t>
      </w:r>
      <w:r w:rsidRPr="00BA37E4">
        <w:t>Medyascope</w:t>
      </w:r>
      <w:r w:rsidRPr="00BA37E4">
        <w:t xml:space="preserve"> Furkana </w:t>
      </w:r>
      <w:r w:rsidRPr="00BA37E4">
        <w:t>Karabaya</w:t>
      </w:r>
      <w:r w:rsidRPr="00BA37E4">
        <w:t xml:space="preserve">, który był </w:t>
      </w:r>
      <w:r w:rsidRPr="00BA37E4">
        <w:t xml:space="preserve">wielokrotnie aresztowany w ciągu ostatnich trzech lat i niedawno został umieszczony w areszcie domowym na dwa miesiące, prezenterki telewizyjnej </w:t>
      </w:r>
      <w:r w:rsidRPr="00BA37E4">
        <w:t>Sedef</w:t>
      </w:r>
      <w:r w:rsidRPr="00BA37E4">
        <w:t xml:space="preserve"> </w:t>
      </w:r>
      <w:r w:rsidRPr="00BA37E4">
        <w:t>Kabaş</w:t>
      </w:r>
      <w:r w:rsidRPr="00BA37E4">
        <w:t xml:space="preserve">, której wytyczono sprawę sądową za posty w mediach społecznościowych, doświadczonego dziennikarza </w:t>
      </w:r>
      <w:r w:rsidRPr="00BA37E4">
        <w:t>Fatiha</w:t>
      </w:r>
      <w:r w:rsidRPr="00BA37E4">
        <w:t xml:space="preserve"> </w:t>
      </w:r>
      <w:r w:rsidRPr="00BA37E4">
        <w:t>Altayliego</w:t>
      </w:r>
      <w:r w:rsidRPr="00BA37E4">
        <w:t xml:space="preserve">, który został niedawno zwolniony do czasu rozpatrzenia jego odwołania od wyroku ponad czterech lat pozbawienia wolności pod absurdalnymi zarzutami fizycznego grożenia prezydentowi Turcji, reportera </w:t>
      </w:r>
      <w:r w:rsidRPr="00BA37E4">
        <w:t>BirGüna</w:t>
      </w:r>
      <w:r w:rsidRPr="00BA37E4">
        <w:t xml:space="preserve"> İsmaila </w:t>
      </w:r>
      <w:r w:rsidRPr="00BA37E4">
        <w:t>Arıego</w:t>
      </w:r>
      <w:r w:rsidRPr="00BA37E4">
        <w:t xml:space="preserve">, który został niedawno aresztowany pod zarzutem „dezinformacji” w związku z jego pracą dochodzeniową, oraz szwedzkiego dziennikarza </w:t>
      </w:r>
      <w:r w:rsidRPr="00BA37E4">
        <w:t>Joakima</w:t>
      </w:r>
      <w:r w:rsidRPr="00BA37E4">
        <w:t xml:space="preserve"> Medina; domaga się natychmiastowego i bezwarunkowego uwolnienia wszystkich niesłusznie przetrzymywanych dziennikarzy; głęboko ubolewa nad instrumentalizacją Najwyższej Rady Radiofonii i Telewizji – organu, który powinien być niezależny – w celu dalszego tłumienia niezależnych mediów za pomocą sankcji finansowych i dotyczących nadawania, które są w przeważającej mierze nakładane na krytyczne media; ubolewa nad licznymi i systematycznymi działaniami wymierzonymi w wolność wypowiedzi w </w:t>
      </w:r>
      <w:r w:rsidRPr="00BA37E4">
        <w:t>internecie</w:t>
      </w:r>
      <w:r w:rsidRPr="00BA37E4">
        <w:t xml:space="preserve">, w tym powtarzającymi się ograniczeniami dostępu do </w:t>
      </w:r>
      <w:r w:rsidRPr="00BA37E4">
        <w:t>internetu</w:t>
      </w:r>
      <w:r w:rsidRPr="00BA37E4">
        <w:t>, ograniczaniem przepustowości pasma, zakazami nadawania i blokowaniem kont na portalach społecznościowych, stron internetowych i tysięcy relacji informacyjnych, obok wniosków o usuwanie treści w celu uciszenia dziennikarzy i zwyczajnych obywateli, często ze względu na „bezpieczeństwo narodowe i porządek publiczny”; potępia instrumentalizację przepisów prawnych przez władze tureckie w celu ograniczenia pracy dziennikarzy i wywierania na nich ukierunkowanej presji; wzywa władze tureckie do natychmiastowego zapewnienia ochrony wolności wypowiedzi i wolności mediów oraz do zagwarantowania, że żadna osoba nie zostanie pozbawiona wolności wyłącznie z powodu pokojowego korzystania z przysługujących jej praw podstawowych, zgodnie z międzynarodowymi zobowiązaniami Turcji w zakresie praw człowieka;</w:t>
      </w:r>
    </w:p>
    <w:p w:rsidR="00C073AA" w:rsidRPr="00BA37E4" w:rsidP="00C073AA" w14:paraId="4ADF0AEA" w14:textId="1ECE2A59">
      <w:pPr>
        <w:pStyle w:val="NormalHanging12a"/>
      </w:pPr>
      <w:r w:rsidRPr="00BA37E4">
        <w:t>1</w:t>
      </w:r>
      <w:r w:rsidR="00B57A1F">
        <w:t>7</w:t>
      </w:r>
      <w:r w:rsidRPr="00BA37E4">
        <w:t>.</w:t>
      </w:r>
      <w:r w:rsidRPr="00BA37E4">
        <w:tab/>
        <w:t xml:space="preserve">jest nadal zaniepokojony zakazywaniem zgromadzeń – często z nieuzasadnionych powodów – oraz nadmiernym używaniem siły wobec pokojowych demonstrantów; podkreśla, że praktyki te są sprzeczne z gwarancjami prawa do pokojowego zgromadzania się na podstawie art. 34 tureckiej konstytucji i nadal nie spełniają międzynarodowych standardów praw człowieka; jest szczególnie zaniepokojony wpływem tych naruszeń wolności osobistych na ruch studencki oraz tym, że wydaje się, iż szeroki zakres działań represyjnych – w tym arbitralne zatrzymania, dochodzenia dyscyplinarne, cięcia stypendiów, eksmisje z akademików, cenzura mediów i przemoc fizyczna – jest wykorzystywany w celu ograniczenia obecności młodzieży w sferze publicznej; ubolewa, że bardzo wiele osób zatrzymano lub poddano środkom kontroli sądowej ze względu na ich członkostwo w organizacjach społeczeństwa obywatelskiego i izbach adwokackich lub udział w demonstracjach, w szczególności tych, które odbyły się po aresztowaniu i zatrzymaniu burmistrza Stambułu </w:t>
      </w:r>
      <w:r w:rsidRPr="00BA37E4">
        <w:t>Ekrema</w:t>
      </w:r>
      <w:r w:rsidRPr="00BA37E4">
        <w:t xml:space="preserve"> </w:t>
      </w:r>
      <w:r w:rsidRPr="00BA37E4">
        <w:t>İmamoğlu</w:t>
      </w:r>
      <w:r w:rsidRPr="00BA37E4">
        <w:t>, oraz w protestach związanych z obchodami 1 maja oraz z prawami kobiet i osób LGBTI; dostrzega pewne pozytywne kroki, w tym niektóre decyzje uniewinniające, ale wzywa władze tureckie do przestrzegania wolności zgromadzania się i protestowania bez nieuzasadnionych ograniczeń;</w:t>
      </w:r>
    </w:p>
    <w:p w:rsidR="00C073AA" w:rsidRPr="00BA37E4" w:rsidP="00C073AA" w14:paraId="69B2813B" w14:textId="663B5493">
      <w:pPr>
        <w:pStyle w:val="NormalHanging12a"/>
      </w:pPr>
      <w:r w:rsidRPr="00BA37E4">
        <w:t>1</w:t>
      </w:r>
      <w:r w:rsidR="00B57A1F">
        <w:t>8</w:t>
      </w:r>
      <w:r w:rsidRPr="00BA37E4">
        <w:t>.</w:t>
      </w:r>
      <w:r w:rsidRPr="00BA37E4">
        <w:tab/>
        <w:t xml:space="preserve">wyraża rosnące zaniepokojenie tym, że władze tureckie wprowadzają do wszystkich obszarów funkcjonowania społeczeństwa regresywny program moralny oparty na podejściu religijnym, co stoi w wyraźnej sprzeczności ze świeckimi fundamentami Republiki Turcji zapisanymi w jej konstytucji; zauważa, że tę coraz intensywniejszą zmianę propagowaną przez koalicję rządzącą można zaobserwować w ustawodawstwie, dyskursie politycznym, edukacji, życiu kulturalnym i mediach, co budzi poważne </w:t>
      </w:r>
      <w:r w:rsidRPr="00BA37E4">
        <w:t>wątpliwości dotyczące erozji świeckości, pluralizmu i podstawowych wolności; jest zaniepokojony decyzją rządu tureckiego o wniesieniu pozwu przeciwko 168 sygnatariuszom deklaracji „Wspólnie bronimy świeckości”, w tym przeciwko dziennikarzom, artystom i naukowcom;</w:t>
      </w:r>
    </w:p>
    <w:p w:rsidR="00C073AA" w:rsidRPr="00BA37E4" w:rsidP="00C073AA" w14:paraId="0014A68E" w14:textId="0D2866BE">
      <w:pPr>
        <w:pStyle w:val="NormalHanging12a"/>
      </w:pPr>
      <w:r w:rsidRPr="00BA37E4">
        <w:t>1</w:t>
      </w:r>
      <w:r w:rsidR="00B57A1F">
        <w:t>9</w:t>
      </w:r>
      <w:r w:rsidRPr="00BA37E4">
        <w:t>.</w:t>
      </w:r>
      <w:r w:rsidRPr="00BA37E4">
        <w:tab/>
        <w:t xml:space="preserve">pozostaje głęboko zaniepokojony stanem wolności akademickiej i niezależności instytucjonalnej, o czym świadczy pogarszająca się sytuacja na Uniwersytecie </w:t>
      </w:r>
      <w:r w:rsidRPr="00BA37E4">
        <w:t>Boğaziçi</w:t>
      </w:r>
      <w:r w:rsidRPr="00BA37E4">
        <w:t xml:space="preserve"> od czasu mianowania w 2021 r. jego rektora decyzją prezydenta Turcji; uważa, że rozszerzenie modelu pełnomocnictwa na instytucje akademickie – co wywarło wyraźny negatywny wpływ na życie akademickie i wyniki instytucji – stanowi dalsze odejście od standardów UE dotyczących wolności akademickiej i odzwierciedla próby zaostrzenia przez rząd kontroli nad każdą przestrzenią ewentualnego sprzeciwu; wzywa władze tureckie do zapewnienia demokratycznych rządów i autonomii na krajowych uniwersytetach oraz do położenia kresu represjom wobec studentów, które przybierają formę ograniczania wolności zrzeszania się i wypowiedzi lub ich prawa do pełnego i swobodnego uczestnictwa w życiu akademickim;</w:t>
      </w:r>
      <w:r w:rsidR="00FF65C4">
        <w:t xml:space="preserve"> </w:t>
      </w:r>
      <w:r w:rsidRPr="00B57A1F" w:rsidR="00FF65C4">
        <w:rPr>
          <w:bCs/>
          <w:iCs/>
        </w:rPr>
        <w:t xml:space="preserve">wyraża zaniepokojenie sprawą Uniwersytetu </w:t>
      </w:r>
      <w:r w:rsidRPr="00B57A1F" w:rsidR="00FF65C4">
        <w:rPr>
          <w:bCs/>
          <w:iCs/>
        </w:rPr>
        <w:t>Bilgi</w:t>
      </w:r>
      <w:r w:rsidRPr="00B57A1F" w:rsidR="00FF65C4">
        <w:rPr>
          <w:bCs/>
          <w:iCs/>
        </w:rPr>
        <w:t xml:space="preserve"> – zamkniętego nagle dekretem prezydenckim 22 maja 2026 r. i ponownie otwartego trzy dni później po znacznym sprzeciwie publicznym i powszechnych protestach studentów i pracowników akademickich – jako kolejnym przykładem zagrożeń dla wolności akademickiej, autonomii instytucjonalnej i interwencji państwa w szkolnictwo wyższe;</w:t>
      </w:r>
    </w:p>
    <w:p w:rsidR="00C073AA" w:rsidRPr="00BA37E4" w:rsidP="00C073AA" w14:paraId="33463B33" w14:textId="61FA4A9B">
      <w:pPr>
        <w:pStyle w:val="NormalHanging12a"/>
      </w:pPr>
      <w:r>
        <w:t>20</w:t>
      </w:r>
      <w:r w:rsidRPr="00BA37E4">
        <w:t>.</w:t>
      </w:r>
      <w:r w:rsidRPr="00BA37E4">
        <w:tab/>
        <w:t xml:space="preserve">jest wciąż głęboko zaniepokojony sytuacją w zakresie praw kobiet, a w szczególności wysokim poziomem przemocy ze względu na płeć i wysoką liczbą </w:t>
      </w:r>
      <w:r w:rsidRPr="00BA37E4">
        <w:t>kobietobójstw</w:t>
      </w:r>
      <w:r w:rsidRPr="00BA37E4">
        <w:t xml:space="preserve"> w Turcji; wzywa władze tureckie do poprawy ram legislacyjnych i ich wdrażania, w tym przez pełne wdrożenie ustawy o ochronie nr 6284, aby skutecznie zwalczać wszelkie formy przemocy wobec kobiet i praktykę tak zwanych zabójstw honorowych, zapewnić silniejsze mechanizmy ochrony i położyć kres utrzymującej się polityce bezkarności przez pociąganie sprawców do odpowiedzialności; ubolewa, że pomimo ogłoszenia roku 2025 „Rokiem Rodziny” rząd turecki opowiedział się za wysoce ideologicznym i regresywnym podejściem, które wskazało równość płci jako zagrożenie, co jeszcze bardziej zmniejszyło widoczność kobiet w przestrzeni publicznej i spowodowało, że przemoc wobec kobiet i dziewcząt jest często traktowana jako prywatna sprawa rodzinna, co przyczynia się do bezkarności; ponownie zdecydowanie potępia wycofanie się Turcji dekretem prezydenckim z konwencji stambulskiej i ponawia apel o cofnięcie tej decyzji i ponowne ratyfikowanie jej; jest zaniepokojony faktem, że organizacje społeczeństwa obywatelskiego zajmujące się prawami kobiet nadal znajdują się pod coraz większą presją, w tym wskutek systematycznego nękania administracyjnego i postępowań sądowych; wzywa rząd turecki do zajęcia się utrzymującym się brakiem równouprawnienia płci w życiu gospodarczym, jako że Turcja ma jeden z najniższych wskaźników uczestnictwa kobiet w rynku pracy wśród państw OECD, a także utrzymującym się niskim poziomem uczestnictwa kobiet w procesach decyzyjnych i politycznych;</w:t>
      </w:r>
    </w:p>
    <w:p w:rsidR="00C073AA" w:rsidRPr="00BA37E4" w:rsidP="00C073AA" w14:paraId="2859F46A" w14:textId="5A0D165E">
      <w:pPr>
        <w:pStyle w:val="NormalHanging12a"/>
      </w:pPr>
      <w:r w:rsidRPr="00BA37E4">
        <w:t>2</w:t>
      </w:r>
      <w:r w:rsidR="00B57A1F">
        <w:t>1</w:t>
      </w:r>
      <w:r w:rsidRPr="00BA37E4">
        <w:t>.</w:t>
      </w:r>
      <w:r w:rsidRPr="00BA37E4">
        <w:tab/>
        <w:t xml:space="preserve">nadal potępia ciągłe naruszenia i brak ochrony praw podstawowych osób LGBTI+ w Turcji, w tym arbitralne zatrzymania, utrzymujące się nawoływania do nienawiści, przestępstwa z nienawiści, ataki fizyczne i dyskryminacyjną retorykę, a także ciągłe utrwalanie stereotypów i stygmatyzację w mediach na podstawie orientacji seksualnej i tożsamości płciowej; ubolewa nad faktem, że zamiast zająć się tą utrzymującą się dyskryminacją, władze tureckie nawet nasiliły represje, wykorzystując inicjatywę „Rok Rodziny” jako platformę specjalnie wymierzoną w społeczność LGBTI+ i jej prawa; </w:t>
      </w:r>
      <w:r w:rsidRPr="00BA37E4">
        <w:t xml:space="preserve">jest głęboko zaniepokojony kilkoma projektami ustaw, które wyciekły w ciągu ostatniego roku, a które po raz pierwszy w historii Republiki Tureckiej obejmowały kryminalizację wszelkich przejawów tożsamości LGBTI+ i dobrowolnej aktywności seksualnej osób tej samej płci; wzywa władze tureckie do powstrzymania się od jakiejkolwiek reformy tureckiego kodeksu karnego, która naruszałaby międzynarodowe zobowiązania Turcji, w tym zobowiązania wynikające z EKPC; wyraża głębokie ubolewanie, że w 2025 r. rząd turecki nadal zakazywał </w:t>
      </w:r>
      <w:r w:rsidRPr="00BA37E4">
        <w:t>KuirFest</w:t>
      </w:r>
      <w:r w:rsidRPr="00BA37E4">
        <w:t xml:space="preserve"> i marszu równości w Stambule i innych miejscach, a także wielu innych działań przeciwko homofobii, jednocześnie udzielał oficjalnych zezwoleń na wiece i demonstracje przeciwko osobom LGBTI+, na których propagowano wykluczenie i dyskryminację; ubolewa nad zamknięciem przez sąd stowarzyszenia </w:t>
      </w:r>
      <w:r w:rsidRPr="00BA37E4">
        <w:t>Genç</w:t>
      </w:r>
      <w:r w:rsidRPr="00BA37E4">
        <w:t xml:space="preserve"> LGBTI+ z siedzibą w Izmirze – w kontekście nasilonego nękania organizacji społeczeństwa obywatelskiego zajmujących się kwestiami LGBTI+ – na podstawie zarzutów „nieprzyzwoitości”, które są coraz częściej wykorzystywane do atakowania działaczy i artystów, w tym tureckiej piosenkarki muzyki pop </w:t>
      </w:r>
      <w:r w:rsidRPr="00BA37E4">
        <w:t>Mabel</w:t>
      </w:r>
      <w:r w:rsidRPr="00BA37E4">
        <w:t xml:space="preserve"> Matiz; z zadowoleniem przyjmuje decyzję sądu w Ankarze z </w:t>
      </w:r>
      <w:r w:rsidRPr="0098736C" w:rsidR="0098736C">
        <w:t xml:space="preserve">dnia </w:t>
      </w:r>
      <w:r w:rsidRPr="00BA37E4">
        <w:t xml:space="preserve">23 lutego 2026 r. o uniewinnieniu obrońcy praw człowieka i działacza LGBTI+ </w:t>
      </w:r>
      <w:r w:rsidRPr="00BA37E4">
        <w:t>Enesa</w:t>
      </w:r>
      <w:r w:rsidRPr="00BA37E4">
        <w:t xml:space="preserve"> </w:t>
      </w:r>
      <w:r w:rsidRPr="00BA37E4">
        <w:t>Hocaoğullarıego</w:t>
      </w:r>
      <w:r w:rsidRPr="00BA37E4">
        <w:t xml:space="preserve"> od wszystkich zarzutów; ubolewa nad jego nieuzasadnionym ściganiem, w tym osadzeniem w areszcie tymczasowym na 35 dni za korzystanie z wolności słowa na konferencji Rady Europy w marcu 2025 r.;</w:t>
      </w:r>
    </w:p>
    <w:p w:rsidR="00C073AA" w:rsidRPr="00BA37E4" w:rsidP="00C073AA" w14:paraId="1E02424E" w14:textId="431FE9DE">
      <w:pPr>
        <w:pStyle w:val="NormalHanging12a"/>
      </w:pPr>
      <w:r w:rsidRPr="00BA37E4">
        <w:t>2</w:t>
      </w:r>
      <w:r w:rsidR="00B57A1F">
        <w:t>2</w:t>
      </w:r>
      <w:r w:rsidRPr="00BA37E4">
        <w:t>.</w:t>
      </w:r>
      <w:r w:rsidRPr="00BA37E4">
        <w:tab/>
        <w:t xml:space="preserve">ponawia swój apel do wiceprzewodniczącej Komisji / wysokiej przedstawicielki Unii do spraw zagranicznych i polityki bezpieczeństwa, aby w związku z opisanym powyżej poważnym regresem demokracji rozważyła zastosowanie środków ograniczających w ramach globalnego systemu sankcji UE za naruszenia praw człowieka – w tym zamrożenie aktywów w UE – wobec tureckich urzędników odpowiedzialnych za poważne i umyślne naruszenia praw człowieka i podstawowych wolności, w tym urzędników pełniących rolę pełnomocników oraz osób, które ich mianowały, lub urzędników, którzy są kluczowymi podmiotami w mechanizmie represji państwa, takich jak były prokurator generalny Stambułu </w:t>
      </w:r>
      <w:r w:rsidRPr="00BA37E4">
        <w:t>Akın</w:t>
      </w:r>
      <w:r w:rsidRPr="00BA37E4">
        <w:t xml:space="preserve"> </w:t>
      </w:r>
      <w:r w:rsidRPr="00BA37E4">
        <w:t>Gürlek</w:t>
      </w:r>
      <w:r w:rsidRPr="00BA37E4">
        <w:t xml:space="preserve">; jest zbulwersowany niedawnym awansem </w:t>
      </w:r>
      <w:r w:rsidRPr="00BA37E4">
        <w:t>Akına</w:t>
      </w:r>
      <w:r w:rsidRPr="00BA37E4">
        <w:t xml:space="preserve"> </w:t>
      </w:r>
      <w:r w:rsidRPr="00BA37E4">
        <w:t>Gürleka</w:t>
      </w:r>
      <w:r w:rsidRPr="00BA37E4">
        <w:t xml:space="preserve"> na stanowisko ministra sprawiedliwości, co wskazuje, że przez całą swoją karierę był on zawsze podmiotem politycznym realizującym program polityczny; wyraża silną solidarność z tureckim społeczeństwem obywatelskim, organizacjami praw człowieka, organizacjami praw kobiet i LGBTI+, inicjatywami młodzieżowymi, izbami zawodowymi, izbami adwokackimi i związkami zawodowymi; ponownie wyraża pogląd, że pomoc finansowa i techniczna UE powinna nadal koncentrować się na tych grupach i że powinna zostać zwiększona;</w:t>
      </w:r>
    </w:p>
    <w:p w:rsidR="00C073AA" w:rsidRPr="00BA37E4" w:rsidP="00C073AA" w14:paraId="57B65BDD" w14:textId="4FB82007">
      <w:pPr>
        <w:pStyle w:val="NormalHanging12a"/>
      </w:pPr>
      <w:r w:rsidRPr="00BA37E4">
        <w:t>2</w:t>
      </w:r>
      <w:r w:rsidR="00B57A1F">
        <w:t>3</w:t>
      </w:r>
      <w:r w:rsidRPr="00BA37E4">
        <w:t>.</w:t>
      </w:r>
      <w:r w:rsidRPr="00BA37E4">
        <w:tab/>
        <w:t>potępia zgłoszone przypadki ponadnarodowych represji wobec obywateli tureckich za granicą, w tym zastraszanie, przymusowe powroty i niewłaściwe wykorzystywanie mechanizmów współpracy międzynarodowej; potępia działania Turcji, które podważały europejską spójność społeczną, bezpieczeństwo i procesy demokratyczne, w tym ingerencje Turcji w wewnętrzne sprawy państw członkowskich za pośrednictwem społeczności diaspory</w:t>
      </w:r>
      <w:r w:rsidR="000B090E">
        <w:t xml:space="preserve"> </w:t>
      </w:r>
      <w:r w:rsidRPr="00B57A1F" w:rsidR="000B090E">
        <w:rPr>
          <w:bCs/>
          <w:iCs/>
        </w:rPr>
        <w:t xml:space="preserve">oraz wykorzystywanie jej agencji państwowej </w:t>
      </w:r>
      <w:r w:rsidRPr="00B57A1F" w:rsidR="000B090E">
        <w:rPr>
          <w:bCs/>
          <w:iCs/>
        </w:rPr>
        <w:t>Anadolu</w:t>
      </w:r>
      <w:r w:rsidRPr="00B57A1F" w:rsidR="000B090E">
        <w:rPr>
          <w:bCs/>
          <w:iCs/>
        </w:rPr>
        <w:t xml:space="preserve"> jako organu propagandowego</w:t>
      </w:r>
      <w:r w:rsidRPr="00BA37E4">
        <w:t xml:space="preserve">; pozostaje zaniepokojony tym, że rasistowski ekstremistyczny ruch </w:t>
      </w:r>
      <w:r w:rsidRPr="00BA37E4">
        <w:t>Ülkü</w:t>
      </w:r>
      <w:r w:rsidRPr="00BA37E4">
        <w:t xml:space="preserve"> </w:t>
      </w:r>
      <w:r w:rsidRPr="00BA37E4">
        <w:t>Ocakları</w:t>
      </w:r>
      <w:r w:rsidRPr="00BA37E4">
        <w:t xml:space="preserve">, znany jako „Szare Wilki” i blisko związany z rządzącą partią koalicyjną MHP, zyskuje na popularności nie tylko w Turcji, ale również w państwach członkowskich UE; wzywa UE i jej państwa członkowskie do zbadania możliwości zakazania działalności jego stowarzyszeń w państwach UE; potępia prowadzoną przez władze tureckie politykę polegającą na udzielaniu wsparcia politycznego, </w:t>
      </w:r>
      <w:r w:rsidRPr="00B57A1F" w:rsidR="000B090E">
        <w:rPr>
          <w:bCs/>
          <w:iCs/>
        </w:rPr>
        <w:t xml:space="preserve">finansowego, </w:t>
      </w:r>
      <w:r w:rsidRPr="00BA37E4">
        <w:t>medialnego i logistycznego ruchom</w:t>
      </w:r>
      <w:r w:rsidRPr="00B57A1F" w:rsidR="000B090E">
        <w:t>, sieciom, stowarzyszeniom, organizacjom charytatywnym i oświatowym</w:t>
      </w:r>
      <w:r w:rsidRPr="000B090E" w:rsidR="000B090E">
        <w:t xml:space="preserve"> powiązanym z Braćmi Muzułmanami </w:t>
      </w:r>
      <w:r w:rsidRPr="00B57A1F" w:rsidR="000B090E">
        <w:t xml:space="preserve">i działającym na </w:t>
      </w:r>
      <w:r w:rsidRPr="00B57A1F" w:rsidR="000B090E">
        <w:t>terytorium kilku państw członkowskich UE, a także w sąsiedztwie UE, co umożliwia im prowadzenie działalności obejmującej wpływy ideologiczne, finansowanie i rekrutację</w:t>
      </w:r>
      <w:r w:rsidRPr="00BA37E4">
        <w:t>; wzywa Turcję do zaprzestania wszelkich form wsparcia dla tych organizacji;</w:t>
      </w:r>
    </w:p>
    <w:p w:rsidR="00C073AA" w:rsidRPr="00BA37E4" w:rsidP="00C073AA" w14:paraId="09EF099A" w14:textId="65B1943E">
      <w:pPr>
        <w:pStyle w:val="NormalHanging12a"/>
      </w:pPr>
      <w:r w:rsidRPr="00BA37E4">
        <w:t>2</w:t>
      </w:r>
      <w:r w:rsidR="00B57A1F">
        <w:t>4</w:t>
      </w:r>
      <w:r w:rsidRPr="00BA37E4">
        <w:t>.</w:t>
      </w:r>
      <w:r w:rsidRPr="00BA37E4">
        <w:tab/>
        <w:t>wyraża głębokie zaniepokojenie brakiem poprawy tragicznej sytuacji w tureckich więzieniach wynikającej z poważnego przeludnienia i złych warunków życia, przy czym według doniesień – m.in. Rady Europy – tortury i złe traktowanie są powszechne, a dostęp do zaspokojenia podstawowych potrzeb, takich jak: higiena, opieka zdrowotna i informacje, jest poważnie ograniczony; odnotowuje doniesienia o przetrzymywaniu kobiet ciężarnych w areszcie tymczasowym, w tym o przypadkach porodu w areszcie; wzywa Turcję do priorytetowego stosowania w przypadku kobiet w ciąży środków, które nie polegają na pozbawieniu wolności, oraz do zapewnienia pełnego wdrożenia reguł ONZ z Bangkoku dotyczących kobiet skazanych na karę pozbawienia wolności; jest szczególnie zaniepokojony warunkami, w jakich przetrzymywani są więźniowie małoletni, w starszym wieku i ciężko chorzy; według doniesień warunki te nie są zgodne ze standardami ustanowionymi przez Komitet Rady Europy ds. Zapobiegania Torturom oraz Nieludzkiemu lub Poniżającemu Traktowaniu albo Karaniu; odnotowuje niedawne reformy prawne dotyczące ustawy o pozbawieniu wolności, które utorowały drogę do przedterminowego lub warunkowego uwolnienia tysięcy więźniów; wzywa władze tureckie do unikania motywowanego politycznie dyskryminacyjnego wdrażania tych reform oraz do nadania priorytetu uwolnieniu więźniów znajdujących się w trudnej sytuacji, w tym osób starszych, chorych, osób z niepełnosprawnościami oraz matek z dziećmi; wzywa władze tureckie do zreformowania polityki więziennictwa, aby zająć się kwestią niewystarczających gwarancji prawnych w zakresie zapobiegania torturom i złemu traktowaniu oraz lepiej reagować w sprawach dotyczących przypadków tortur, złego traktowania i znęcania się; jest zaniepokojony doniesieniami lokalnych organizacji praw człowieka ostrzegającymi o ponownym wzroście liczby wymuszonych zaginięć od 2016 r.;</w:t>
      </w:r>
    </w:p>
    <w:p w:rsidR="00C073AA" w:rsidRPr="00BA37E4" w:rsidP="00C073AA" w14:paraId="32500408" w14:textId="6890F759">
      <w:pPr>
        <w:pStyle w:val="NormalHanging12a"/>
      </w:pPr>
      <w:r w:rsidRPr="00BA37E4">
        <w:t>2</w:t>
      </w:r>
      <w:r w:rsidR="00B57A1F">
        <w:t>5</w:t>
      </w:r>
      <w:r w:rsidRPr="00BA37E4">
        <w:t>.</w:t>
      </w:r>
      <w:r w:rsidRPr="00BA37E4">
        <w:tab/>
        <w:t xml:space="preserve">wyraża uznanie dla tureckich władz i partii politycznych za ich wysiłki w kontekście realizowanej inicjatywy „Turcja wolna od terroryzmu”, która utorowała drogę do godnych uwagi przełomów takich jak zapowiedziane rozwiązanie organizacji terrorystycznej Partia Pracujących Kurdystanu (PKK); ubolewa jednak nad brakiem terminowych i zdecydowanych działań ze strony rządu tureckiego, którego gra na zwłokę i postawa wobec podejmowania kolejnych kroków w tym procesie sprawiły, że stał się bardziej niestabilny i podatny na wydarzenia zewnętrzne, a jednocześnie dała mu przestrzeń do dalszej polaryzacji; podkreśla, że nie można dopuścić, by powszechne stosowanie przepisów antyterrorystycznych było wykorzystywane do ograniczania legalnej działalności politycznej, pokojowego sprzeciwu, działalności społeczeństwa obywatelskiego i niezależnych mediów; ubolewa nad faktem, że inicjatywie tej towarzyszy atmosfera represji i ograniczania demokratycznych władz lokalnych; ubolewa nad ciągłymi represjami politycznymi, szykanami sądowymi oraz ograniczeniami praw kulturowych i językowych, z którymi mają do czynienia obywatele pochodzenia kurdyjskiego, co podważa zasady demokracji i spójność społeczną; przyjmuje do wiadomości sprawozdanie końcowe Komisji ds. Solidarności Narodowej, Braterstwa i Demokracji, ustanowionej w ramach Wielkiego Zgromadzenia Narodowego Turcji; wyraża nadzieję, że proces ten będzie nadal postępował, przy znaczącej roli parlamentu tureckiego, i zapewni pokojowe i trwałe rozwiązanie kwestii kurdyjskiej w jej aspektach politycznych, społecznych, demokratycznych oraz związanych z bezpieczeństwem, jak również umożliwi wdrożenie reform legislacyjnych dotyczących praw Kurdów i dzięki temu doprowadzi do pojednania między różnymi </w:t>
      </w:r>
      <w:r w:rsidRPr="00BA37E4">
        <w:t xml:space="preserve">grupami tureckiego społeczeństwa; podkreśla, że proces ten powinien być okazją do rozwiązania długotrwałych problemów związanych z prawami człowieka i do wzmocnienia instytucji demokratycznych; zachęca wszystkie zainteresowane strony, w szczególności rząd turecki, do pełnego wykorzystania tego procesu w celu przyspieszenia reform i wzmocnienia ochrony praw człowieka poprzez dostosowanie walki z terroryzmem, która pozostaje ważnym obszarem współpracy z UE, i innych przepisów oraz ich wdrażania do standardów praw człowieka UE i Rady Europy, z pominięciem podejścia opartego na bezpieczeństwie, które dominowało w ostatniej dekadzie; uważa za sprzeczne z powyższym i niepokojące niektóre ostatnie wydarzenia, takie jak kontynuacja systemu mianowania pełnomocników lub nowe wyroki skazujące </w:t>
      </w:r>
      <w:r w:rsidRPr="00BA37E4">
        <w:t>Selahattina</w:t>
      </w:r>
      <w:r w:rsidRPr="00BA37E4">
        <w:t xml:space="preserve"> </w:t>
      </w:r>
      <w:r w:rsidRPr="00BA37E4">
        <w:t>Demirtașa</w:t>
      </w:r>
      <w:r w:rsidRPr="00BA37E4">
        <w:t xml:space="preserve">, jego prawnika </w:t>
      </w:r>
      <w:r w:rsidRPr="00BA37E4">
        <w:t>Ramazana</w:t>
      </w:r>
      <w:r w:rsidRPr="00BA37E4">
        <w:t xml:space="preserve"> </w:t>
      </w:r>
      <w:r w:rsidRPr="00BA37E4">
        <w:t>Demira</w:t>
      </w:r>
      <w:r w:rsidRPr="00BA37E4">
        <w:t xml:space="preserve"> oraz burmistrza dystryktu </w:t>
      </w:r>
      <w:r w:rsidRPr="00BA37E4">
        <w:t>Esenyurt</w:t>
      </w:r>
      <w:r w:rsidRPr="00BA37E4">
        <w:t xml:space="preserve"> w Stambule </w:t>
      </w:r>
      <w:r w:rsidRPr="00BA37E4">
        <w:t>Ahmeta</w:t>
      </w:r>
      <w:r w:rsidRPr="00BA37E4">
        <w:t xml:space="preserve"> </w:t>
      </w:r>
      <w:r w:rsidRPr="00BA37E4">
        <w:t>Özera</w:t>
      </w:r>
      <w:r w:rsidRPr="00BA37E4">
        <w:t>, który został skazany na ponad 6 lat więzienia pod zarzutem „członkostwa w organizacji terrorystycznej” za rolę w nieformalnym sojuszu politycznym między jego partią CHP a partią DEM w wyborach lokalnych w 2024 r.;</w:t>
      </w:r>
    </w:p>
    <w:p w:rsidR="00C073AA" w:rsidRPr="00BA37E4" w:rsidP="00C073AA" w14:paraId="42B76B64" w14:textId="1C6DEF98">
      <w:pPr>
        <w:pStyle w:val="NormalHanging12a"/>
      </w:pPr>
      <w:r w:rsidRPr="00BA37E4">
        <w:t>2</w:t>
      </w:r>
      <w:r w:rsidR="00B57A1F">
        <w:t>6</w:t>
      </w:r>
      <w:r w:rsidRPr="00BA37E4">
        <w:t>.</w:t>
      </w:r>
      <w:r w:rsidRPr="00BA37E4">
        <w:tab/>
        <w:t xml:space="preserve">wzywa władze tureckie do ustanowienia ram instytucjonalnych jako integralnej części każdego trwałego procesu pokojowego, aby rozwiązać problemy wymuszonych zaginięć, przymusowych </w:t>
      </w:r>
      <w:r w:rsidRPr="00BA37E4">
        <w:t>wysiedleń</w:t>
      </w:r>
      <w:r w:rsidRPr="00BA37E4">
        <w:t xml:space="preserve"> i innych poważnych naruszeń praw człowieka wynikających z dziesięcioleci konfliktu dotyczącego kwestii kurdyjskiej; apeluje o ustanowienie pluralistycznych mechanizmów monitorowania oraz o znaczące uwzględnienie organizacji praw człowieka i podmiotów społeczeństwa obywatelskiego, w tym ich włączenie we wdrażanie zaleceń Komisji ds. Solidarności Narodowej, Braterstwa i Demokracji;</w:t>
      </w:r>
    </w:p>
    <w:p w:rsidR="00C073AA" w:rsidRPr="00BA37E4" w:rsidP="00C073AA" w14:paraId="119FB5EB" w14:textId="3241A464">
      <w:pPr>
        <w:pStyle w:val="NormalHanging12a"/>
      </w:pPr>
      <w:r w:rsidRPr="00BA37E4">
        <w:t>2</w:t>
      </w:r>
      <w:r w:rsidR="00B57A1F">
        <w:t>7</w:t>
      </w:r>
      <w:r w:rsidRPr="00BA37E4">
        <w:t>.</w:t>
      </w:r>
      <w:r w:rsidRPr="00BA37E4">
        <w:tab/>
        <w:t>przyznaje, że Turcja zasadniczo zapewnia odpowiednie gwarancje prawne dotyczące wolności religii lub przekonań oraz że zasada wolności wyznania jest w tym państwie ogólnie przestrzegana; zwraca się do władz tureckich o zajęcie się pozostałymi niedociągnięciami dotyczącymi ochrony praw mniejszości etnicznych i religijnych, zwłaszcza jeśli chodzi o ich osobowość prawną, niewystarczającą ochronę i niewystarczające promowanie języków mniejszości, ograniczony dostęp do wsparcia szkolnego</w:t>
      </w:r>
      <w:r w:rsidRPr="00B57A1F" w:rsidR="00FF65C4">
        <w:rPr>
          <w:bCs/>
          <w:iCs/>
        </w:rPr>
        <w:t>, ograniczenia w kształceniu, mianowaniu</w:t>
      </w:r>
      <w:r w:rsidRPr="0029261C" w:rsidR="00FF65C4">
        <w:t xml:space="preserve"> </w:t>
      </w:r>
      <w:r w:rsidRPr="00BA37E4">
        <w:t xml:space="preserve">i </w:t>
      </w:r>
      <w:r w:rsidRPr="00B57A1F" w:rsidR="00FF65C4">
        <w:rPr>
          <w:bCs/>
          <w:iCs/>
        </w:rPr>
        <w:t>zapewnianiu sukcesji</w:t>
      </w:r>
      <w:r w:rsidR="00FF65C4">
        <w:rPr>
          <w:b/>
          <w:i/>
        </w:rPr>
        <w:t xml:space="preserve"> </w:t>
      </w:r>
      <w:r w:rsidRPr="00BA37E4">
        <w:t xml:space="preserve">duchownych, ograniczony dostęp do mediów i reklamy publicznej w językach mniejszości, a także utrzymujące się komplikacje w korzystaniu z praw własności; wzywa Turcję do wdrożenia zaleceń Komisji Weneckiej, rezolucji Rady Europy i wszystkich odpowiednich orzeczeń ETPC w tym zakresie, w tym dotyczących greckiej ludności prawosławnej na wyspach </w:t>
      </w:r>
      <w:r w:rsidRPr="00BA37E4">
        <w:t>Gökçeada</w:t>
      </w:r>
      <w:r w:rsidRPr="00BA37E4">
        <w:t xml:space="preserve"> (</w:t>
      </w:r>
      <w:r w:rsidRPr="00BA37E4">
        <w:t>Imbros</w:t>
      </w:r>
      <w:r w:rsidRPr="00BA37E4">
        <w:t xml:space="preserve">) i </w:t>
      </w:r>
      <w:r w:rsidRPr="00BA37E4">
        <w:t>Bozcaada</w:t>
      </w:r>
      <w:r w:rsidRPr="00BA37E4">
        <w:t xml:space="preserve"> (</w:t>
      </w:r>
      <w:r w:rsidRPr="00BA37E4">
        <w:t>Tenedos</w:t>
      </w:r>
      <w:r w:rsidRPr="00BA37E4">
        <w:t xml:space="preserve">); zauważa z zaniepokojeniem, że przedstawiciele różnych wyznań, w tym społeczności niemuzułmańskich i </w:t>
      </w:r>
      <w:r w:rsidRPr="00BA37E4">
        <w:t>alewitów</w:t>
      </w:r>
      <w:r w:rsidRPr="00BA37E4">
        <w:t xml:space="preserve">, nadal napotykają przeszkody biurokratyczne podczas prób rejestrowania miejsc kultu; </w:t>
      </w:r>
      <w:r w:rsidRPr="00B57A1F" w:rsidR="00FF65C4">
        <w:t>wzywa Turcję do przyjęcia długo oczekiwanego rozporządzenia w sprawie wyboru członków zarządów w fundacjach mniejszości niemuzułmańskich kontrolujących szpitale wspólnotowe;</w:t>
      </w:r>
      <w:r w:rsidRPr="0029261C" w:rsidR="00FF65C4">
        <w:t xml:space="preserve"> </w:t>
      </w:r>
      <w:r w:rsidRPr="00BA37E4">
        <w:t xml:space="preserve">ponawia swój apel do Turcji o poszanowanie roli Patriarchatu Ekumenicznego Chrześcijan Ortodoksyjnych na całym świecie oraz uznanie jego osobowości prawnej i publiczne stosowanie kościelnego tytułu Patriarchy Ekumenicznego zgodnie z odpowiednim zaleceniem Komisji Weneckiej; wzywa Turcję do pełnego poszanowania i ochrony wyjątkowej uniwersalnej wartości </w:t>
      </w:r>
      <w:r w:rsidRPr="00BA37E4">
        <w:t>Hagii</w:t>
      </w:r>
      <w:r w:rsidRPr="00BA37E4">
        <w:t xml:space="preserve"> Sophii i muzeum Chora, wpisanych na listę światowego dziedzictwa UNESCO; zauważa z zaniepokojeniem, że Turcja nadal nie wdrożyła dwóch decyzji Komitetu Światowego Dziedzictwa UNESCO z 2021 i 2023 r., które dotyczą jej obowiązków w zakresie wprowadzenia specjalnych środków ochrony tych zabytków; ubolewa nad brakiem ochrony klasztoru </w:t>
      </w:r>
      <w:r w:rsidRPr="00BA37E4">
        <w:t>Panagia</w:t>
      </w:r>
      <w:r w:rsidRPr="00BA37E4">
        <w:t xml:space="preserve"> </w:t>
      </w:r>
      <w:r w:rsidRPr="00BA37E4">
        <w:t>Sumela</w:t>
      </w:r>
      <w:r w:rsidRPr="00BA37E4">
        <w:t xml:space="preserve">, który został zaproponowany do wpisania na listę obiektów światowego dziedzictwa UNESCO; wyraża poważne </w:t>
      </w:r>
      <w:r w:rsidRPr="00BA37E4">
        <w:t xml:space="preserve">zaniepokojenie aktami wandalizmu wobec miejsc kultu mniejszości i ich niszczeniem; zdecydowanie potępia ciągłe ataki z nienawiści na mniejszości </w:t>
      </w:r>
      <w:r w:rsidRPr="00BA37E4">
        <w:t>alewickie</w:t>
      </w:r>
      <w:r w:rsidRPr="00BA37E4">
        <w:t xml:space="preserve">, chrześcijańskie i żydowskie; wzywa władze tureckie do skutecznego prowadzenia dochodzeń i ścigania osób odpowiedzialnych za przestępstwa z nienawiści, w tym nawoływanie do nienawiści, oraz za wszelkie formy dyskryminacji mniejszości, a także do dopilnowania, aby organy regulacyjne ds. mediów stosowały normy przeciwko podżeganiu i nawoływaniu do nienawiści, w tym wobec wspólnot religijnych, zwłaszcza społeczności </w:t>
      </w:r>
      <w:r w:rsidRPr="00BA37E4">
        <w:t>alewickiej</w:t>
      </w:r>
      <w:r w:rsidRPr="00BA37E4">
        <w:t>, chrześcijańskiej i żydowskiej; z zadowoleniem przyjmuje planowane ponowne otwarcie seminarium na wyspie Chalki, które jest zamknięte od 1971 r., jako ważny pozytywny krok w kierunku uznania praw religijnych i praw mniejszości</w:t>
      </w:r>
      <w:r w:rsidR="00FF65C4">
        <w:t xml:space="preserve"> </w:t>
      </w:r>
      <w:r w:rsidRPr="00B57A1F" w:rsidR="00FF65C4">
        <w:rPr>
          <w:bCs/>
          <w:iCs/>
        </w:rPr>
        <w:t>oraz wzywa do usunięcia wszystkich przeszkód utrudniających jego właściwe funkcjonowanie</w:t>
      </w:r>
      <w:r w:rsidRPr="00BA37E4">
        <w:t>; ubolewa nad stosowaniem w ostatnich latach środków administracyjnych, takich jak kody „N-82” i „G-87”, wobec setek zagranicznych chrześcijańskich pastorów, misjonarzy i członków ich rodzin; określają ich one jako zagrożenie dla bezpieczeństwa narodowego bez dowodów, procesu lub skutecznych środków odwoławczych, co doprowadziło do ich deportacji z Turcji lub odmowy zgody na ponowny wjazd do kraju; wzywa rząd turecki do podjęcia wszelkich niezbędnych kroków, aby zapewnić pełną wolność religijną i niedyskryminację w ramach określonych przez ONZ oraz zgodnie z dorobkiem prawnym i zasadami UE; wzywa Turcję, aby powstrzymała się od wszelkich oświadczeń lub działań, które mogłyby zostać zinterpretowane jako ingerencja w wewnętrzne sprawy państw członkowskich UE w odniesieniu do sytuacji mniejszości muzułmańskiej w Tracji , biorąc pod uwagę odnośne orzeczenia ETPC;</w:t>
      </w:r>
    </w:p>
    <w:p w:rsidR="00C073AA" w:rsidRPr="00BA37E4" w:rsidP="00C073AA" w14:paraId="3712C300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>Reformy społeczno-gospodarcze i w zakresie zrównoważonego rozwoju</w:t>
      </w:r>
    </w:p>
    <w:p w:rsidR="00C073AA" w:rsidRPr="00BA37E4" w:rsidP="00C073AA" w14:paraId="65CFAD8A" w14:textId="1B4C685F">
      <w:pPr>
        <w:pStyle w:val="NormalHanging12a"/>
      </w:pPr>
      <w:r w:rsidRPr="00BA37E4">
        <w:t>2</w:t>
      </w:r>
      <w:r w:rsidR="00B57A1F">
        <w:t>8</w:t>
      </w:r>
      <w:r w:rsidRPr="00BA37E4">
        <w:t>.</w:t>
      </w:r>
      <w:r w:rsidRPr="00BA37E4">
        <w:tab/>
        <w:t>z zadowoleniem przyjmuje realizowany przez władze tureckie program stabilizacji makroekonomicznej i reform oraz ich zobowiązanie do zmniejszenia inflacji przy jednoczesnej ochronie wzrostu gospodarczego, co doprowadziło do ograniczenia inflacji i zwiększenia zaufania do liry tureckiej, o czym świadczą również niedawne konsultacje przeprowadzone przez pracowników MFW w Turcji na podstawie art. IV; zauważa, iż pomimo tych wysiłków sytuacja gospodarcza pozostaje delikatna i niestabilna, a wyniki niekonwencjonalnej polityki pieniężnej nadal wpływają na koszty utrzymania; zauważa, że ponieważ dla utrzymania się na tej drodze konieczna będzie restrykcyjna polityka pieniężna i ostrożna polityka fiskalna, należy podjąć środki mające na celu ochronę osób znajdujących się w najtrudniejszej sytuacji, w szczególności emerytów;</w:t>
      </w:r>
    </w:p>
    <w:p w:rsidR="00C073AA" w:rsidRPr="00BA37E4" w:rsidP="00C073AA" w14:paraId="6B417F77" w14:textId="5D4CC865">
      <w:pPr>
        <w:pStyle w:val="NormalHanging12a"/>
      </w:pPr>
      <w:r w:rsidRPr="00BA37E4">
        <w:t>2</w:t>
      </w:r>
      <w:r w:rsidR="00B57A1F">
        <w:t>9</w:t>
      </w:r>
      <w:r w:rsidRPr="00BA37E4">
        <w:t>.</w:t>
      </w:r>
      <w:r w:rsidRPr="00BA37E4">
        <w:tab/>
        <w:t xml:space="preserve">zauważa, że postępująca erozja praworządności i pewności prawa nieuchronnie wpłynie negatywnie na zaufanie inwestorów i na gospodarkę; podkreśla, że zrównoważony rozwój gospodarczy wymaga silnych instytucji demokratycznych, praworządności, pewności prawa i poszanowania praw podstawowych; podkreśla ogromne skutki finansowe, jakie mogą mieć bezprawne działania władz, czego przykładem jest aresztowanie burmistrza Stambułu w marcu 2025 r., które wywołało zawirowania finansowe i duży odpływ kapitału, zmuszając właściwe władze do podjęcia nadzwyczajnych środków w celu powstrzymania upadku liry, przywrócenia zaufania inwestorów i zachowania stabilności finansowej kosztem znacznego zmniejszenia oficjalnych rezerw; jest zaniepokojony szerokim wykorzystaniem nadzwyczajnych uprawnień przyznanych Funduszowi Gwarantowania Depozytów Oszczędnościowych (TMSF), który przejął setki przedsiębiorstw prywatnych i wyznaczył im pełnomocników; objęło to duże konglomeraty i przedsiębiorstwa medialne, takie jak </w:t>
      </w:r>
      <w:r w:rsidRPr="00BA37E4">
        <w:t>TELE1, i uczyniło TMSF jednym z największych podmiotów korporacyjnych w kraju; zauważa, że emigracja utalentowanych osób z Turcji ze względu na obawy dotyczące praworządności i podstawowych wolności może mieć większy negatywny wpływ na sytuację gospodarczą i społeczną;</w:t>
      </w:r>
    </w:p>
    <w:p w:rsidR="00C073AA" w:rsidRPr="00BA37E4" w:rsidP="00C073AA" w14:paraId="4AC3ED7E" w14:textId="65B0BA42">
      <w:pPr>
        <w:pStyle w:val="NormalHanging12a"/>
      </w:pPr>
      <w:r>
        <w:t>30</w:t>
      </w:r>
      <w:r w:rsidRPr="00BA37E4">
        <w:t>.</w:t>
      </w:r>
      <w:r w:rsidRPr="00BA37E4">
        <w:tab/>
        <w:t xml:space="preserve">przyjmuje do wiadomości niedawne ważne odkrycie przez rząd turecki dużych rezerw metali ziem rzadkich w prowincji </w:t>
      </w:r>
      <w:r w:rsidRPr="00BA37E4">
        <w:t>Eskișehir</w:t>
      </w:r>
      <w:r w:rsidRPr="00BA37E4">
        <w:t>, co może sprawić, że Turcja stanie się ważnym podmiotem na globalnym rynku strategicznym; podkreśla potencjał tego odkrycia w zakresie przyczyniania się do dywersyfikacji i odporności w globalnych łańcuchach dostaw metali ziem rzadkich, jak również główne wyzwania, jakie się z nim wiążą, w tym dotyczące dostępu do zaawansowanych technologii wydobywczych i przetwórczych oraz potrzeby zapewnienia wysokich standardów ochrony środowiska i zrównoważonego zarządzania zasobami;</w:t>
      </w:r>
    </w:p>
    <w:p w:rsidR="00C073AA" w:rsidRPr="00BA37E4" w:rsidP="00C073AA" w14:paraId="597ADEF4" w14:textId="47E66193">
      <w:pPr>
        <w:pStyle w:val="NormalHanging12a"/>
      </w:pPr>
      <w:r w:rsidRPr="00BA37E4">
        <w:t>3</w:t>
      </w:r>
      <w:r w:rsidR="00B57A1F">
        <w:t>1</w:t>
      </w:r>
      <w:r w:rsidRPr="00BA37E4">
        <w:t>.</w:t>
      </w:r>
      <w:r w:rsidRPr="00BA37E4">
        <w:tab/>
        <w:t>wzywa władze tureckie do wypełnienia międzynarodowych zobowiązań Turcji w odniesieniu do walki z korupcją, w szczególności do wdrożenia Konwencji Narodów Zjednoczonych przeciwko korupcji i odpowiednich konwencji Rady Europy, oraz do zapewnienia skutecznej odpowiedzi na zalecenia wydane przez GRECO, w tym w drodze przyjęcia niezbędnego ustawodawstwa, co jest jednym z pozostałych kryteriów liberalizacji reżimu wizowego; podkreśla potrzebę poprawy uczciwości procedur udzielania zamówień publicznych, finansowania partii politycznych, sądownictwa, administracji publicznej i sektora budowlanego, które pozostają szczególnie narażone na korupcję; głęboko ubolewa nad faktem, że ostatnie postępowania w sprawie korupcji na wysokim szczeblu wszczęte przez władze były wymierzone wyłącznie w burmistrzów i samorządy opozycji, co jeszcze bardziej podważa zaufanie do skuteczności i rzeczywistej woli władz, jeśli chodzi o zwalczanie korupcji; wzywa władze tureckie do zapewnienia bezstronności i przejrzystości podejmowanych przez nie działań antykorupcyjnych; wzywa władze tureckie do wzmocnienia walki z podrabianiem produktów i do przywrócenia systemu praw własności zgodnie ze standardami międzynarodowymi;</w:t>
      </w:r>
    </w:p>
    <w:p w:rsidR="00C073AA" w:rsidRPr="00BA37E4" w:rsidP="00C073AA" w14:paraId="59C80ADC" w14:textId="6C3A17F2">
      <w:pPr>
        <w:pStyle w:val="NormalHanging12a"/>
      </w:pPr>
      <w:r w:rsidRPr="00BA37E4">
        <w:t>3</w:t>
      </w:r>
      <w:r w:rsidR="00B57A1F">
        <w:t>2</w:t>
      </w:r>
      <w:r w:rsidRPr="00BA37E4">
        <w:t>.</w:t>
      </w:r>
      <w:r w:rsidRPr="00BA37E4">
        <w:tab/>
        <w:t xml:space="preserve">z zadowoleniem przyjmuje usunięcie Turcji z szarej listy Grupy Specjalnej ds. Przeciwdziałania Praniu Pieniędzy (FATF) w czerwcu 2024 r., w następstwie znacznych postępów w poprawie jej systemu przeciwdziałania praniu pieniędzy i finansowaniu terroryzmu; wzywa Turcję do ściślejszego dostosowania się do dorobku prawnego UE i zaleceń FATF w celu dalszego wzmocnienia ram przeciwdziałania praniu pieniędzy i finansowaniu terroryzmu, w tym w zakresie identyfikowalności transferów i zapobiegania niewłaściwemu wykorzystywaniu nowych kanałów płatności i </w:t>
      </w:r>
      <w:r w:rsidRPr="00BA37E4">
        <w:t>kryptoaktywów</w:t>
      </w:r>
      <w:r w:rsidRPr="00BA37E4">
        <w:t xml:space="preserve"> do nielegalnego finansowania;</w:t>
      </w:r>
    </w:p>
    <w:p w:rsidR="00C073AA" w:rsidRPr="00BA37E4" w:rsidP="00C073AA" w14:paraId="6A557A0D" w14:textId="0BB58D10">
      <w:pPr>
        <w:pStyle w:val="NormalHanging12a"/>
      </w:pPr>
      <w:r w:rsidRPr="00BA37E4">
        <w:t>3</w:t>
      </w:r>
      <w:r w:rsidR="00B57A1F">
        <w:t>3</w:t>
      </w:r>
      <w:r w:rsidRPr="00BA37E4">
        <w:t>.</w:t>
      </w:r>
      <w:r w:rsidRPr="00BA37E4">
        <w:tab/>
        <w:t xml:space="preserve">zwraca uwagę, że nadal nie rozwiązano kluczowych problemów dotyczących rynku pracy, takich jak nieformalne zatrudnienie, luka płacowa między kobietami a mężczyznami i nierówności dochodowe; nadal wyraża zaniepokojenie niskim zasięgiem rokowań zbiorowych oraz poważnymi utrudnieniami w uzwiązkowieniu w sektorze prywatnym; uważa, że potrzebne są dalsze działania w celu wzmocnienia mechanizmów dialogu społecznego i sprostania pojawiającym się wyzwaniom związanym z bezpieczeństwem pracy; przypomina, że wolność związków zawodowych i dialog społeczny mają kluczowe znaczenie dla rozwoju i dobrobytu pluralistycznego społeczeństwa; wzywa władze tureckie do usunięcia – poprzez skuteczne wykorzystanie mechanizmów dialogu społecznego – przeszkód, które ograniczają prawa do zrzeszania się w związki zawodowe i rokowań zbiorowych, oraz do uznania prawa do strajku dla </w:t>
      </w:r>
      <w:r w:rsidRPr="00BA37E4">
        <w:t xml:space="preserve">urzędników służby cywilnej; ubolewa, że regularnie dochodzi do zatrzymywania działaczy związkowych w Turcji za samo wykonywanie obowiązków; potępia w związku z tym niedawne zatrzymanie </w:t>
      </w:r>
      <w:r w:rsidRPr="00BA37E4">
        <w:t>Mehmeta</w:t>
      </w:r>
      <w:r w:rsidRPr="00BA37E4">
        <w:t xml:space="preserve"> </w:t>
      </w:r>
      <w:r w:rsidRPr="00BA37E4">
        <w:t>Türkmena</w:t>
      </w:r>
      <w:r w:rsidRPr="00BA37E4">
        <w:t>, przewodniczącego związku sektora włókienniczego BİRTEK-SEN, 15 marca 2026 r. i zauważa, że w 2025 r. przebywał on również w więzieniu przez ponad miesiąc; wzywa do jego natychmiastowego uwolnienia i położenia kresu nękaniu go przez sąd;</w:t>
      </w:r>
    </w:p>
    <w:p w:rsidR="00C073AA" w:rsidRPr="00BA37E4" w:rsidP="00C073AA" w14:paraId="6C3846A5" w14:textId="4EF152E3">
      <w:pPr>
        <w:pStyle w:val="NormalHanging12a"/>
      </w:pPr>
      <w:r w:rsidRPr="00BA37E4">
        <w:t>3</w:t>
      </w:r>
      <w:r w:rsidR="00B57A1F">
        <w:t>4</w:t>
      </w:r>
      <w:r w:rsidRPr="00BA37E4">
        <w:t>.</w:t>
      </w:r>
      <w:r w:rsidRPr="00BA37E4">
        <w:tab/>
        <w:t>odnotowuje nowe tureckie prawo o klimacie z 2025 r., które weszło w życie w lipcu 2025 r., i z zadowoleniem przyjmuje uwzględnienie systemu handlu emisjami, choć zauważa, że konieczne jest jeszcze wprowadzenie w nim pewnych ulepszeń, na przykład w zakresie limitów certyfikatów; ubolewa, że Turcja nadal odnotowuje bardzo niskie wyniki w dziedzinie łagodzenia zmiany klimatu, i wzywa Ankarę do opracowania wiarygodnych ram prawnych dotyczących redukcji emisji; podkreśla, że plan Ministerstwa Energii i Zasobów Naturalnych dotyczący utrzymania subsydiów na rzecz krajowej energetyki węglowej oraz wysokoemisyjnego wytwarzania energii elektrycznej spowalnia postępy we wprowadzaniu odnawialnych źródeł energii; wzywa rząd turecki, również w świetle organizacji 31. konferencji ONZ w sprawie zmiany klimatu w 2026 r., do wyznaczenia ścieżki odejścia od węgla i przyspieszenia terminu osiągnięcia szczytu emisji CO</w:t>
      </w:r>
      <w:r w:rsidRPr="00BA37E4">
        <w:rPr>
          <w:vertAlign w:val="superscript"/>
        </w:rPr>
        <w:t>2</w:t>
      </w:r>
      <w:r w:rsidRPr="00BA37E4">
        <w:t>, przewidzianego na 2038 r.; wzywa UE i władze Turcji do pogłębienia i priorytetowego traktowania współpracy w zakresie Zielonego Ładu, w szczególności jeśli chodzi o ustalanie opłat za emisję gazów cieplarnianych w kontekście mechanizmu dostosowywania cen na granicach z uwzględnieniem emisji CO</w:t>
      </w:r>
      <w:r w:rsidRPr="00BA37E4">
        <w:rPr>
          <w:vertAlign w:val="superscript"/>
        </w:rPr>
        <w:t>2</w:t>
      </w:r>
      <w:r w:rsidRPr="00BA37E4">
        <w:t>, do zajęcia się konsekwencjami dla tureckich eksporterów oraz do wspierania finansowania dekarbonizacji przemysłu i modernizacji sieci, a także realizacji strategii sprawiedliwej transformacji;</w:t>
      </w:r>
    </w:p>
    <w:p w:rsidR="00C073AA" w:rsidRPr="00BA37E4" w:rsidP="00C073AA" w14:paraId="45FB26CC" w14:textId="1B05B186">
      <w:pPr>
        <w:pStyle w:val="NormalHanging12a"/>
      </w:pPr>
      <w:r w:rsidRPr="00BA37E4">
        <w:t>3</w:t>
      </w:r>
      <w:r w:rsidR="00B57A1F">
        <w:t>5</w:t>
      </w:r>
      <w:r w:rsidRPr="00BA37E4">
        <w:t>.</w:t>
      </w:r>
      <w:r w:rsidRPr="00BA37E4">
        <w:tab/>
        <w:t>wyraża zaniepokojenie dobrostanem zwierząt podczas transportu z Republiki Turcji i przez jej terytorium; wzywa do przestrzegania norm międzynarodowych oraz zapobiegania nadmiernemu stłoczeniu i stresowi cieplnemu; jest zaniepokojony zgłaszanymi przypadkami zabijania bezpańskich psów i kotów oraz znęcania się nad nimi; wzywa do kontrolowania ich populacji zgodnie z normami międzynarodowymi;</w:t>
      </w:r>
    </w:p>
    <w:p w:rsidR="00C073AA" w:rsidRPr="00BA37E4" w:rsidP="00C073AA" w14:paraId="4F0C2784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>Współpraca regionalna i stosunki dobrosąsiedzkie</w:t>
      </w:r>
    </w:p>
    <w:p w:rsidR="00C073AA" w:rsidRPr="00BA37E4" w:rsidP="00C073AA" w14:paraId="2054D0C4" w14:textId="44781A1A">
      <w:pPr>
        <w:pStyle w:val="NormalHanging12a"/>
      </w:pPr>
      <w:r w:rsidRPr="00BA37E4">
        <w:t>3</w:t>
      </w:r>
      <w:r w:rsidR="00B57A1F">
        <w:t>6</w:t>
      </w:r>
      <w:r w:rsidRPr="00BA37E4">
        <w:t>.</w:t>
      </w:r>
      <w:r w:rsidRPr="00BA37E4">
        <w:tab/>
        <w:t xml:space="preserve">ponownie wyraża uznanie dla Turcji za przyjęcie w styczniu 2026 r. około 2,7 mln uchodźców, w tym 2,3 mln Syryjczyków w ramach ochrony tymczasowej; odnotowuje, że zgodnie ze sprawozdaniem </w:t>
      </w:r>
      <w:r w:rsidRPr="00BA37E4">
        <w:t>Fronteksu</w:t>
      </w:r>
      <w:r w:rsidRPr="00BA37E4">
        <w:t xml:space="preserve"> ze stycznia 2025 r. migracja nieuregulowana wzdłuż granicy Turcja–UE spadła o około jedną czwartą w wartościach bezwzględnych; ponownie podkreśla znaczenie współpracy z Turcją dla skutecznego i uporządkowanego zarządzania przepływami migracyjnymi; ponadto odnotowuje, że od 2011 r. UE przeznaczyła blisko 12,5 mld EUR na pomoc Turcji we wspieraniu uchodźców i społeczności przyjmujących; popiera kontynuację finansowania unijnego w celu dalszego wspierania opieki zdrowotnej, edukacji, ochrony i integracji uchodźców w Turcji; wzywa UE i państwa członkowskie, by utrzymały i, w miarę możliwości, zwiększyły pomoc finansową na rzecz przestrzeni humanitarnej i ochronnej w Turcji, intensyfikując wysiłki na rzecz wspierania tureckich organizacji społeczeństwa obywatelskiego i organizacji kierowanych przez uchodźców;</w:t>
      </w:r>
    </w:p>
    <w:p w:rsidR="00C073AA" w:rsidRPr="00BA37E4" w:rsidP="00C073AA" w14:paraId="70D9B290" w14:textId="4E8E28AB">
      <w:pPr>
        <w:pStyle w:val="NormalHanging12a"/>
      </w:pPr>
      <w:r w:rsidRPr="00BA37E4">
        <w:t>3</w:t>
      </w:r>
      <w:r w:rsidR="00B57A1F">
        <w:t>7</w:t>
      </w:r>
      <w:r w:rsidRPr="00BA37E4">
        <w:t>.</w:t>
      </w:r>
      <w:r w:rsidRPr="00BA37E4">
        <w:tab/>
        <w:t xml:space="preserve">wyraża zaniepokojenie pogarszaniem się warunków ochrony dla uchodźców syryjskich w Turcji, w tym zawieszeniem ubezpieczenia zdrowotnego, zamknięciem obozów dla uchodźców bez odpowiednich alternatyw oraz ograniczeniem zakresu usług </w:t>
      </w:r>
      <w:r w:rsidRPr="00BA37E4">
        <w:t>świadczonych przez międzynarodowe organizacje pozarządowe i ONZ; ponadto nadal jest zaniepokojony sytuacją grup mniejszościowych, uchodźców i migrantów, którzy w 2025 r. nadal doświadczali dyskryminacji, przemocy i przymusowych powrotów; podkreśla, że Turcja musi nadal chronić syryjskich uchodźców do czasu spełnienia warunków ich powrotu; wzywa władze tureckie do przywrócenia wizyt sondujących lub równoważnych mechanizmów umożliwiających podejmowanie świadomych decyzji dotyczących powrotu; z zaniepokojeniem odnotowuje wiarygodne doniesienia ujawniające naruszenia praw człowieka w finansowanych przez UE ośrodkach detencyjnych w Turcji i wzywa Komisję do wszczęcia przejrzystego i niezależnego dochodzenia w tej sprawie; wzywa Komisję do zapewnienia najwyższej przejrzystości i dokładności podczas przydziału środków oraz do dopilnowania, aby projekty finansowane przez UE, w szczególności te związane z ośrodkami detencyjnymi i kontrolą graniczną, były zgodne ze wszystkimi odpowiednimi standardami praw człowieka; wzywa Turcję, by zapewniła pełne i niedyskryminacyjne wdrożenie oświadczenia UE–Turcja z 2016 r. oraz umowy o readmisji między UE a Turcją wobec wszystkich państw członkowskich; podkreśla, że trudna sytuacja migrantów nie może być instrumentalizowana w celach politycznych przeciwko UE lub jej państwom członkowskim; wzywa Turcję do dalszej współpracy w dobrej wierze ze wszystkimi państwami członkowskimi UE w dziedzinie migracji, aby wysłać jasny sygnał przemytnikom ludzi w celu powstrzymania dalszych nielegalnych przepływów;</w:t>
      </w:r>
    </w:p>
    <w:p w:rsidR="00C073AA" w:rsidRPr="00BA37E4" w:rsidP="00C073AA" w14:paraId="6AA42377" w14:textId="523B83A1">
      <w:pPr>
        <w:pStyle w:val="NormalHanging12a"/>
      </w:pPr>
      <w:r w:rsidRPr="00BA37E4">
        <w:t>3</w:t>
      </w:r>
      <w:r w:rsidR="00B57A1F">
        <w:t>8</w:t>
      </w:r>
      <w:r w:rsidRPr="00BA37E4">
        <w:t>.</w:t>
      </w:r>
      <w:r w:rsidRPr="00BA37E4">
        <w:tab/>
        <w:t xml:space="preserve">ponownie wzywa Turcję, by przyjęła konstruktywne, a nie asertywne ani agresywne, podejście w stosunku do swoich sąsiadów; z zadowoleniem przyjmuje stały dialog między Grecją a Turcją – w tym spotkania wysokiego szczebla, takie jak szczyt między premierem </w:t>
      </w:r>
      <w:r w:rsidRPr="00BA37E4">
        <w:t>Mitsotakisem</w:t>
      </w:r>
      <w:r w:rsidRPr="00BA37E4">
        <w:t xml:space="preserve"> a prezydentem </w:t>
      </w:r>
      <w:r w:rsidRPr="00BA37E4">
        <w:t>Erdoğanem</w:t>
      </w:r>
      <w:r w:rsidRPr="00BA37E4">
        <w:t xml:space="preserve"> w lutym 2026 r. – który może sprzyjać konstruktywnemu otoczeniu i dalszej deeskalacji we wschodniej części Morza Śródziemnego, co ma nadrzędne znaczenie w obliczu niebezpiecznej eskalacji konfliktu w szerszym regionie; ponownie podkreśla, jak bardzo zależy mu na zapewnieniu stabilności i bezpieczeństwa w regionie, oraz zachęca wszystkie strony do dalszego rozwijania dialogu i współpracy w celu rozwiązania wszelkich nierozstrzygniętych sporów i różnic w ramach prawa międzynarodowego; wyraża głębokie zaniepokojenie faktem, że Turcja nadal podtrzymuje formalną groźbę wojny przeciwko Grecji (casus </w:t>
      </w:r>
      <w:r w:rsidRPr="00BA37E4">
        <w:t>belli</w:t>
      </w:r>
      <w:r w:rsidRPr="00BA37E4">
        <w:t>), co jest nie do pomyślenia między sojusznikami i dobrymi sąsiadami</w:t>
      </w:r>
      <w:r w:rsidRPr="00B57A1F" w:rsidR="00FF65C4">
        <w:rPr>
          <w:bCs/>
          <w:iCs/>
        </w:rPr>
        <w:t>, jeżeli Grecja skorzysta z przysługującego jej prawa do rozszerzenia swoich wód terytorialnych do 12 mil morskich na Morze Egejskie, zgodnie z art. 3 Konwencji Narodów Zjednoczonych o prawie morza</w:t>
      </w:r>
      <w:r w:rsidRPr="00BA37E4">
        <w:t xml:space="preserve">; ubolewa nad faktem, że Turcja nadal narusza suwerenność i suwerenne prawa państw członkowskich UE, takich jak Grecja i Republika Cypryjska, w tym poprzez promowanie doktryny „błękitnej ojczyzny”, znaczny wzrost naruszeń </w:t>
      </w:r>
      <w:r w:rsidRPr="00B57A1F" w:rsidR="00FF65C4">
        <w:rPr>
          <w:bCs/>
          <w:iCs/>
        </w:rPr>
        <w:t>greckich wód terytorialnych i</w:t>
      </w:r>
      <w:r w:rsidRPr="0029261C" w:rsidR="00FF65C4">
        <w:t xml:space="preserve"> </w:t>
      </w:r>
      <w:r w:rsidRPr="00BA37E4">
        <w:t xml:space="preserve">greckiej przestrzeni powietrznej w porównaniu z 2024 r. (chociaż </w:t>
      </w:r>
      <w:r w:rsidRPr="00B57A1F" w:rsidR="00FF65C4">
        <w:rPr>
          <w:bCs/>
          <w:iCs/>
        </w:rPr>
        <w:t>te ostatnie pozostają</w:t>
      </w:r>
      <w:r w:rsidRPr="0029261C" w:rsidR="00FF65C4">
        <w:t xml:space="preserve"> </w:t>
      </w:r>
      <w:r w:rsidRPr="00BA37E4">
        <w:t xml:space="preserve">na stosunkowo niskim poziomie), polityczną instrumentalizację systemu NAVTEX, naruszenie </w:t>
      </w:r>
      <w:r w:rsidRPr="00B57A1F" w:rsidR="00DD0FBE">
        <w:rPr>
          <w:bCs/>
          <w:iCs/>
        </w:rPr>
        <w:t>greckiego szelfu kontynentalnego i</w:t>
      </w:r>
      <w:r w:rsidRPr="0029261C" w:rsidR="00DD0FBE">
        <w:t xml:space="preserve"> </w:t>
      </w:r>
      <w:r w:rsidRPr="00BA37E4">
        <w:t xml:space="preserve">greckiej wyłącznej strefy ekonomicznej poprzez utrudnianie postępów w realizacji projektów dotyczących unijnej </w:t>
      </w:r>
      <w:r w:rsidRPr="00BA37E4">
        <w:t>konektywności</w:t>
      </w:r>
      <w:r w:rsidRPr="00BA37E4">
        <w:t xml:space="preserve">, takich jak połączenie międzysystemowe Great Sea </w:t>
      </w:r>
      <w:r w:rsidRPr="00BA37E4">
        <w:t>Interconnector</w:t>
      </w:r>
      <w:r w:rsidRPr="00BA37E4">
        <w:t xml:space="preserve"> i gazociąg </w:t>
      </w:r>
      <w:r w:rsidRPr="00BA37E4">
        <w:t>EastMed</w:t>
      </w:r>
      <w:r w:rsidRPr="00BA37E4">
        <w:t xml:space="preserve">, które uznano za projekty UE będące przedmiotem wspólnego zainteresowania, </w:t>
      </w:r>
      <w:r w:rsidRPr="00B57A1F" w:rsidR="00DD0FBE">
        <w:rPr>
          <w:bCs/>
          <w:iCs/>
        </w:rPr>
        <w:t>odrzucenie greckiego planu zagospodarowania przestrzennego obszarów morskich opublikowanego na podstawie dyrektywy w sprawie planowania przestrzennego obszarów morskich</w:t>
      </w:r>
      <w:r>
        <w:rPr>
          <w:rStyle w:val="FootnoteReference"/>
          <w:bCs/>
          <w:iCs/>
        </w:rPr>
        <w:footnoteReference w:id="7"/>
      </w:r>
      <w:r w:rsidRPr="00B57A1F" w:rsidR="00DD0FBE">
        <w:rPr>
          <w:bCs/>
          <w:iCs/>
        </w:rPr>
        <w:t xml:space="preserve"> </w:t>
      </w:r>
      <w:r w:rsidRPr="00B57A1F" w:rsidR="00DD0FBE">
        <w:rPr>
          <w:bCs/>
          <w:iCs/>
        </w:rPr>
        <w:t>oraz publikację tureckiego planu zagospodarowania przestrzennego obszarów morskich, który obejmuje obszary podlegające suwerenności i jurysdykcji Grecji,</w:t>
      </w:r>
      <w:r w:rsidR="00DD0FBE">
        <w:rPr>
          <w:b/>
          <w:i/>
        </w:rPr>
        <w:t xml:space="preserve"> </w:t>
      </w:r>
      <w:r w:rsidRPr="00BA37E4">
        <w:t xml:space="preserve">sprzeciw wobec utworzenia przez Grecję parku morskiego na Morzu Egejskim w całości na greckich wodach terytorialnych </w:t>
      </w:r>
      <w:r w:rsidRPr="00B57A1F" w:rsidR="00DD0FBE">
        <w:rPr>
          <w:bCs/>
          <w:iCs/>
        </w:rPr>
        <w:t>oraz ogłoszenie w sierpniu 2025 r. utworzenia dwóch tureckich parków morskich rozciągających się na obszary podlegające jurysdykcji Grecji</w:t>
      </w:r>
      <w:r w:rsidRPr="0029261C" w:rsidR="00DD0FBE">
        <w:t xml:space="preserve"> </w:t>
      </w:r>
      <w:r w:rsidRPr="00BA37E4">
        <w:t>lub znaczny wzrost od 2024 r. nielegalnej działalności połowowej statków tureckich na greckich wodach terytorialnych;</w:t>
      </w:r>
      <w:r w:rsidRPr="0029261C" w:rsidR="00DD0FBE">
        <w:rPr>
          <w:b/>
          <w:i/>
        </w:rPr>
        <w:t xml:space="preserve"> </w:t>
      </w:r>
      <w:r w:rsidRPr="00B57A1F" w:rsidR="00DD0FBE">
        <w:rPr>
          <w:bCs/>
          <w:iCs/>
        </w:rPr>
        <w:t>wyraża poważne zaniepokojenie projektem ustawy przygotowanym przez Narodowe Centrum Prawa Morskiego Uniwersytetu w Ankarze (DEHUKAM) kodyfikującej doktrynę „niebieskiej ojczyzny”, która może stanowić bezpośrednie naruszenie obowiązującego prawa międzynarodowego;</w:t>
      </w:r>
      <w:r w:rsidRPr="0029261C" w:rsidR="00DD0FBE">
        <w:t xml:space="preserve"> </w:t>
      </w:r>
      <w:r w:rsidRPr="00BA37E4">
        <w:t xml:space="preserve">ponawia skierowane do Turcji wezwanie, by w pełni szanowała suwerenność wszystkich państw członkowskich UE na ich morzach terytorialnych i w ich przestrzeni powietrznej, </w:t>
      </w:r>
      <w:r w:rsidRPr="00B57A1F" w:rsidR="00DD0FBE">
        <w:rPr>
          <w:bCs/>
          <w:iCs/>
        </w:rPr>
        <w:t>a także ich suwerennych praw,</w:t>
      </w:r>
      <w:r w:rsidRPr="0029261C" w:rsidR="00DD0FBE">
        <w:t xml:space="preserve"> </w:t>
      </w:r>
      <w:r w:rsidRPr="00BA37E4">
        <w:t xml:space="preserve">zgodnie z prawem UE i prawem międzynarodowym, w tym w ramach UNCLOS, a także ich prawo do </w:t>
      </w:r>
      <w:r w:rsidRPr="00B57A1F" w:rsidR="00DD0FBE">
        <w:rPr>
          <w:bCs/>
          <w:iCs/>
        </w:rPr>
        <w:t xml:space="preserve">wytyczenia granic szelfu kontynentalnego i </w:t>
      </w:r>
      <w:r w:rsidRPr="00BA37E4">
        <w:t>wyłącznych stref ekonomicznych</w:t>
      </w:r>
      <w:r w:rsidR="00DD0FBE">
        <w:t xml:space="preserve"> </w:t>
      </w:r>
      <w:r w:rsidRPr="00B57A1F" w:rsidR="00DD0FBE">
        <w:rPr>
          <w:bCs/>
          <w:iCs/>
        </w:rPr>
        <w:t>oraz prawa do poszukiwania i eksploatacji ich zasobów naturalnych; w związku z tym wzywa Turcję, aby nie przyjmowała żadnych przepisów, które mogłyby naruszać te zasady</w:t>
      </w:r>
      <w:r w:rsidRPr="00BA37E4">
        <w:t>; przypomina, że protokół ustaleń między Libią a Turcją w sprawie delimitacji jurysdykcji morskich na Morzu Śródziemnym narusza suwerenne prawa państw trzecich, jest niezgodny z prawem morskim i nie może wywoływać żadnych skutków prawnych względem państw trzecich;</w:t>
      </w:r>
    </w:p>
    <w:p w:rsidR="00C073AA" w:rsidRPr="00BA37E4" w:rsidP="00C073AA" w14:paraId="35F16E76" w14:textId="5035A495">
      <w:pPr>
        <w:pStyle w:val="NormalHanging12a"/>
      </w:pPr>
      <w:r w:rsidRPr="00BA37E4">
        <w:t>3</w:t>
      </w:r>
      <w:r w:rsidR="00B57A1F">
        <w:t>9</w:t>
      </w:r>
      <w:r w:rsidRPr="00BA37E4">
        <w:t>.</w:t>
      </w:r>
      <w:r w:rsidRPr="00BA37E4">
        <w:tab/>
        <w:t xml:space="preserve">zdecydowanie potwierdza swoje stanowisko, że jedynym rozwiązaniem problemu cypryjskiego jest sprawiedliwe, kompleksowe, wykonalne i demokratyczne porozumienie, w ramach uzgodnionych na forum ONZ, w oparciu o dwuwspólnotową i dwustrefową federację, z jednolitą międzynarodową osobowością prawną, jednolitą suwerennością, jednolitym obywatelstwem i równością polityczną, zgodnie ze stosownymi rezolucjami Rady Bezpieczeństwa ONZ, uzgodnionymi obszarami zbieżności i ramami określonymi przez sekretarza generalnego ONZ, a także zgodnie z prawem międzynarodowym oraz zasadami i wartościami, na których opiera się UE; wzywa do jak najszybszego wznowienia negocjacji w sprawie ponownego zjednoczenia Cypru pod auspicjami sekretarza generalnego ONZ, od punktu, w którym przerwano je w </w:t>
      </w:r>
      <w:r w:rsidRPr="00BA37E4">
        <w:t>Crans</w:t>
      </w:r>
      <w:r w:rsidRPr="00BA37E4">
        <w:t>-Montana w 2017 r.; wzywa Turcję do porzucenia niedopuszczalnej propozycji rozwiązania dwupaństwowego na Cyprze i do powrotu do uzgodnionych podstaw rozwiązania oraz ram wyznaczonych przez ONZ;</w:t>
      </w:r>
    </w:p>
    <w:p w:rsidR="00C073AA" w:rsidRPr="00BA37E4" w:rsidP="00C073AA" w14:paraId="0A2783BB" w14:textId="228AF9BB">
      <w:pPr>
        <w:pStyle w:val="NormalHanging12a"/>
      </w:pPr>
      <w:r>
        <w:t>40</w:t>
      </w:r>
      <w:r w:rsidRPr="00BA37E4">
        <w:t>.</w:t>
      </w:r>
      <w:r w:rsidRPr="00BA37E4">
        <w:tab/>
        <w:t xml:space="preserve">z zadowoleniem przyjmuje kroki podjęte przez sekretarza generalnego ONZ na rzecz wznowienia kompleksowych rozmów w sprawie rozwiązania kwestii cypryjskiej, w tym mianowanie osobistej wysłanniczki ds. Cypru; wzywa Komisję do szybkiego mianowania nowego specjalnego wysłannika Komisji Europejskiej ds. Cypru; z zadowoleniem przyjmuje dwa nieformalne spotkania w szerszym formacie, które odbyły się pod auspicjami sekretarza generalnego ONZ w Genewie w marcu 2025 r. i w Nowym Jorku w lipcu 2025 r., a także </w:t>
      </w:r>
      <w:r w:rsidR="00DD0FBE">
        <w:t xml:space="preserve">liczne </w:t>
      </w:r>
      <w:r w:rsidRPr="00BA37E4">
        <w:t xml:space="preserve">spotkania na Cyprze prezydenta Nikosa </w:t>
      </w:r>
      <w:r w:rsidRPr="00BA37E4">
        <w:t>Christodoulidesa</w:t>
      </w:r>
      <w:r w:rsidRPr="00BA37E4">
        <w:t xml:space="preserve"> i przywódcy społeczności Turków cypryjskich </w:t>
      </w:r>
      <w:r w:rsidRPr="00BA37E4">
        <w:t>Tufana</w:t>
      </w:r>
      <w:r w:rsidRPr="00BA37E4">
        <w:t xml:space="preserve"> </w:t>
      </w:r>
      <w:r w:rsidRPr="00BA37E4">
        <w:t>Erhürmana</w:t>
      </w:r>
      <w:r w:rsidRPr="00B57A1F" w:rsidR="00DD0FBE">
        <w:rPr>
          <w:bCs/>
          <w:iCs/>
        </w:rPr>
        <w:t>, w tym posiedzenie</w:t>
      </w:r>
      <w:r w:rsidRPr="00BA37E4">
        <w:t xml:space="preserve"> w grudniu 2025 r. (podczas którego we wspólnym oświadczeniu podkreślono, że </w:t>
      </w:r>
      <w:r w:rsidR="00460AD8">
        <w:t>,,</w:t>
      </w:r>
      <w:r w:rsidRPr="00BA37E4">
        <w:t xml:space="preserve">prawdziwym celem jest rozwiązanie problemu cypryjskiego zapewniające równość polityczną, zgodnie z rezolucjami Rady Bezpieczeństwa </w:t>
      </w:r>
      <w:r w:rsidRPr="00BA37E4">
        <w:t>ONZ</w:t>
      </w:r>
      <w:r w:rsidR="00460AD8">
        <w:t>ˮ</w:t>
      </w:r>
      <w:r w:rsidRPr="00BA37E4">
        <w:t xml:space="preserve">; ponadto z zadowoleniem przyjmuje stanowisko obu stron po wybraniu nowego przywódcy społeczności Turków cypryjskich, w związku z czym znów można mieć nadzieję na stworzenie warunków sprzyjających wznowieniu negocjacji w sprawie rozwiązania konfliktu; z dużym zadowoleniem przyjmuje porozumienie w sprawie </w:t>
      </w:r>
      <w:r w:rsidRPr="00BA37E4">
        <w:t>dalszych środków budowy zaufania jako pozytywny i istotny krok oraz zachęca do wdrażania tych środków; zdecydowanie popiera kontynuację kontaktów między obiema stronami pod auspicjami sekretarza generalnego ONZ oraz pracę jego osobistej wysłanniczki ds. Cypru; wzywa UE i jej państwa członkowskie do stanowczego poparcia kontynuacji tego dialogu oraz do pozostawania w gotowości do udzielenia wszelkiego niezbędnego wsparcia, aby ten proces mógł zakończyć się powodzeniem; zachęca wszystkie strony do wykorzystania tej dynamiki do wznowienia negocjacji, aby nie zaprzepaścić tej szansy;</w:t>
      </w:r>
    </w:p>
    <w:p w:rsidR="00C073AA" w:rsidRPr="00BA37E4" w:rsidP="00C073AA" w14:paraId="28F54EC3" w14:textId="489B365A">
      <w:pPr>
        <w:pStyle w:val="NormalHanging12a"/>
      </w:pPr>
      <w:r w:rsidRPr="00BA37E4">
        <w:t>4</w:t>
      </w:r>
      <w:r w:rsidR="00B57A1F">
        <w:t>1</w:t>
      </w:r>
      <w:r w:rsidRPr="00BA37E4">
        <w:t>.</w:t>
      </w:r>
      <w:r w:rsidRPr="00BA37E4">
        <w:tab/>
        <w:t xml:space="preserve">wzywa Turcję do poszanowania statusu strefy buforowej i mandatu UNFICYP, do zaprzestania i cofnięcia wszystkich jednostronnych działań i naruszeń na terytorium i w pobliżu strefy buforowej, a także do powstrzymania się od dalszych takich działań i prowokacji, w tym od nękania i zastraszania rolników; ponawia swój apel o współpracę między Republiką Cypryjską, Turcją, Zjednoczonym Królestwem i ONZ w celu wdrożenia konkretnych środków na rzecz demilitaryzacji strefy buforowej, aby zmniejszyć napięcia i przyczynić się do stworzenia warunków sprzyjających wznowieniu negocjacji pod przewodnictwem ONZ; apeluje do Turcji, by wycofała się ze </w:t>
      </w:r>
      <w:r w:rsidRPr="00BA37E4">
        <w:t>Strovilii</w:t>
      </w:r>
      <w:r w:rsidRPr="00BA37E4">
        <w:t xml:space="preserve"> i ułatwiła pełne wdrożenie porozumienia z </w:t>
      </w:r>
      <w:r w:rsidRPr="00BA37E4">
        <w:t>Pily</w:t>
      </w:r>
      <w:r w:rsidRPr="00BA37E4">
        <w:t xml:space="preserve">; ponadto wzywa Turcję, by wycofała swoje wojska z Cypru oraz powstrzymała się od wszelkich jednostronnych działań, które utrwaliłyby stały podział wyspy, i od działań zmieniających równowagę demograficzną; zdecydowanie potępia próby Turcji mające na celu podniesienie statusu podmiotu separatystycznego na okupowanym Cyprze, w tym za pośrednictwem Organizacji Państw </w:t>
      </w:r>
      <w:r w:rsidRPr="00BA37E4">
        <w:t>Turkijskich</w:t>
      </w:r>
      <w:r w:rsidRPr="00BA37E4">
        <w:t xml:space="preserve"> oraz Organizacji Współpracy Islamskiej, i wzywa wszystkie państwa do poszanowania suwerenności Cypru zgodnie z rezolucjami Rady Bezpieczeństwa ONZ; potępia podejmowane przez Turcję działania mające na celu „otwarcie” </w:t>
      </w:r>
      <w:r w:rsidRPr="00BA37E4">
        <w:t>Warosii</w:t>
      </w:r>
      <w:r w:rsidRPr="00BA37E4">
        <w:t xml:space="preserve"> i zasiedlenie jej przez osoby inne niż jej pełnoprawni mieszkańcy, co stanowi naruszenie rezolucji Rady Bezpieczeństwa ONZ; apeluje do Turcji, by odstąpiła od nielegalnych działań oraz by przekazała obszar </w:t>
      </w:r>
      <w:r w:rsidRPr="00BA37E4">
        <w:t>Warosii</w:t>
      </w:r>
      <w:r w:rsidRPr="00BA37E4">
        <w:t xml:space="preserve"> jej prawowitym mieszkańcom pod tymczasową administracją ONZ, zgodnie z wezwaniem zawartym w rezolucjach Rady Bezpieczeństwa ONZ 550(1984) i 789(1992); ubolewa nad próbami przekształcenia </w:t>
      </w:r>
      <w:r w:rsidRPr="00BA37E4">
        <w:t>Warosii</w:t>
      </w:r>
      <w:r w:rsidRPr="00BA37E4">
        <w:t xml:space="preserve"> w atrakcję „czarnej turystyki”, ponieważ nadają one tragedii wymiar sensacji oraz naruszają godność i prawa prawowitych mieszkańców; potępia trwające zawłaszczanie, sprzedaż i nielegalną zabudowę nieruchomości należących do Greków cypryjskich na okupowanych terytoriach; jest nadal głęboko zaniepokojony ograniczeniami i przeszkodami edukacyjnymi i religijnymi, z jakimi borykają się enklawy Greków cypryjskich; wzywa Turcję do zacieśnienia współpracy z Radą Europy oraz jej odpowiednimi organami i instytucjami, do uwzględnienia ich kluczowych zaleceń, do pełnego wdrożenia EKPC w odniesieniu do poszanowania wolności religii, wolności opinii i wypowiedzi oraz prawa do dostępu i kultu, w tym prawa do prowadzenia ceremonii religijnych i korzystania z dziedzictwa kulturowego, a także do powstrzymania celowego niszczenia dziedzictwa kulturowego i religijnego; pochwala prace Komisji Technicznej ds. Dziedzictwa Kulturowego, w której skład wchodzą przedstawiciele obu społeczności, na rzecz odtwarzania wielu zniszczonych zabytków; ubolewa, że Turcja nadal odmawia przestrzegania międzynarodowego prawa lotnictwa cywilnego i ustanowienia kanału komunikacji między ośrodkami kontroli ruchu lotniczego w Turcji i Republice Cypryjskiej, którego brak niesie ze sobą rzeczywiste ryzyko i zagrożenia dla bezpieczeństwa, wskazane przez Agencję Unii Europejskiej ds. Bezpieczeństwa Lotniczego i Międzynarodową Federację Stowarzyszeń Pilotów Linii Lotniczych; ponownie wzywa Turcję, by wypełniła zobowiązanie do pełnego i niedyskryminacyjnego wdrożenia protokołu dodatkowego do układu z Ankary wobec </w:t>
      </w:r>
      <w:r w:rsidRPr="00BA37E4">
        <w:t>wszystkich państw członkowskich, w tym Republiki Cypryjskiej, oraz by wypełniła zobowiązania podjęte wobec Unii zgodnie z ramami negocjacyjnymi z października 2005 r.;</w:t>
      </w:r>
    </w:p>
    <w:p w:rsidR="00C073AA" w:rsidRPr="00BA37E4" w:rsidP="00C073AA" w14:paraId="65DB60A9" w14:textId="0580F61D">
      <w:pPr>
        <w:pStyle w:val="NormalHanging12a"/>
      </w:pPr>
      <w:r w:rsidRPr="00BA37E4">
        <w:t>4</w:t>
      </w:r>
      <w:r w:rsidR="00B57A1F">
        <w:t>2</w:t>
      </w:r>
      <w:r w:rsidRPr="00BA37E4">
        <w:t>.</w:t>
      </w:r>
      <w:r w:rsidRPr="00BA37E4">
        <w:tab/>
        <w:t xml:space="preserve">ponawia swój apel do Turcji o zapewnienie tureckiej wspólnocie cypryjskiej niezbędnej przestrzeni, aby mogła działać zgodnie ze swoją rolą prawowitej wspólnoty na wyspie, co jest prawem gwarantowanym przez konstytucję Republiki Cypryjskiej; ponawia apel do Komisji o wzmożenie starań na rzecz nawiązania kontaktu z turecką wspólnotą cypryjską, tak aby ułatwić rozwiązanie problemu cypryjskiego, i przypomina, że jej miejsce jest w Unii Europejskiej; wzywa wszystkie zaangażowane strony do wykazania większej odwagi przy zbliżaniu społeczności; podkreśla, że po kompleksowym rozwiązaniu problemu cypryjskiego na całej wyspie musi zostać wdrożony dorobek prawny UE; przyjmuje do wiadomości roczne sprawozdanie Wysokiego Komisarza NZ ds. Praw Człowieka i sekretarza generalnego ONZ w sprawie Cypru; jest nadal zaniepokojony ograniczeniami wolności wypowiedzi i wolności mediów, w tym przemocą lub groźbami przemocy wobec działaczy na rzecz praw człowieka należących do społeczności Turków cypryjskich, a w szczególności dziennikarzy, którzy krytykowali wpływy Turcji, takich jak dziennikarz ze społeczności Turków cypryjskich </w:t>
      </w:r>
      <w:r w:rsidRPr="00BA37E4">
        <w:t>Şener</w:t>
      </w:r>
      <w:r w:rsidRPr="00BA37E4">
        <w:t xml:space="preserve"> </w:t>
      </w:r>
      <w:r w:rsidRPr="00BA37E4">
        <w:t>Levent</w:t>
      </w:r>
      <w:r w:rsidRPr="00BA37E4">
        <w:t xml:space="preserve"> i przewodniczący Związku Dziennikarzy Turków Cypryjskich Ali </w:t>
      </w:r>
      <w:r w:rsidRPr="00BA37E4">
        <w:t>Kişmir</w:t>
      </w:r>
      <w:r w:rsidRPr="00BA37E4">
        <w:t>; odnotowuje istotne prace Komisji ds. Osób Zaginionych na Cyprze i apeluje o poprawę dostępu do stref wojskowych okupowanych przez armię turecką, o dostęp do jej archiwów wojskowych oraz o informacje o przenoszeniu szczątków na nowe miejsce pochówku;</w:t>
      </w:r>
    </w:p>
    <w:p w:rsidR="00C073AA" w:rsidRPr="00BA37E4" w:rsidP="00C073AA" w14:paraId="2C181AB9" w14:textId="3F6E5ABA">
      <w:pPr>
        <w:pStyle w:val="NormalHanging12a"/>
      </w:pPr>
      <w:r w:rsidRPr="00BA37E4">
        <w:t>4</w:t>
      </w:r>
      <w:r w:rsidR="00B57A1F">
        <w:t>3</w:t>
      </w:r>
      <w:r w:rsidRPr="00BA37E4">
        <w:t>.</w:t>
      </w:r>
      <w:r w:rsidRPr="00BA37E4">
        <w:tab/>
        <w:t>podkreśla znaczenie wzmocnienia współpracy między UE a Turcją w kwestiach regionalnego bezpieczeństwa, zwłaszcza w świetle zmieniającego się krajobrazu geopolitycznego; potwierdza w tym kontekście strategiczne i geopolityczne znaczenie Turcji, która jest też sojusznikiem w NATO, oraz jej rosnące obecność, wpływy i rolę mediatora i pośrednika na obszarach krytycznych dla bezpieczeństwa międzynarodowego i strategicznych interesów UE, takich jak region Morza Czarnego, w tym Ukraina, Zakaukazie oraz Bliski Wschód, a także w innych istotnych obszarach współpracy, takich jak zarządzanie migracją, zwalczanie terroryzmu i bezpieczeństwo energetyczne; przyznaje, że Turcja nadal aktywnie uczestniczy w misjach i operacjach UE w zakresie zarządzania kryzysowego oraz wnosi w nie znaczący wkład; podkreśla, że pragmatyczną współpracę z Turcją w dziedzinie bezpieczeństwa i obrony można zacieśnić tam, gdzie leży to w obopólnym interesie strategicznym; niemniej jednak jest nadal głęboko zaniepokojony faktem, że Turcja nadal wyklucza jedno z państw członkowskich ze współpracy z NATO; wzywa Turcję, by nie wykorzystywała swojego członkostwa w NATO do blokowania współpracy między UE a NATO;</w:t>
      </w:r>
    </w:p>
    <w:p w:rsidR="00C073AA" w:rsidRPr="00BA37E4" w:rsidP="00C073AA" w14:paraId="33C5F131" w14:textId="079B6126">
      <w:pPr>
        <w:pStyle w:val="NormalHanging12a"/>
      </w:pPr>
      <w:r w:rsidRPr="00BA37E4">
        <w:t>4</w:t>
      </w:r>
      <w:r w:rsidR="00B57A1F">
        <w:t>4</w:t>
      </w:r>
      <w:r w:rsidRPr="00BA37E4">
        <w:t>.</w:t>
      </w:r>
      <w:r w:rsidRPr="00BA37E4">
        <w:tab/>
        <w:t>ubolewa nad niskim poziomem dostosowania Turcji do wspólnej polityki zagranicznej i bezpieczeństwa UE (</w:t>
      </w:r>
      <w:r w:rsidRPr="00BA37E4">
        <w:t>WPZiB</w:t>
      </w:r>
      <w:r w:rsidRPr="00BA37E4">
        <w:t xml:space="preserve">), który spadł z 6 % w 2024 r. do rekordowo niskiego poziomu 4 % w 2025 r.; zauważa jednak, że wskaźnik ten, oparty wyłącznie na statystykach dotyczących zgodności z oświadczeniami wysokiej przedstawicielki / wiceprzewodniczącej Komisji oraz decyzjami Rady w sprawie sankcji, może nie odzwierciedlać w pełni wszystkich poziomów działania i dialogu w ramach współpracy w dziedzinie polityki zagranicznej i bezpieczeństwa; w tym kontekście z zadowoleniem przyjmuje niedawną intensyfikację dialogu z UE oraz aktywny udział w misjach i operacjach UE w zakresie zarządzania kryzysowego w ramach wspólnej polityki bezpieczeństwa i obrony, a także znaczący wkład w te działania; odnotowuje nasilające się antyzachodnie nastawienie władz tureckich; wyraża </w:t>
      </w:r>
      <w:r w:rsidRPr="00BA37E4">
        <w:t xml:space="preserve">zaniepokojenie jego możliwymi konsekwencjami dla interesów UE na Bałkanach Zachodnich, w regionie Morza Czarnego, na Zakaukaziu, w regionie Morza Śródziemnego i na Bliskim Wschodzie; uważa jednak, że w obecnym krajobrazie geopolitycznym istotne jest zbadanie możliwości współpracy z Turcją w kontekście obecnych i przyszłych strategii politycznych UE w dziedzinie obronności i bezpieczeństwa; wzywa jednak władze tureckie do pilnego zajęcia się kwestią wyjątkowo niskiego poziomu dostosowania kraju do </w:t>
      </w:r>
      <w:r w:rsidRPr="00BA37E4">
        <w:t>WPZiB</w:t>
      </w:r>
      <w:r w:rsidRPr="00BA37E4">
        <w:t xml:space="preserve"> oraz do usunięcia innych kluczowych przeszkód utrudniających budowanie niezbędnego zaufania wśród partnerów i sojuszników, takich jak utrzymywanie casus </w:t>
      </w:r>
      <w:r w:rsidRPr="00BA37E4">
        <w:t>belli</w:t>
      </w:r>
      <w:r w:rsidRPr="00BA37E4">
        <w:t xml:space="preserve"> wobec jednego z państw członkowskich UE, kwestionowanie suwerenności innych państw lub utrzymywanie rosyjskiego systemu obrony powietrznej S-400; zauważa z niepokojem, że Turcja złożyła wniosek o członkostwo w BRICS+, choć obecnie ma status partnera, i rozważa podobne podejście w odniesieniu do Szanghajskiej Organizacji Współpracy; wyraża poważne zaniepokojenie zasadniczą sprzecznością między potencjalnym pełnym członkostwem Turcji w BRICS+ a jej procesem przystąpienia do UE; podkreśla, że takie działanie, odzwierciedlające nieliberalny model globalnego i regionalnego zarządzania, może utrudnić dążenie do bardziej kompleksowego partnerstwa między UE a Turcją;</w:t>
      </w:r>
    </w:p>
    <w:p w:rsidR="00C073AA" w:rsidRPr="00BA37E4" w:rsidP="00C073AA" w14:paraId="4BC2B14D" w14:textId="6EEA9E88">
      <w:pPr>
        <w:pStyle w:val="NormalHanging12a"/>
      </w:pPr>
      <w:r w:rsidRPr="00BA37E4">
        <w:t>4</w:t>
      </w:r>
      <w:r w:rsidR="00B57A1F">
        <w:t>5</w:t>
      </w:r>
      <w:r w:rsidRPr="00BA37E4">
        <w:t>.</w:t>
      </w:r>
      <w:r w:rsidRPr="00BA37E4">
        <w:tab/>
        <w:t xml:space="preserve">w odniesieniu do rosyjskiej wojny napastniczej przeciwko Ukrainie uznaje wysiłki Turcji zmierzające do pełnienia roli pośrednika i potencjalnego mediatora, co znajduje potwierdzenie w organizacji kilku bezpośrednich rozmów między obiema stronami w Stambule, a także w zapewnianiu Ukrainie pomocy wojskowej, dyplomatycznej i humanitarnej, w tym sprzętu obronnego, co przyczyniło się do wsparcia wysiłków obronnych Ukrainy; przyznaje, że Turcja tradycyjnie zajmuje stanowisko polegające na niepopieraniu sankcji przyjmowanych poza ramami ONZ; nadal ubolewa jednak, że Turcja nie dostosowuje się do środków ograniczających UE wobec Rosji, ale z zadowoleniem przyjmuje działania, jakie Turcja podjęła w celu zapobieżenia obchodzeniu sankcji za pośrednictwem jej terytorium, takie jak zapobieganie reeksportowi wspólnych produktów o wysokim priorytecie, które to działania przynoszą pewne rezultaty, a także apeluje o dostosowanie do unijnych ram sankcji wobec Rosji; wzywa władze tureckie do zintensyfikowania starań w zakresie wykrywania obchodzenia środków ograniczających i zapobiegania temu, w szczególności w odniesieniu do zaawansowanych produktów technologicznych wykorzystywanych przez Rosję do celów wojskowych; wzywa również do zapobiegania „fałszywemu tranzytowi” tych produktów do Rosji przez Azję Środkową, rozszerzenia tych środków na inne towary o krytycznym znaczeniu gospodarczym, ograniczenia wykorzystywania zasobów energetycznych pochodzących z Rosji oraz wyeliminowania związanego z rosyjską „flotą cieni” ryzyka w obszarze bezpieczeństwa morskiego i środowiskowego; wyraża ponadto zaniepokojenie, że Turcja nie ogranicza działalności rosyjskich państwowych środków masowego przekazu w związku z rosyjską wojną napastniczą przeciwko Ukrainie; odnotowuje powszechne występowanie prorosyjskich narracji i powiązanej z Rosją dezinformacji w tureckiej przestrzeni informacyjnej, szczególnie w odniesieniu do Ukrainy, NATO i bezpieczeństwa energetycznego; wzywa Turcję do wzmożenia wysiłków na rzecz przeciwdziałania zagranicznej manipulacji informacją i dezinformacji; odnotowuje z zaniepokojeniem, że Turcja – za pośrednictwem gazociągów </w:t>
      </w:r>
      <w:r w:rsidRPr="00BA37E4">
        <w:t>TurkStream</w:t>
      </w:r>
      <w:r w:rsidRPr="00BA37E4">
        <w:t xml:space="preserve"> i Blue </w:t>
      </w:r>
      <w:r w:rsidRPr="00BA37E4">
        <w:t>Stream</w:t>
      </w:r>
      <w:r w:rsidRPr="00BA37E4">
        <w:t xml:space="preserve"> – jest głównym importerem rosyjskiego gazu ziemnego, a także głównym źródłem ropy naftowej i produktów naftowych; ponownie wyraża zaniepokojenie ścisłą współpracą Turcji z Rosją w zakresie budowy dużych elektrowni jądrowych, w tym elektrowni jądrowej </w:t>
      </w:r>
      <w:r w:rsidRPr="00BA37E4">
        <w:t>Akkuyu</w:t>
      </w:r>
      <w:r w:rsidRPr="00BA37E4">
        <w:t xml:space="preserve">, która ma zostać </w:t>
      </w:r>
      <w:r w:rsidRPr="00BA37E4">
        <w:t xml:space="preserve">uruchomiona w 2026 r. i której właścicielem oraz operatorem jest rosyjska państwowa korporacja energetyki jądrowej </w:t>
      </w:r>
      <w:r w:rsidRPr="00BA37E4">
        <w:t>Rosatom</w:t>
      </w:r>
      <w:r w:rsidRPr="00BA37E4">
        <w:t xml:space="preserve">; apeluje do rządu tureckiego, by przystąpił do konwencji z </w:t>
      </w:r>
      <w:r w:rsidRPr="00BA37E4">
        <w:t>Espoo</w:t>
      </w:r>
      <w:r w:rsidRPr="00BA37E4">
        <w:t>, która zobowiązuje strony do powiadamiania krajów sąsiadujących o rozważanych dużych projektach, które mogą mieć znaczący negatywny transgraniczny wpływ na środowisko;</w:t>
      </w:r>
    </w:p>
    <w:p w:rsidR="00C073AA" w:rsidRPr="00BA37E4" w:rsidP="00C073AA" w14:paraId="0718C246" w14:textId="39D0BC4C">
      <w:pPr>
        <w:pStyle w:val="NormalHanging12a"/>
      </w:pPr>
      <w:r w:rsidRPr="00BA37E4">
        <w:t>4</w:t>
      </w:r>
      <w:r w:rsidR="00B57A1F">
        <w:t>6</w:t>
      </w:r>
      <w:r w:rsidRPr="00BA37E4">
        <w:t>.</w:t>
      </w:r>
      <w:r w:rsidRPr="00BA37E4">
        <w:tab/>
        <w:t xml:space="preserve">wyraża zaniepokojenie bliskimi stosunkami dyplomatycznymi, gospodarczymi i energetycznymi Turcji z Islamską Republiką Iranu, w tym regularnymi kontaktami na wysokim szczeblu, stałymi stosunkami handlowymi oraz dalszym importem irańskiego gazu; wyraża ubolewanie z powodu niedostosowania się Turcji do reakcji UE na irańskie represje wobec protestujących, w tym do środków ograniczających dotyczących Korpusu Strażników Rewolucji Islamskiej; przyjmuje do wiadomości niedawne sprawy sądowe w Stanach Zjednoczonych dotyczące Halk </w:t>
      </w:r>
      <w:r w:rsidRPr="00BA37E4">
        <w:t>Bankası</w:t>
      </w:r>
      <w:r w:rsidRPr="00BA37E4">
        <w:t xml:space="preserve"> A.Ş. (</w:t>
      </w:r>
      <w:r w:rsidRPr="00BA37E4">
        <w:t>Halkbank</w:t>
      </w:r>
      <w:r w:rsidRPr="00BA37E4">
        <w:t xml:space="preserve">), w tym postępowania związane z uchylaniem się od sankcji i programami prania pieniędzy; wzywa Turcję do stopniowego dostosowania się do stanowisk </w:t>
      </w:r>
      <w:r w:rsidRPr="00BA37E4">
        <w:t>WPZiB</w:t>
      </w:r>
      <w:r w:rsidRPr="00BA37E4">
        <w:t xml:space="preserve"> UE oraz unijnego reżimu sankcji; odnotowuje z zaniepokojeniem, że operacje wojskowe przeciwko reżimowi irańskiemu będą miały konsekwencje dla Turcji ze względu na jej bliskość geograficzną, w tym poprzez skutki uboczne, w szczególności w zakresie ponownej presji migracyjnej; podkreśla znaczenie koordynacji regionalnej i ścisłej współpracy z Turcją i innymi partnerami międzynarodowymi w tym kontekście;</w:t>
      </w:r>
    </w:p>
    <w:p w:rsidR="00C073AA" w:rsidRPr="00BA37E4" w:rsidP="00C073AA" w14:paraId="5BE1AF1A" w14:textId="76C3B307">
      <w:pPr>
        <w:pStyle w:val="NormalHanging12a"/>
      </w:pPr>
      <w:r w:rsidRPr="00BA37E4">
        <w:t>4</w:t>
      </w:r>
      <w:r w:rsidR="00B57A1F">
        <w:t>7</w:t>
      </w:r>
      <w:r w:rsidRPr="00BA37E4">
        <w:t>.</w:t>
      </w:r>
      <w:r w:rsidRPr="00BA37E4">
        <w:tab/>
        <w:t xml:space="preserve">z zadowoleniem przyjmuje długoletnie stanowisko Turcji na rzecz rozwiązania dwupaństwowego w sprawie konfliktu izraelsko-palestyńskiego, które jest zgodne ze stanowiskiem UE, oraz jej aktywne uczestnictwo w „globalnym sojuszu na rzecz wdrożenia rozwiązania dwupaństwowego” na rzecz jego wdrożenia; z zadowoleniem przyjmuje wkład Turcji w działania mediacyjne dotyczące zawieszenia broni w Strefie Gazy oraz w odniesieniu do szczytu pokojowego w sprawie Gazy w październiku 2025 r. w </w:t>
      </w:r>
      <w:r w:rsidRPr="00BA37E4">
        <w:t>Szarm</w:t>
      </w:r>
      <w:r w:rsidRPr="00BA37E4">
        <w:t xml:space="preserve"> el-Szejk; </w:t>
      </w:r>
      <w:r w:rsidRPr="00B57A1F" w:rsidR="000B090E">
        <w:rPr>
          <w:bCs/>
          <w:iCs/>
        </w:rPr>
        <w:t>potępia</w:t>
      </w:r>
      <w:r w:rsidRPr="000B090E" w:rsidR="000B090E">
        <w:rPr>
          <w:bCs/>
          <w:iCs/>
        </w:rPr>
        <w:t xml:space="preserve"> władze Turcji </w:t>
      </w:r>
      <w:r w:rsidRPr="00B57A1F" w:rsidR="000B090E">
        <w:rPr>
          <w:bCs/>
          <w:iCs/>
        </w:rPr>
        <w:t>za aktywne wspieranie Hamasu</w:t>
      </w:r>
      <w:r w:rsidRPr="000B090E" w:rsidR="000B090E">
        <w:rPr>
          <w:bCs/>
          <w:iCs/>
        </w:rPr>
        <w:t xml:space="preserve"> – </w:t>
      </w:r>
      <w:r w:rsidRPr="00B57A1F" w:rsidR="000B090E">
        <w:rPr>
          <w:bCs/>
          <w:iCs/>
        </w:rPr>
        <w:t>ugrupowania uznanego</w:t>
      </w:r>
      <w:r w:rsidRPr="002517B6" w:rsidR="000B090E">
        <w:t xml:space="preserve"> </w:t>
      </w:r>
      <w:r w:rsidRPr="00BA37E4">
        <w:t xml:space="preserve">przez UE za organizację terrorystyczną – i </w:t>
      </w:r>
      <w:r w:rsidRPr="00B57A1F" w:rsidR="000B090E">
        <w:rPr>
          <w:bCs/>
          <w:iCs/>
        </w:rPr>
        <w:t>odmowę</w:t>
      </w:r>
      <w:r w:rsidRPr="002517B6" w:rsidR="000B090E">
        <w:t xml:space="preserve"> </w:t>
      </w:r>
      <w:r w:rsidRPr="00BA37E4">
        <w:t>uznania go za organizację terrorystyczną, co jest niezgodne z polityką zagraniczną i bezpieczeństwa UE; ubolewa nad faktem, że Turcja nie potępiła ataku z 7 października 2023 r. na Izrael, przeprowadzonego przez Hamas; przestrzega Turcję przed nawiązywaniem kontaktów z podmiotami regionalnymi powiązanymi z programami ekstremistycznymi i zauważa, że takie powiązania mogą skomplikować stosunki między UE a Turcją oraz wpłynąć na stabilność w regionie; wzywa Turcję do dalszego zdecydowanego opierania się na systemie wielostronnym, którego trzonem jest Organizacja Narodów Zjednoczonych, jako podstawowych ramach służących wypracowaniu wszechstronnego, sprawiedliwego i trwałego rozwiązania konfliktu izraelsko-palestyńskiego;</w:t>
      </w:r>
    </w:p>
    <w:p w:rsidR="00C073AA" w:rsidRPr="00BA37E4" w:rsidP="00C073AA" w14:paraId="7C0750B5" w14:textId="4CB80057">
      <w:pPr>
        <w:pStyle w:val="NormalHanging12a"/>
      </w:pPr>
      <w:r w:rsidRPr="00BA37E4">
        <w:t>4</w:t>
      </w:r>
      <w:r w:rsidR="00B57A1F">
        <w:t>8</w:t>
      </w:r>
      <w:r w:rsidRPr="00BA37E4">
        <w:t>.</w:t>
      </w:r>
      <w:r w:rsidRPr="00BA37E4">
        <w:tab/>
        <w:t xml:space="preserve">odnotowuje zwiększony wpływ Turcji na rozwój sytuacji w Syrii po upadku reżimu </w:t>
      </w:r>
      <w:r w:rsidRPr="00BA37E4">
        <w:t>Assada</w:t>
      </w:r>
      <w:r w:rsidRPr="00BA37E4">
        <w:t xml:space="preserve"> oraz jej intensywne zaangażowanie we współpracę z obecnymi przejściowymi władzami syryjskimi, co obejmuje zapewnienie im szkolenia wojskowego i wsparcia doradczego; jest nadal zaniepokojony dalszą obecnością sił tureckich w tym kraju oraz udziałem wspieranych przez Turcję ugrupowań zbrojnych w ostatnich aktach przemocy na północy i północnym wschodzie Syrii, w tym przeciwko grupom, które odegrały decydującą rolę w międzynarodowej walce z </w:t>
      </w:r>
      <w:r w:rsidRPr="00BA37E4">
        <w:t>Daisz</w:t>
      </w:r>
      <w:r w:rsidRPr="00BA37E4">
        <w:t xml:space="preserve">; potępia ustanowienie długoterminowej infrastruktury wojskowej i struktur administracyjnych na okupowanych obszarach pod kontrolą Turcji; wzywa Turcję do konstruktywnej współpracy z władzami syryjskimi, do poszanowania suwerenności i integralności terytorialnej Syrii oraz do zajęcia się swoimi obawami dotyczącymi bezpieczeństwa w </w:t>
      </w:r>
      <w:r w:rsidRPr="00BA37E4">
        <w:t xml:space="preserve">pełnej zgodności z prawem międzynarodowym, przy jednoczesnym zapewnieniu wszystkim Syryjczykom, w tym Kurdom, możliwości korzystania z bezpieczeństwa i praw podstawowych, a także do powstrzymania się od jakiejkolwiek ingerencji w procesy wewnętrzne Syrii; potępia ataki na ludność cywilną podczas ostatniego aktu przemocy między armią syryjską a dowodzonymi przez Kurdów Demokratycznymi Siłami Syrii (SDF), powodujące liczne ofiary śmiertelne i przesiedlenia wielu cywilów, a także brak dostępu do pomocy humanitarnej; wyraża nadzieję, że najnowsze porozumienie między syryjskim rządem przejściowym a SDF, które przewiduje stopniowe włączenie kurdyjskich sił i instytucji w struktury państwa oraz historyczne uznanie praw kulturalnych, językowych i obywatelskich Kurdów, pozwoli zapewnić stabilność północno-wschodniego regionu Syrii, co ma zasadnicze znaczenie dla powodzenia </w:t>
      </w:r>
      <w:r w:rsidRPr="00BA37E4">
        <w:t>inkluzywnej</w:t>
      </w:r>
      <w:r w:rsidRPr="00BA37E4">
        <w:t xml:space="preserve"> transformacji politycznej w tym kraju; ostrzega, że każde poważne pogorszenie bezpieczeństwa regionalnego może sprzyjać odrodzeniu się </w:t>
      </w:r>
      <w:r w:rsidRPr="00BA37E4">
        <w:t>Daiszu</w:t>
      </w:r>
      <w:r w:rsidRPr="00BA37E4">
        <w:t xml:space="preserve">; podkreśla, że wszelkie przekazywanie dorosłych bojowników i osób podejrzanych o przynależność do </w:t>
      </w:r>
      <w:r w:rsidRPr="00BA37E4">
        <w:t>Daisz</w:t>
      </w:r>
      <w:r w:rsidRPr="00BA37E4">
        <w:t>, pochodzących z ośrodków detencyjnych w Syrii, do Turcji lub za pośrednictwem Turcji, musi podlegać skutecznym mechanizmom nadzoru, monitorowania i wymiany informacji, w tym w przypadku wszelkich transferów transgranicznych; odnotowuje, że odbudowa gospodarki Syrii wymaga znacznych inwestycji, i docenia zainteresowanie Turcji wniesieniem wkładu w te działania; wyraża poparcie dla ścisłej i konstruktywnej współpracy między UE a Turcją w tym zakresie;</w:t>
      </w:r>
    </w:p>
    <w:p w:rsidR="00C073AA" w:rsidRPr="00BA37E4" w:rsidP="00C073AA" w14:paraId="3FB02EE8" w14:textId="49F1D98E">
      <w:pPr>
        <w:pStyle w:val="NormalHanging12a"/>
      </w:pPr>
      <w:r w:rsidRPr="00BA37E4">
        <w:t>4</w:t>
      </w:r>
      <w:r w:rsidR="00B57A1F">
        <w:t>9</w:t>
      </w:r>
      <w:r w:rsidRPr="00BA37E4">
        <w:t>.</w:t>
      </w:r>
      <w:r w:rsidRPr="00BA37E4">
        <w:tab/>
        <w:t xml:space="preserve">ponownie wyraża poparcie dla normalizacji stosunków między Armenią a Turcją w interesie pojednania, stosunków dobrosąsiedzkich, stabilności i bezpieczeństwa w regionie oraz rozwoju społeczno-gospodarczego, a także z zadowoleniem przyjmuje dotychczasowe postępy, w tym złagodzenie niektórych procedur wizowych, przygotowania do zbliżającego się otwarcia granicy dla obywateli państw trzecich i posiadaczy paszportów dyplomatycznych oraz wznowienie bezpośrednich lotów </w:t>
      </w:r>
      <w:r w:rsidRPr="00BA37E4">
        <w:t>Turkish</w:t>
      </w:r>
      <w:r w:rsidRPr="00BA37E4">
        <w:t xml:space="preserve"> Airlines; zachęca Turcję do zdecydowanego kontynuowania tego procesu w sposób niezależny, bez podporządkowywania go stosunkom z państwami trzecimi; wzywa oba kraje do dalszych działań na rzecz poprawy połączeń komunikacyjnych w celu ułatwienia lądowego połączenia między Europą a Azją, a także do wspierania pojednania historycznego, poprawy klimatu gospodarczego i zacieśnienia kontaktów międzyludzkich; popiera działania Komisji na rzecz przedstawienia międzyregionalnego programu unijnego na rzecz </w:t>
      </w:r>
      <w:r w:rsidRPr="00BA37E4">
        <w:t>konektywności</w:t>
      </w:r>
      <w:r w:rsidRPr="00BA37E4">
        <w:t>, obejmującego Turcję, Armenię i Azerbejdżan – w tym projekty takie jak linia kolejowa Kars-Tbilisi-Baku – z dużym potencjałem przyczynienia się do stabilności w regionie oraz do rozwoju gospodarczego i społecznego; zachęca Turcję do wspierania procesu pokojowego między Armenią a Azerbejdżanem i ponownie zachęca Turcję do uznania ludobójstwa Ormian, aby utorować drogę do prawdziwego pojednania między narodem tureckim i ormiańskim oraz w pełni wywiązać się z zobowiązań dotyczących ochrony ormiańskiego dziedzictwa kulturowego;</w:t>
      </w:r>
    </w:p>
    <w:p w:rsidR="00C073AA" w:rsidRPr="00BA37E4" w:rsidP="00C073AA" w14:paraId="65045D8F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>Szersze stosunki między UE a Turcją</w:t>
      </w:r>
    </w:p>
    <w:p w:rsidR="00C073AA" w:rsidRPr="00BA37E4" w:rsidP="00C073AA" w14:paraId="73862AA3" w14:textId="5E33EF28">
      <w:pPr>
        <w:pStyle w:val="NormalHanging12a"/>
      </w:pPr>
      <w:r>
        <w:t>50</w:t>
      </w:r>
      <w:r w:rsidRPr="00BA37E4">
        <w:t>.</w:t>
      </w:r>
      <w:r w:rsidRPr="00BA37E4">
        <w:tab/>
        <w:t xml:space="preserve">ponownie wyraża głębokie przekonanie, że – abstrahując od procesu akcesyjnego, który obecnie utknął w martwym punkcie ze względu na niespełnienie kryteriów kopenhaskich i brak reform demokratycznych – Turcja jest krajem o strategicznym znaczeniu; podkreśla, jak ważne jest utrzymanie konstruktywnego dialogu i pogłębienie współpracy w obszarach wspólnego zainteresowania strategicznego, w tym w odniesieniu do Cypru, w sposób stopniowy, proporcjonalny i odwracalny i zgodnie z </w:t>
      </w:r>
      <w:r w:rsidRPr="00BA37E4">
        <w:t>konkluzjami Rady Europejskiej z kwietnia 2024 r.; potwierdza, że UE nadal jest zdecydowana utrzymywać jak najlepsze stosunki z Turcją w oparciu o dialog, szacunek i wzajemne zaufanie, zgodnie z prawem międzynarodowym i zasadą stosunków dobrosąsiedzkich;</w:t>
      </w:r>
    </w:p>
    <w:p w:rsidR="00C073AA" w:rsidRPr="00BA37E4" w:rsidP="00C073AA" w14:paraId="7D1E9A6F" w14:textId="0961EC12">
      <w:pPr>
        <w:pStyle w:val="NormalHanging12a"/>
      </w:pPr>
      <w:r w:rsidRPr="00BA37E4">
        <w:t>5</w:t>
      </w:r>
      <w:r w:rsidR="00B57A1F">
        <w:t>1</w:t>
      </w:r>
      <w:r w:rsidRPr="00BA37E4">
        <w:t>.</w:t>
      </w:r>
      <w:r w:rsidRPr="00BA37E4">
        <w:tab/>
        <w:t xml:space="preserve">z zadowoleniem przyjmuje w tym kontekście pogłębienie relacji między UE a Turcją, niezależnie od procesu akcesyjnego, w obszarach wspólnego zainteresowania i zgodnie z zaleceniami zawartymi we wspólnym komunikacie w sprawie stosunków między UE a Turcją z </w:t>
      </w:r>
      <w:r w:rsidRPr="0098736C" w:rsidR="0098736C">
        <w:t xml:space="preserve">dnia </w:t>
      </w:r>
      <w:r w:rsidRPr="00BA37E4">
        <w:t>2</w:t>
      </w:r>
      <w:r w:rsidR="009F2D45">
        <w:t>9</w:t>
      </w:r>
      <w:r w:rsidRPr="00BA37E4">
        <w:t xml:space="preserve"> listopada 2023 r., które to pogłębienie przebiega w sposób stopniowy, proporcjonalny i odwracalny; ponadto z zadowoleniem przyjmuje niedawne dialogi wysokiego szczebla dotyczące handlu i gospodarki, migracji i bezpieczeństwa, klimatu oraz nauki, badań, technologii i innowacji; ponownie wzywa do wznowienia wszystkich odpowiednich dialogów wysokiego szczebla oraz do ustanowienia w razie potrzeby zorganizowanych dialogów wysokiego szczebla w sprawie współpracy sektorowej, aby sprostać innym wspólnym wyzwaniom;</w:t>
      </w:r>
    </w:p>
    <w:p w:rsidR="00C073AA" w:rsidRPr="00BA37E4" w:rsidP="00C073AA" w14:paraId="1A1791D5" w14:textId="5D34620F">
      <w:pPr>
        <w:pStyle w:val="NormalHanging12a"/>
      </w:pPr>
      <w:r w:rsidRPr="00BA37E4">
        <w:t>5</w:t>
      </w:r>
      <w:r w:rsidR="00B57A1F">
        <w:t>2</w:t>
      </w:r>
      <w:r w:rsidRPr="00BA37E4">
        <w:t>.</w:t>
      </w:r>
      <w:r w:rsidRPr="00BA37E4">
        <w:tab/>
        <w:t xml:space="preserve">popiera pogłębienie programu na rzecz </w:t>
      </w:r>
      <w:r w:rsidRPr="00BA37E4">
        <w:t>konektywności</w:t>
      </w:r>
      <w:r w:rsidRPr="00BA37E4">
        <w:t xml:space="preserve"> z Turcją w dziedzinie energii, transportu, technologii cyfrowych i kontaktów międzyludzkich, zgodnie z prawem unijnym i międzynarodowym, jako przykład dobrej pragmatycznej i wzajemnie korzystnej współpracy, która może sprzyjać pokojowi i stabilności w regionie; podkreśla strategiczne znaczenie przyspieszenia realizacji kluczowych projektów infrastrukturalnych poprawiających </w:t>
      </w:r>
      <w:r w:rsidRPr="00BA37E4">
        <w:t>konektywność</w:t>
      </w:r>
      <w:r w:rsidRPr="00BA37E4">
        <w:t xml:space="preserve"> między UE a Turcją, przy zapewnieniu dostosowania do rozszerzonych sieci transeuropejskich; podkreśla znaczenie Turcji dla rozwoju i funkcjonowania inicjatyw w zakresie </w:t>
      </w:r>
      <w:r w:rsidRPr="00BA37E4">
        <w:t>konektywności</w:t>
      </w:r>
      <w:r w:rsidRPr="00BA37E4">
        <w:t xml:space="preserve"> transkontynentalnej, w tym coraz ważniejszego alternatywnego szlaku handlowego między Europą a Azją (korytarz środkowy), który mógłby znacząco przyczynić się do wzmocnienia odporności łańcucha dostaw UE i współpracy gospodarczej oraz może odegrać ważną rolę w realizacji szerszych celów UE w zakresie autonomii strategicznej; wzywa do terminowej realizacji projektu autostrady wokół Morza Czarnego i połączeń kolejowych; z zadowoleniem przyjmuje gotowość Turcji do inwestowania w budowę autostrady wokół Morza Czarnego łączącej Turcję, Bułgarię i Rumunię;</w:t>
      </w:r>
    </w:p>
    <w:p w:rsidR="00C073AA" w:rsidRPr="00BA37E4" w:rsidP="00C073AA" w14:paraId="15425573" w14:textId="3DA2D010">
      <w:pPr>
        <w:pStyle w:val="NormalHanging12a"/>
      </w:pPr>
      <w:r w:rsidRPr="00BA37E4">
        <w:t>5</w:t>
      </w:r>
      <w:r w:rsidR="00B57A1F">
        <w:t>3</w:t>
      </w:r>
      <w:r w:rsidRPr="00BA37E4">
        <w:t>.</w:t>
      </w:r>
      <w:r w:rsidRPr="00BA37E4">
        <w:tab/>
        <w:t xml:space="preserve">wzywa Komisję, by w oparciu o pozytywne doświadczenia z innymi krajami kandydującymi podjęła niezbędne działania w celu jak najszybszego rozszerzenia unijnego systemu znoszącego opłaty </w:t>
      </w:r>
      <w:r w:rsidRPr="00BA37E4">
        <w:t>roamingowe</w:t>
      </w:r>
      <w:r w:rsidRPr="00BA37E4">
        <w:t xml:space="preserve"> również na Turcję; wzywa Komisję do rozważenia rozszerzenia jednolitego obszaru płatności w euro i innych odpowiednich programów z myślą o zacieśnianiu kontaktów międzyludzkich; z zadowoleniem przyjmuje znaczne postępy poczynione we współpracy naukowej i badawczej w okresie sprawozdawczym, w szczególności związane z uczestnictwem w programie „Horyzont Europa”; popiera udział Turcji w Unijnym Mechanizmie Ochrony Ludności i wzywa do pogłębienia współpracy między UE a Turcją w dziedzinie ochrony ludności i odpornej infrastruktury, zwracając uwagę na potrzebę wzmocnienia zdecentralizowanych zdolności gmin, udziału społeczeństwa obywatelskiego, lepszej koordynacji i komunikacji publicznej;</w:t>
      </w:r>
    </w:p>
    <w:p w:rsidR="00C073AA" w:rsidRPr="00BA37E4" w:rsidP="00C073AA" w14:paraId="2CD4D1AE" w14:textId="2A14BDE5">
      <w:pPr>
        <w:pStyle w:val="NormalHanging12a"/>
      </w:pPr>
      <w:r w:rsidRPr="00BA37E4">
        <w:t>5</w:t>
      </w:r>
      <w:r w:rsidR="00B57A1F">
        <w:t>4</w:t>
      </w:r>
      <w:r w:rsidRPr="00BA37E4">
        <w:t>.</w:t>
      </w:r>
      <w:r w:rsidRPr="00BA37E4">
        <w:tab/>
        <w:t xml:space="preserve">ponownie zaznacza, że trzeba w pełni wdrożyć i zmodernizować unię celną UE, zwłaszcza biorąc pod uwagę obecny krajobraz geopolityczny; ma świadomość, jak duże znaczenie przywiązują do aktualizacji tego obowiązującego od ponad 30 lat instrumentu duże sektory gospodarek UE i Turcji; jest gotów wspierać unowocześnioną unię celną o szerszym, wzajemnie korzystnym zakresie, która mogłaby obejmować znaczne korzyści gospodarcze i strategiczne dla obu partnerów, wzmacniając handel, inwestycje i </w:t>
      </w:r>
      <w:r w:rsidRPr="00BA37E4">
        <w:t xml:space="preserve">odporność łańcucha dostaw, wspierając transformację cyfrową i ekologiczną, zamówienia publiczne i zobowiązania dotyczące zrównoważonego rozwoju oraz przyczyniając się do bezpieczeństwa gospodarczego zarówno UE, jak i Turcji; podkreśla jednak, że aby Parlament na zakończenie tego procesu wyraził zgodę, taka modernizacja musiałaby opierać się na silnej warunkowości dotyczącej praw człowieka i podstawowych wolności, poszanowania prawa międzynarodowego, dostosowania się do </w:t>
      </w:r>
      <w:r w:rsidRPr="00BA37E4">
        <w:t>WPZiB</w:t>
      </w:r>
      <w:r w:rsidRPr="00BA37E4">
        <w:t xml:space="preserve"> i stosunków dobrosąsiedzkich (co obejmuje pełne wdrożenie przez Turcję protokołu dodatkowego w sprawie rozszerzenia układu z Ankary na wszystkie państwa członkowskie bez wyjątku i w niedyskryminacyjny sposób), a także obejmować środki wspierające zieloną transformację i pomagające małym i średnim przedsiębiorstwom w dostosowaniu się do nowych warunków; z zadowoleniem przyjmuje pozytywne działania, w tym ograniczenie barier handlowych zaobserwowane w ostatnim okresie, również po przeprowadzeniu dialogu wysokiego szczebla poświęconego handlowi;</w:t>
      </w:r>
    </w:p>
    <w:p w:rsidR="00C073AA" w:rsidRPr="00BA37E4" w:rsidP="00C073AA" w14:paraId="7B7CBCD3" w14:textId="78C5C9FD">
      <w:pPr>
        <w:pStyle w:val="NormalHanging12a"/>
      </w:pPr>
      <w:r w:rsidRPr="00BA37E4">
        <w:t>5</w:t>
      </w:r>
      <w:r w:rsidR="00B57A1F">
        <w:t>5</w:t>
      </w:r>
      <w:r w:rsidRPr="00BA37E4">
        <w:t>.</w:t>
      </w:r>
      <w:r w:rsidRPr="00BA37E4">
        <w:tab/>
        <w:t>podkreśla znaczenie dla handlu między UE a Turcją przyszłych inicjatyw Komisji, takich jak Akt w sprawie przyspieszenia rozwoju przemysłu i podejście „</w:t>
      </w:r>
      <w:r w:rsidRPr="00BA37E4">
        <w:t>Made</w:t>
      </w:r>
      <w:r w:rsidRPr="00BA37E4">
        <w:t xml:space="preserve"> in Europe”; inicjatywy te mogą wiązać się z surowymi wymogami, które mogą ostatecznie wymagać gruntownej zmiany przepisów UE dotyczących zamówień publicznych i poważnie wpłynąć na już i tak przestarzałą unię celną między UE a Turcją; z zadowoleniem odnotowuje fakt, że wniosek Komisji dotyczący Aktu w sprawie przyspieszenia rozwoju przemysłu już teraz przewiduje, że materiały pochodzące od partnerów, z którymi UE zawarła umowę ustanawiającą strefę wolnego handlu lub unię celną (takimi jak Turcja), będzie się uznawać za będące pochodzenia unijnego; popiera to podejście i wzywa do tego, by wszelkie przyszłe projekty aktów prawnych w tej dziedzinie były zgodne z tym duchem i zawsze uwzględniały znaczenie dalszej integracji rynków i gospodarek krajów kandydujących, zwłaszcza tych, które zawarły unię celną z UE;</w:t>
      </w:r>
    </w:p>
    <w:p w:rsidR="00C073AA" w:rsidRPr="00BA37E4" w:rsidP="00C073AA" w14:paraId="7B64E8D4" w14:textId="0E06944B">
      <w:pPr>
        <w:pStyle w:val="NormalHanging12a"/>
      </w:pPr>
      <w:r w:rsidRPr="00BA37E4">
        <w:t>5</w:t>
      </w:r>
      <w:r w:rsidR="00B57A1F">
        <w:t>6</w:t>
      </w:r>
      <w:r w:rsidRPr="00BA37E4">
        <w:t>.</w:t>
      </w:r>
      <w:r w:rsidRPr="00BA37E4">
        <w:tab/>
        <w:t xml:space="preserve">z głębokim ubolewaniem zauważa, że Turcja nie poczyniła postępów w kierunku spełnienia wymaganych kryteriów liberalizacji reżimu wizowego; ponownie wyraża gotowość do rozpoczęcia procesu liberalizacji reżimu wizowego, gdy tylko władze tureckie w pełni spełnią sześć jasno określonych niespełnionych wymogów w sposób niedyskryminacyjny wobec wszystkich państw członkowskich, dostosowując się do polityki wizowej UE; ubolewa, że obywatele Turcji mają problemy z wnioskami o wizy do państw członkowskich UE ze względu na znaczny wzrost zainteresowania i obawy przed nadużywaniem systemu; uznaje jednak polityczne zaangażowanie w poprawę dostępu do wiz i apeluje o wzmożone starania obu stron w celu usunięcia pozostałych barier technicznych i administracyjnych; wzywa państwa członkowskie do zwiększenia zasobów przeznaczonych na tę kwestię; popiera środki dotyczące ułatwień wizowych, w szczególności w odniesieniu do działalności gospodarczej i studentów uczestniczących w programie Erasmus; głęboko ubolewa nad ciągłymi próbami obwiniania UE za brak postępów w tej dziedzinie przez władze tureckie, które jednocześnie nie podejmują niezbędnych działań w celu spełnienia pozostałych wymogów; przypomina Turcji, że brak wymiernych i skumulowanych postępów w zakresie niespełnionych warunków ma bezpośredni wpływ na działalność gospodarczą i studentów uczestniczących w programie Erasmus; ubolewa, że rząd turecki nadużywa paszportów </w:t>
      </w:r>
      <w:r w:rsidR="00C10482">
        <w:t>specjalnych</w:t>
      </w:r>
      <w:r w:rsidRPr="00BA37E4">
        <w:t xml:space="preserve">, których liczba jest nieznana, a jednocześnie nie podejmuje niezbędnych działań w celu stworzenia ram, które mogłyby przynieść korzyści całemu społeczeństwu; wzywa rząd turecki do usunięcia pozostałych przeszkód uniemożliwiających wznowienie dialogu w sprawie liberalizacji reżimu wizowego i jednocześnie wzywa Radę, aby po podjęciu tych kroków również podjęła działania; </w:t>
      </w:r>
      <w:r w:rsidRPr="00BA37E4">
        <w:t xml:space="preserve">odnotowuje decyzję UE i państw członkowskich z </w:t>
      </w:r>
      <w:r w:rsidRPr="0098736C" w:rsidR="0098736C">
        <w:t xml:space="preserve">dnia </w:t>
      </w:r>
      <w:r w:rsidRPr="00BA37E4">
        <w:t>15 lipca 2025 r. o wprowadzeniu ram kaskadowych dotyczących wiz;</w:t>
      </w:r>
    </w:p>
    <w:p w:rsidR="00C073AA" w:rsidRPr="00BA37E4" w:rsidP="00C073AA" w14:paraId="694508B8" w14:textId="57CE81CE">
      <w:pPr>
        <w:pStyle w:val="NormalHanging12a"/>
      </w:pPr>
      <w:r w:rsidRPr="00BA37E4">
        <w:t>5</w:t>
      </w:r>
      <w:r w:rsidR="00B57A1F">
        <w:t>7</w:t>
      </w:r>
      <w:r w:rsidRPr="00BA37E4">
        <w:t>.</w:t>
      </w:r>
      <w:r w:rsidRPr="00BA37E4">
        <w:tab/>
        <w:t>z zadowoleniem przyjmuje wznowienie działalności Europejskiego Banku Inwestycyjnego w Turcji oraz turecką platformę inwestycyjną w ramach Europejskiego Funduszu na rzecz Zrównoważonego Rozwoju, która umożliwia silniejsze wsparcie inwestycyjne za pośrednictwem programów gwarancyjnych w obszarze trzech nadrzędnych priorytetów politycznych, a mianowicie w ramach Zielonego Ładu i strategii Global Gateway oraz w zakresie zatrudnienia i wzrostu gospodarczego, zgodnie z odpowiednimi warunkami dotyczącymi poszanowania wartości UE; podkreśla, że trzeba dopilnować, by żadne programy UE nie przynosiły korzyści podmiotom w Turcji, które nie przestrzegają podstawowych wartości UE;</w:t>
      </w:r>
    </w:p>
    <w:p w:rsidR="00C073AA" w:rsidRPr="00BA37E4" w:rsidP="00C073AA" w14:paraId="186C76DA" w14:textId="2856A496">
      <w:pPr>
        <w:pStyle w:val="NormalHanging12a"/>
      </w:pPr>
      <w:r w:rsidRPr="00BA37E4">
        <w:t>5</w:t>
      </w:r>
      <w:r w:rsidR="00B57A1F">
        <w:t>8</w:t>
      </w:r>
      <w:r w:rsidRPr="00BA37E4">
        <w:t>.</w:t>
      </w:r>
      <w:r w:rsidRPr="00BA37E4">
        <w:tab/>
        <w:t xml:space="preserve">popiera decyzję podjętą przez stronę UE wspólnej komisji parlamentarnej UE–Turcja o przełożeniu jej 82. posiedzenia zaplanowanego na dni 14–15 kwietnia 2025 r. w Ankarze, w następstwie zatrzymania i aresztowania burmistrza Stambułu </w:t>
      </w:r>
      <w:r w:rsidRPr="00BA37E4">
        <w:t>Ekrema</w:t>
      </w:r>
      <w:r w:rsidRPr="00BA37E4">
        <w:t xml:space="preserve"> </w:t>
      </w:r>
      <w:r w:rsidRPr="00BA37E4">
        <w:t>İmamoğlu</w:t>
      </w:r>
      <w:r w:rsidRPr="00BA37E4">
        <w:t xml:space="preserve"> i innych osób; podtrzymuje pogląd, że dialog parlamentarny pozostaje kluczową częścią relacji między UE a Turcją, i wyraża nadzieję, że prace wspólnej komisji parlamentarnej UE–Turcja zostaną wkrótce wznowione, gdy pozwolą na to warunki; ubolewa nad decyzją władz tureckich o niezaproszeniu Parlamentu Europejskiego do obserwacji wyborów prezydenckich i parlamentarnych w maju 2023 r., w kontekście zarzutów dotyczących niesprawiedliwego traktowania, i odnotowuje, że zaproszono Zgromadzenie Parlamentarne Rady Europy i Zgromadzenie Parlamentarne Organizacji Bezpieczeństwa i Współpracy w Europie; wyraża nadzieję, że misja Parlamentu Europejskiego zostanie zaproszona do obserwowania następnych wyborów w tym kraju;</w:t>
      </w:r>
    </w:p>
    <w:p w:rsidR="00C073AA" w:rsidRPr="00BA37E4" w:rsidP="00C073AA" w14:paraId="14185447" w14:textId="77777777">
      <w:pPr>
        <w:pStyle w:val="Normal12a"/>
        <w:rPr>
          <w:b/>
          <w:bCs/>
          <w:i/>
          <w:iCs/>
        </w:rPr>
      </w:pPr>
      <w:r w:rsidRPr="00BA37E4">
        <w:rPr>
          <w:b/>
          <w:i/>
        </w:rPr>
        <w:t>Dalsze perspektywy stosunków między UE a Turcją</w:t>
      </w:r>
    </w:p>
    <w:p w:rsidR="00C073AA" w:rsidRPr="00BA37E4" w:rsidP="00C073AA" w14:paraId="0465DB6C" w14:textId="1EF4E5C9">
      <w:pPr>
        <w:pStyle w:val="NormalHanging12a"/>
      </w:pPr>
      <w:r w:rsidRPr="00BA37E4">
        <w:t>5</w:t>
      </w:r>
      <w:r w:rsidR="00B57A1F">
        <w:t>9</w:t>
      </w:r>
      <w:r w:rsidRPr="00BA37E4">
        <w:t>.</w:t>
      </w:r>
      <w:r w:rsidRPr="00BA37E4">
        <w:tab/>
        <w:t>ponownie zaznacza, że rząd turecki nie podjął niezbędnych kroków, aby zaradzić fundamentalnym niedociągnięciom w obszarze demokracji w kraju, i w związku z tym twierdzi, że w obecnych okolicznościach nie można wznowić procesu przystąpienia Turcji do UE, choć uznaje demokratyczne i proeuropejskie aspiracje znacznej części społeczeństwa tureckiego; odnotowuje niedawne apele ważnych przywódców opozycji tureckiej opowiadających się za wznowieniem zaangażowania i ponownym rozpoczęciem negocjacji akcesyjnych; wyraża uznanie dla tego nowatorskiego i odważnego podejścia; pozostaje jednak sceptyczny co do jego wsparcia, chyba że ze strony rządu tureckiego nadejdzie wyraźny sygnał o jego gotowości do ponownego zaangażowania się w proces przystąpienia do UE poprzez konkretne i wiarygodne działania;</w:t>
      </w:r>
    </w:p>
    <w:p w:rsidR="00C073AA" w:rsidRPr="00BA37E4" w:rsidP="00C073AA" w14:paraId="529F777B" w14:textId="34201AF3">
      <w:pPr>
        <w:pStyle w:val="NormalHanging12a"/>
      </w:pPr>
      <w:r>
        <w:t>60</w:t>
      </w:r>
      <w:r w:rsidRPr="00BA37E4">
        <w:t>.</w:t>
      </w:r>
      <w:r w:rsidRPr="00BA37E4">
        <w:tab/>
        <w:t>przypomina, że podobnie jak w przypadku wszystkich innych kandydatów proces akcesyjny zależy od pełnej zgodności z kryteriami kopenhaskimi i od normalizacji stosunków z wszystkimi państwami członkowskimi UE; podkreśla, że konstruktywne zaangażowanie Turcji, w tym w odniesieniu do problemu cypryjskiego, nadal ma kluczowe znaczenie dla zacieśnienia współpracy między UE a Turcją; uważa w związku z tym, że dążąc do realizacji swoich deklarowanych aspiracji unijnych, władze tureckie powinny kłaść mniejszy nacisk na potencjał kraju w zakresie bezpieczeństwa i obrony, a zamiast tego zająć się poważnym kryzysem demokracji w kraju; zwraca uwagę, że zobowiązuje się do przyspieszenia procesu akcesyjnego, pod warunkiem że rząd turecki podejmie te niezbędne kroki;</w:t>
      </w:r>
    </w:p>
    <w:p w:rsidR="00C073AA" w:rsidRPr="00BA37E4" w:rsidP="00C073AA" w14:paraId="4AB77AD5" w14:textId="4EB6A854">
      <w:pPr>
        <w:pStyle w:val="NormalHanging12a"/>
      </w:pPr>
      <w:r w:rsidRPr="00BA37E4">
        <w:t>6</w:t>
      </w:r>
      <w:r w:rsidR="00B57A1F">
        <w:t>1</w:t>
      </w:r>
      <w:r w:rsidRPr="00BA37E4">
        <w:t>.</w:t>
      </w:r>
      <w:r w:rsidRPr="00BA37E4">
        <w:tab/>
        <w:t>ponownie wzywa rząd Turcji do konstruktywnej współpracy z instytucjami UE i państwami członkowskimi oraz do kontynuowania prac na rzecz bliższego, bardziej dynamicznego i strategicznego partnerstwa, wykraczającego poza obecnie zamrożony proces akcesyjny, na podstawie odpowiednich konkluzji Rady i Rady Europejskiej oraz ustalonych warunków; podkreśla potrzebę rozpoczęcia procesu refleksji nad tym, w jaki sposób te nowe konstruktywne i postępowe ramy dla stosunków między UE a Turcją, opierające się na poszanowaniu zasad demokratycznych, praworządności i praw podstawowych, mogą uwzględniać interesy wszystkich zainteresowanych stron; podkreśla potrzebę wzmocnienia partnerstwa między UE a Turcją, na przykład poprzez modernizację i udoskonalenie obecnego układu o stowarzyszeniu;</w:t>
      </w:r>
    </w:p>
    <w:p w:rsidR="00C073AA" w:rsidRPr="00BA37E4" w:rsidP="00C073AA" w14:paraId="7BF00C5A" w14:textId="5064865E">
      <w:pPr>
        <w:pStyle w:val="NormalHanging12a"/>
      </w:pPr>
      <w:r w:rsidRPr="00BA37E4">
        <w:t>6</w:t>
      </w:r>
      <w:r w:rsidR="00B57A1F">
        <w:t>2</w:t>
      </w:r>
      <w:r w:rsidRPr="00BA37E4">
        <w:t>.</w:t>
      </w:r>
      <w:r w:rsidRPr="00BA37E4">
        <w:tab/>
        <w:t>uważa jednak, że dalsze osłabianie demokracji i praworządności w najbliższej przyszłości spowoduje jedynie, że kraj ten będzie się coraz bardziej oddalał od UE, niszcząc zaufanie, które jest niezbędne do rzeczywistego zacieśnienia współpracy i partnerstwa w obszarach będących przedmiotem wspólnego zainteresowania, takich jak handel, energia czy bezpieczeństwo;</w:t>
      </w:r>
    </w:p>
    <w:p w:rsidR="00C073AA" w:rsidRPr="00BA37E4" w:rsidP="00C073AA" w14:paraId="4316C3C5" w14:textId="3B83948C">
      <w:pPr>
        <w:pStyle w:val="NormalHanging12a"/>
      </w:pPr>
      <w:r w:rsidRPr="00BA37E4">
        <w:t>6</w:t>
      </w:r>
      <w:r w:rsidR="00B57A1F">
        <w:t>3</w:t>
      </w:r>
      <w:r w:rsidRPr="00BA37E4">
        <w:t>.</w:t>
      </w:r>
      <w:r w:rsidRPr="00BA37E4">
        <w:tab/>
        <w:t xml:space="preserve">uważa, że w interesie UE leży ponowna ocena, w jaki sposób Turcja może pozostać związana z UE, nie tylko pod względem standardów, ale także wartości i zasad, oraz opracowanie inicjatyw politycznych zgodnych z tym celem; </w:t>
      </w:r>
      <w:r w:rsidRPr="00B57A1F" w:rsidR="00460AD8">
        <w:rPr>
          <w:bCs/>
          <w:iCs/>
        </w:rPr>
        <w:t>jest zaniepokojony stopniową konsolidacją kolejnego autokratycznego systemu w bezpośrednim sąsiedztwie UE, ponieważ taki rozwój sytuacji ma bezpośrednie i dalekosiężne konsekwencje dla długoterminowych interesów i stabilności Unii;</w:t>
      </w:r>
      <w:r w:rsidRPr="0029261C" w:rsidR="00460AD8">
        <w:t xml:space="preserve"> </w:t>
      </w:r>
      <w:r w:rsidRPr="00BA37E4">
        <w:t>wzywa wszystkie instytucje UE, państwa członkowskie i Radę Europejską do głośnego sprzeciwiania się ciągłemu regresowi demokracji i naruszeniom praw człowieka w Turcji</w:t>
      </w:r>
      <w:r w:rsidRPr="00B57A1F" w:rsidR="00460AD8">
        <w:rPr>
          <w:bCs/>
          <w:iCs/>
        </w:rPr>
        <w:t>, w szczególności w odniesieniu do trwającego demontażu demokracji pluralistycznej</w:t>
      </w:r>
      <w:r w:rsidRPr="00BA37E4">
        <w:t>, ponieważ nie stoi to w sprzeczności z dążeniem do jak najlepszych stosunków między UE a tym krajem; wzywa Komisję i Europejską Służbę Działań Zewnętrznych do dopilnowania, by programy wizyt wysokich rangą urzędników w Turcji obejmowały szerokie grono przedstawicieli środowisk politycznych i społeczeństwa obywatelskiego, co pozwoli uzyskać pełniejszy obraz sytuacji w tym kraju;</w:t>
      </w:r>
    </w:p>
    <w:p w:rsidR="00C073AA" w:rsidRPr="00BA37E4" w:rsidP="00C073AA" w14:paraId="5B6125C5" w14:textId="41E694E1">
      <w:pPr>
        <w:pStyle w:val="NormalHanging12a"/>
      </w:pPr>
      <w:r w:rsidRPr="00BA37E4">
        <w:t>6</w:t>
      </w:r>
      <w:r w:rsidR="00B57A1F">
        <w:t>4</w:t>
      </w:r>
      <w:r w:rsidRPr="00BA37E4">
        <w:t>.</w:t>
      </w:r>
      <w:r w:rsidRPr="00BA37E4">
        <w:tab/>
        <w:t>przypomina o swoim zdecydowanym zaangażowaniu na rzecz utrzymania wsparcia dla niezależnego społeczeństwa obywatelskiego w Turcji; wzywa Komisję do podtrzymywania i zwiększania wsparcia politycznego i finansowego dla prężnego i prodemokratycznego społeczeństwa obywatelskiego w Turcji, którego działania mogą przyczynić się do wykształcenia woli politycznej niezbędnej do pogłębienia stosunków między UE a Turcją; jest zdania, że choć podejścia oparte na zachętach i podejścia transakcyjne sprawdzają się w wielu obszarach współpracy między UE a Turcją, nie przyczyniły się one do postępów w demokratyzacji tego kraju; podkreśla w tym względzie, że wznowienie procesu akcesyjnego zależy przede wszystkim od niezachwianej woli politycznej władz Turcji i społeczeństwa tureckiego, aby stać się pełnoprawną demokracją, co nie może zostać narzucone przez UE;</w:t>
      </w:r>
    </w:p>
    <w:p w:rsidR="00C073AA" w:rsidRPr="00BA37E4" w:rsidP="00C073AA" w14:paraId="38F2E22A" w14:textId="45EA434B">
      <w:pPr>
        <w:pStyle w:val="NormalHanging12a"/>
      </w:pPr>
      <w:r w:rsidRPr="00BA37E4">
        <w:t>6</w:t>
      </w:r>
      <w:r w:rsidR="00B57A1F">
        <w:t>5</w:t>
      </w:r>
      <w:r w:rsidRPr="00BA37E4">
        <w:t>.</w:t>
      </w:r>
      <w:r w:rsidRPr="00BA37E4">
        <w:tab/>
        <w:t xml:space="preserve">ponawia apel o umocnienie i pogłębienie wzajemnej wiedzy oraz zrozumienia między społeczeństwami Turcji i UE, a także o wspieranie rozwoju kultury i wymiany społeczno-kulturowej oraz zwalczanie wszelkich przejawów uprzedzeń społecznych, religijnych, etnicznych lub kulturowych; w tym kontekście podkreśla znaczenie ułatwiania wymiany międzyludzkiej dla stosunków między UE a Turcją, zwłaszcza w kontekście promowania demokracji, praworządności i praw człowieka; zachęca Turcję i </w:t>
      </w:r>
      <w:r w:rsidRPr="00BA37E4">
        <w:t>UE do propagowania wspólnych wartości, w szczególności poprzez wspieranie młodzieży;</w:t>
      </w:r>
    </w:p>
    <w:p w:rsidR="00C073AA" w:rsidRPr="00BA37E4" w:rsidP="00C073AA" w14:paraId="58DB38CD" w14:textId="77777777">
      <w:pPr>
        <w:pStyle w:val="NormalCenter12a"/>
      </w:pPr>
      <w:r w:rsidRPr="00BA37E4">
        <w:t>°</w:t>
      </w:r>
    </w:p>
    <w:p w:rsidR="00C073AA" w:rsidRPr="00BA37E4" w:rsidP="00C073AA" w14:paraId="6D1EFE9D" w14:textId="77777777">
      <w:pPr>
        <w:pStyle w:val="NormalCenter12a"/>
      </w:pPr>
      <w:r w:rsidRPr="00BA37E4">
        <w:t>°</w:t>
      </w:r>
      <w:r w:rsidRPr="00BA37E4">
        <w:tab/>
        <w:t>°</w:t>
      </w:r>
    </w:p>
    <w:p w:rsidR="00BA37E4" w:rsidRPr="00BA37E4" w:rsidP="00BA37E4" w14:paraId="591ACDB0" w14:textId="47247FFE">
      <w:pPr>
        <w:pStyle w:val="NormalHanging12a"/>
      </w:pPr>
      <w:r w:rsidRPr="00BA37E4">
        <w:t>6</w:t>
      </w:r>
      <w:r w:rsidR="00B57A1F">
        <w:t>6</w:t>
      </w:r>
      <w:r w:rsidRPr="00BA37E4">
        <w:t>.</w:t>
      </w:r>
      <w:r w:rsidRPr="00BA37E4">
        <w:tab/>
        <w:t>zobowiązuje swoją przewodniczącą do przekazania niniejszej rezolucji przewodniczącemu Rady Europejskiej, Radzie i Komisji; zwraca się o przetłumaczenie niniejszej rezolucji na język turecki i przekazanie jej prezydentowi, rządowi i parlamentowi Republiki Turcji.</w:t>
      </w:r>
    </w:p>
    <w:p w:rsidR="00E365E1" w:rsidRPr="00BA37E4" w:rsidP="00EF1804" w14:paraId="6FE5E92D" w14:textId="30C77098"/>
    <w:sectPr w:rsidSect="00BA37E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519DA56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6ABCB3E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55E69948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EF1804" w:rsidRPr="00BA37E4" w14:paraId="5FA9D8E2" w14:textId="77777777">
      <w:r w:rsidRPr="00BA37E4">
        <w:separator/>
      </w:r>
    </w:p>
  </w:footnote>
  <w:footnote w:type="continuationSeparator" w:id="1">
    <w:p w:rsidR="00EF1804" w:rsidRPr="00BA37E4" w14:paraId="15118C1C" w14:textId="77777777">
      <w:r w:rsidRPr="00BA37E4">
        <w:continuationSeparator/>
      </w:r>
    </w:p>
  </w:footnote>
  <w:footnote w:id="2">
    <w:p w:rsidR="00C05291" w:rsidRPr="00EF05D8" w:rsidP="00BA37E4" w14:paraId="128852FA" w14:textId="0D206476">
      <w:pPr>
        <w:pStyle w:val="FootnoteText"/>
        <w:ind w:left="567" w:hanging="567"/>
        <w:rPr>
          <w:sz w:val="24"/>
          <w:szCs w:val="24"/>
          <w:lang w:val="pl-PL"/>
        </w:rPr>
      </w:pPr>
      <w:r>
        <w:rPr>
          <w:rStyle w:val="FootnoteReference"/>
        </w:rPr>
        <w:footnoteRef/>
      </w:r>
      <w:r w:rsidRPr="00EF05D8">
        <w:rPr>
          <w:sz w:val="24"/>
          <w:szCs w:val="24"/>
          <w:lang w:val="pl-PL"/>
        </w:rPr>
        <w:t xml:space="preserve"> </w:t>
      </w:r>
      <w:r w:rsidRPr="00EF05D8">
        <w:rPr>
          <w:sz w:val="24"/>
          <w:szCs w:val="24"/>
          <w:lang w:val="pl-PL"/>
        </w:rPr>
        <w:tab/>
        <w:t xml:space="preserve">Dz.U. L 134 z </w:t>
      </w:r>
      <w:r w:rsidRPr="00EF05D8">
        <w:rPr>
          <w:sz w:val="24"/>
          <w:szCs w:val="24"/>
          <w:lang w:val="pl-PL"/>
        </w:rPr>
        <w:t>7.5.2014</w:t>
      </w:r>
      <w:r w:rsidRPr="00EF05D8">
        <w:rPr>
          <w:sz w:val="24"/>
          <w:szCs w:val="24"/>
          <w:lang w:val="pl-PL"/>
        </w:rPr>
        <w:t xml:space="preserve">, s. 3, ELI: </w:t>
      </w:r>
      <w:hyperlink r:id="rId1" w:tgtFrame="http://data.europa.eu/eli/agree_internation/2014/252/oj" w:history="1">
        <w:r w:rsidRPr="00EF05D8">
          <w:rPr>
            <w:rStyle w:val="Hyperlink"/>
            <w:sz w:val="24"/>
            <w:szCs w:val="24"/>
            <w:lang w:val="pl-PL"/>
          </w:rPr>
          <w:t>http://data.europa.eu/eli/agree_internation/2014/252/oj</w:t>
        </w:r>
      </w:hyperlink>
      <w:r w:rsidRPr="00EF05D8">
        <w:rPr>
          <w:sz w:val="24"/>
          <w:szCs w:val="24"/>
          <w:lang w:val="pl-PL"/>
        </w:rPr>
        <w:t>.</w:t>
      </w:r>
    </w:p>
  </w:footnote>
  <w:footnote w:id="3">
    <w:p w:rsidR="00EF05D8" w:rsidRPr="00C10482" w:rsidP="007A27FB" w14:paraId="2ACE48AF" w14:textId="419DCD12">
      <w:pPr>
        <w:pStyle w:val="FootnoteText"/>
        <w:ind w:left="567" w:hanging="567"/>
        <w:rPr>
          <w:sz w:val="24"/>
          <w:szCs w:val="24"/>
          <w:lang w:val="pl-PL"/>
        </w:rPr>
      </w:pPr>
      <w:r w:rsidRPr="007A27FB">
        <w:rPr>
          <w:rStyle w:val="FootnoteReference"/>
          <w:sz w:val="24"/>
          <w:szCs w:val="24"/>
        </w:rPr>
        <w:footnoteRef/>
      </w:r>
      <w:r w:rsidRPr="00C10482">
        <w:rPr>
          <w:sz w:val="24"/>
          <w:szCs w:val="24"/>
          <w:lang w:val="pl-PL"/>
        </w:rPr>
        <w:t xml:space="preserve"> </w:t>
      </w:r>
      <w:r w:rsidRPr="00C10482">
        <w:rPr>
          <w:sz w:val="24"/>
          <w:szCs w:val="24"/>
          <w:lang w:val="pl-PL"/>
        </w:rPr>
        <w:tab/>
        <w:t>Teksty przyjęte, P10_</w:t>
      </w:r>
      <w:r w:rsidRPr="00C10482">
        <w:rPr>
          <w:sz w:val="24"/>
          <w:szCs w:val="24"/>
          <w:lang w:val="pl-PL"/>
        </w:rPr>
        <w:t>TA(</w:t>
      </w:r>
      <w:r w:rsidRPr="00C10482">
        <w:rPr>
          <w:sz w:val="24"/>
          <w:szCs w:val="24"/>
          <w:lang w:val="pl-PL"/>
        </w:rPr>
        <w:t>2026)0077.</w:t>
      </w:r>
    </w:p>
  </w:footnote>
  <w:footnote w:id="4">
    <w:p w:rsidR="00EF05D8" w:rsidRPr="007A27FB" w:rsidP="00C10482" w14:paraId="5D1A8CE7" w14:textId="731CD254">
      <w:pPr>
        <w:pStyle w:val="FootnoteText"/>
        <w:ind w:left="567" w:hanging="567"/>
        <w:rPr>
          <w:sz w:val="24"/>
          <w:szCs w:val="24"/>
          <w:lang w:val="pl-PL"/>
        </w:rPr>
      </w:pPr>
      <w:r w:rsidRPr="007A27FB">
        <w:rPr>
          <w:rStyle w:val="FootnoteReference"/>
          <w:sz w:val="24"/>
          <w:szCs w:val="24"/>
        </w:rPr>
        <w:footnoteRef/>
      </w:r>
      <w:r w:rsidRPr="007A27FB">
        <w:rPr>
          <w:sz w:val="24"/>
          <w:szCs w:val="24"/>
          <w:lang w:val="pl-PL"/>
        </w:rPr>
        <w:t xml:space="preserve"> </w:t>
      </w:r>
      <w:r w:rsidR="00C10482">
        <w:rPr>
          <w:sz w:val="24"/>
          <w:szCs w:val="24"/>
          <w:lang w:val="pl-PL"/>
        </w:rPr>
        <w:tab/>
      </w:r>
      <w:r w:rsidRPr="007A27FB">
        <w:rPr>
          <w:sz w:val="24"/>
          <w:szCs w:val="24"/>
          <w:lang w:val="pl-PL"/>
        </w:rPr>
        <w:t xml:space="preserve">Dz.U. </w:t>
      </w:r>
      <w:r w:rsidRPr="007A27FB" w:rsidR="003523CE">
        <w:rPr>
          <w:sz w:val="24"/>
          <w:szCs w:val="24"/>
          <w:lang w:val="pl-PL"/>
        </w:rPr>
        <w:t>C</w:t>
      </w:r>
      <w:r w:rsidRPr="007A27FB">
        <w:rPr>
          <w:sz w:val="24"/>
          <w:szCs w:val="24"/>
          <w:lang w:val="pl-PL"/>
        </w:rPr>
        <w:t xml:space="preserve">, </w:t>
      </w:r>
      <w:r w:rsidRPr="007A27FB" w:rsidR="003523CE">
        <w:rPr>
          <w:sz w:val="24"/>
          <w:szCs w:val="24"/>
          <w:lang w:val="pl-PL"/>
        </w:rPr>
        <w:t>C/</w:t>
      </w:r>
      <w:r w:rsidRPr="007A27FB">
        <w:rPr>
          <w:sz w:val="24"/>
          <w:szCs w:val="24"/>
          <w:lang w:val="pl-PL"/>
        </w:rPr>
        <w:t>2024/</w:t>
      </w:r>
      <w:r w:rsidRPr="007A27FB" w:rsidR="003523CE">
        <w:rPr>
          <w:sz w:val="24"/>
          <w:szCs w:val="24"/>
          <w:lang w:val="pl-PL"/>
        </w:rPr>
        <w:t>6746</w:t>
      </w:r>
      <w:r w:rsidRPr="007A27FB">
        <w:rPr>
          <w:sz w:val="24"/>
          <w:szCs w:val="24"/>
          <w:lang w:val="pl-PL"/>
        </w:rPr>
        <w:t xml:space="preserve">, </w:t>
      </w:r>
      <w:r w:rsidRPr="007A27FB" w:rsidR="003523CE">
        <w:rPr>
          <w:sz w:val="24"/>
          <w:szCs w:val="24"/>
          <w:lang w:val="pl-PL"/>
        </w:rPr>
        <w:t>26</w:t>
      </w:r>
      <w:r w:rsidRPr="007A27FB">
        <w:rPr>
          <w:sz w:val="24"/>
          <w:szCs w:val="24"/>
          <w:lang w:val="pl-PL"/>
        </w:rPr>
        <w:t xml:space="preserve">.11.2024, </w:t>
      </w:r>
      <w:r w:rsidRPr="007A27FB">
        <w:rPr>
          <w:sz w:val="24"/>
          <w:szCs w:val="24"/>
          <w:lang w:val="pl-PL"/>
        </w:rPr>
        <w:t>ELI :</w:t>
      </w:r>
      <w:hyperlink r:id="rId2" w:history="1">
        <w:r w:rsidRPr="007A27FB">
          <w:rPr>
            <w:rStyle w:val="Hyperlink"/>
            <w:sz w:val="24"/>
            <w:szCs w:val="24"/>
            <w:lang w:val="pl-PL"/>
          </w:rPr>
          <w:t>http://data.europa.eu/eli/C/2024/6746/oj</w:t>
        </w:r>
      </w:hyperlink>
      <w:r w:rsidRPr="007A27FB">
        <w:rPr>
          <w:sz w:val="24"/>
          <w:szCs w:val="24"/>
          <w:lang w:val="pl-PL"/>
        </w:rPr>
        <w:t>.</w:t>
      </w:r>
    </w:p>
  </w:footnote>
  <w:footnote w:id="5">
    <w:p w:rsidR="00C073AA" w:rsidRPr="00EF05D8" w:rsidP="00BA37E4" w14:paraId="3F640B28" w14:textId="2A95E6CE">
      <w:pPr>
        <w:pStyle w:val="FootnoteText"/>
        <w:ind w:left="567" w:hanging="567"/>
        <w:rPr>
          <w:sz w:val="24"/>
          <w:szCs w:val="24"/>
          <w:lang w:val="pl-PL"/>
        </w:rPr>
      </w:pPr>
      <w:r w:rsidRPr="00EF05D8">
        <w:rPr>
          <w:rStyle w:val="FootnoteReference"/>
          <w:sz w:val="24"/>
          <w:szCs w:val="24"/>
          <w:lang w:val="pl-PL"/>
        </w:rPr>
        <w:footnoteRef/>
      </w:r>
      <w:r w:rsidRPr="00EF05D8" w:rsidR="00BA37E4">
        <w:rPr>
          <w:sz w:val="24"/>
          <w:szCs w:val="24"/>
          <w:lang w:val="pl-PL"/>
        </w:rPr>
        <w:t xml:space="preserve"> </w:t>
      </w:r>
      <w:r w:rsidRPr="00EF05D8" w:rsidR="00BA37E4">
        <w:rPr>
          <w:sz w:val="24"/>
          <w:szCs w:val="24"/>
          <w:lang w:val="pl-PL"/>
        </w:rPr>
        <w:tab/>
      </w:r>
      <w:r w:rsidRPr="00EF05D8">
        <w:rPr>
          <w:sz w:val="24"/>
          <w:szCs w:val="24"/>
          <w:lang w:val="pl-PL"/>
        </w:rPr>
        <w:t>Teksty przyjęte, P10_</w:t>
      </w:r>
      <w:r w:rsidRPr="00EF05D8">
        <w:rPr>
          <w:sz w:val="24"/>
          <w:szCs w:val="24"/>
          <w:lang w:val="pl-PL"/>
        </w:rPr>
        <w:t>TA(</w:t>
      </w:r>
      <w:r w:rsidRPr="00EF05D8">
        <w:rPr>
          <w:sz w:val="24"/>
          <w:szCs w:val="24"/>
          <w:lang w:val="pl-PL"/>
        </w:rPr>
        <w:t>2026)0047.</w:t>
      </w:r>
    </w:p>
  </w:footnote>
  <w:footnote w:id="6">
    <w:p w:rsidR="00C073AA" w:rsidRPr="00EF05D8" w:rsidP="00BA37E4" w14:paraId="7C0CD0EC" w14:textId="2ACCD88C">
      <w:pPr>
        <w:pStyle w:val="FootnoteText"/>
        <w:ind w:left="567" w:hanging="567"/>
        <w:rPr>
          <w:sz w:val="24"/>
          <w:szCs w:val="24"/>
          <w:lang w:val="pl-PL"/>
        </w:rPr>
      </w:pPr>
      <w:r w:rsidRPr="00EF05D8">
        <w:rPr>
          <w:rStyle w:val="FootnoteReference"/>
          <w:sz w:val="24"/>
          <w:szCs w:val="24"/>
          <w:lang w:val="pl-PL"/>
        </w:rPr>
        <w:footnoteRef/>
      </w:r>
      <w:r w:rsidRPr="00EF05D8" w:rsidR="00BA37E4">
        <w:rPr>
          <w:sz w:val="24"/>
          <w:szCs w:val="24"/>
          <w:lang w:val="pl-PL"/>
        </w:rPr>
        <w:t xml:space="preserve"> </w:t>
      </w:r>
      <w:r w:rsidRPr="00EF05D8" w:rsidR="00BA37E4">
        <w:rPr>
          <w:sz w:val="24"/>
          <w:szCs w:val="24"/>
          <w:lang w:val="pl-PL"/>
        </w:rPr>
        <w:tab/>
      </w:r>
      <w:r w:rsidRPr="00EF05D8">
        <w:rPr>
          <w:sz w:val="24"/>
          <w:szCs w:val="24"/>
          <w:lang w:val="pl-PL"/>
        </w:rPr>
        <w:t xml:space="preserve">Dz.U. C 328 z </w:t>
      </w:r>
      <w:r w:rsidRPr="00EF05D8">
        <w:rPr>
          <w:sz w:val="24"/>
          <w:szCs w:val="24"/>
          <w:lang w:val="pl-PL"/>
        </w:rPr>
        <w:t>6.9.2016</w:t>
      </w:r>
      <w:r w:rsidRPr="00EF05D8">
        <w:rPr>
          <w:sz w:val="24"/>
          <w:szCs w:val="24"/>
          <w:lang w:val="pl-PL"/>
        </w:rPr>
        <w:t>, s. 2.</w:t>
      </w:r>
    </w:p>
  </w:footnote>
  <w:footnote w:id="7">
    <w:p w:rsidR="00DD0FBE" w:rsidRPr="00B57A1F" w:rsidP="00B57A1F" w14:paraId="38F9E619" w14:textId="70EF6D1F">
      <w:pPr>
        <w:pStyle w:val="FootnoteText"/>
        <w:ind w:left="567" w:hanging="567"/>
        <w:rPr>
          <w:sz w:val="24"/>
          <w:szCs w:val="24"/>
          <w:lang w:val="pl-PL"/>
        </w:rPr>
      </w:pPr>
      <w:r w:rsidRPr="00B57A1F">
        <w:rPr>
          <w:rStyle w:val="FootnoteReference"/>
          <w:sz w:val="24"/>
          <w:szCs w:val="24"/>
        </w:rPr>
        <w:footnoteRef/>
      </w:r>
      <w:r w:rsidRPr="00B57A1F">
        <w:rPr>
          <w:sz w:val="24"/>
          <w:szCs w:val="24"/>
          <w:lang w:val="pl-PL"/>
        </w:rPr>
        <w:t xml:space="preserve"> </w:t>
      </w:r>
      <w:r w:rsidRPr="00B57A1F">
        <w:rPr>
          <w:sz w:val="24"/>
          <w:szCs w:val="24"/>
          <w:lang w:val="pl-PL"/>
        </w:rPr>
        <w:tab/>
        <w:t xml:space="preserve">Dyrektywa Parlamentu Europejskiego i Rady 2014/89/UE z dnia 23 lipca 2014 r. ustanawiająca ramy planowania przestrzennego obszarów morskich (Dz.U. L 257 z </w:t>
      </w:r>
      <w:r w:rsidRPr="00B57A1F">
        <w:rPr>
          <w:sz w:val="24"/>
          <w:szCs w:val="24"/>
          <w:lang w:val="pl-PL"/>
        </w:rPr>
        <w:t>28.8.2014</w:t>
      </w:r>
      <w:r w:rsidRPr="00B57A1F">
        <w:rPr>
          <w:sz w:val="24"/>
          <w:szCs w:val="24"/>
          <w:lang w:val="pl-PL"/>
        </w:rPr>
        <w:t>, s. 135, ELI: </w:t>
      </w:r>
      <w:hyperlink r:id="rId3" w:tooltip="Dostęp do dokumentu poprzez identyfikator URI w systemie ELI." w:history="1">
        <w:r w:rsidRPr="00B57A1F">
          <w:rPr>
            <w:rStyle w:val="Hyperlink"/>
            <w:sz w:val="24"/>
            <w:szCs w:val="24"/>
            <w:lang w:val="pl-PL"/>
          </w:rPr>
          <w:t>http://data.europa.eu/eli/dir/2014/89/oj</w:t>
        </w:r>
      </w:hyperlink>
      <w:r w:rsidRPr="00B57A1F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4491FD0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5EC36AA5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A37E4" w14:paraId="47DC92B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6371680">
    <w:abstractNumId w:val="9"/>
  </w:num>
  <w:num w:numId="2" w16cid:durableId="143621345">
    <w:abstractNumId w:val="9"/>
  </w:num>
  <w:num w:numId="3" w16cid:durableId="1881168368">
    <w:abstractNumId w:val="7"/>
  </w:num>
  <w:num w:numId="4" w16cid:durableId="1333989451">
    <w:abstractNumId w:val="7"/>
  </w:num>
  <w:num w:numId="5" w16cid:durableId="83259733">
    <w:abstractNumId w:val="6"/>
  </w:num>
  <w:num w:numId="6" w16cid:durableId="2031489102">
    <w:abstractNumId w:val="6"/>
  </w:num>
  <w:num w:numId="7" w16cid:durableId="1458792281">
    <w:abstractNumId w:val="5"/>
  </w:num>
  <w:num w:numId="8" w16cid:durableId="2035232436">
    <w:abstractNumId w:val="5"/>
  </w:num>
  <w:num w:numId="9" w16cid:durableId="1715037200">
    <w:abstractNumId w:val="4"/>
  </w:num>
  <w:num w:numId="10" w16cid:durableId="1562206032">
    <w:abstractNumId w:val="4"/>
  </w:num>
  <w:num w:numId="11" w16cid:durableId="78916109">
    <w:abstractNumId w:val="8"/>
  </w:num>
  <w:num w:numId="12" w16cid:durableId="639191260">
    <w:abstractNumId w:val="8"/>
  </w:num>
  <w:num w:numId="13" w16cid:durableId="453670611">
    <w:abstractNumId w:val="3"/>
  </w:num>
  <w:num w:numId="14" w16cid:durableId="2056151655">
    <w:abstractNumId w:val="3"/>
  </w:num>
  <w:num w:numId="15" w16cid:durableId="923997595">
    <w:abstractNumId w:val="2"/>
  </w:num>
  <w:num w:numId="16" w16cid:durableId="1410689152">
    <w:abstractNumId w:val="2"/>
  </w:num>
  <w:num w:numId="17" w16cid:durableId="1134522193">
    <w:abstractNumId w:val="1"/>
  </w:num>
  <w:num w:numId="18" w16cid:durableId="36974817">
    <w:abstractNumId w:val="1"/>
  </w:num>
  <w:num w:numId="19" w16cid:durableId="1987977013">
    <w:abstractNumId w:val="0"/>
  </w:num>
  <w:num w:numId="20" w16cid:durableId="749162714">
    <w:abstractNumId w:val="0"/>
  </w:num>
  <w:num w:numId="21" w16cid:durableId="1305889799">
    <w:abstractNumId w:val="9"/>
  </w:num>
  <w:num w:numId="22" w16cid:durableId="1477840571">
    <w:abstractNumId w:val="7"/>
  </w:num>
  <w:num w:numId="23" w16cid:durableId="1424181197">
    <w:abstractNumId w:val="6"/>
  </w:num>
  <w:num w:numId="24" w16cid:durableId="341400680">
    <w:abstractNumId w:val="5"/>
  </w:num>
  <w:num w:numId="25" w16cid:durableId="1369452506">
    <w:abstractNumId w:val="4"/>
  </w:num>
  <w:num w:numId="26" w16cid:durableId="473763028">
    <w:abstractNumId w:val="8"/>
  </w:num>
  <w:num w:numId="27" w16cid:durableId="963000363">
    <w:abstractNumId w:val="3"/>
  </w:num>
  <w:num w:numId="28" w16cid:durableId="1018700225">
    <w:abstractNumId w:val="2"/>
  </w:num>
  <w:num w:numId="29" w16cid:durableId="960112182">
    <w:abstractNumId w:val="1"/>
  </w:num>
  <w:num w:numId="30" w16cid:durableId="1282690438">
    <w:abstractNumId w:val="0"/>
  </w:num>
  <w:num w:numId="31" w16cid:durableId="1109084798">
    <w:abstractNumId w:val="9"/>
  </w:num>
  <w:num w:numId="32" w16cid:durableId="1162701056">
    <w:abstractNumId w:val="7"/>
  </w:num>
  <w:num w:numId="33" w16cid:durableId="282619847">
    <w:abstractNumId w:val="6"/>
  </w:num>
  <w:num w:numId="34" w16cid:durableId="1288004951">
    <w:abstractNumId w:val="5"/>
  </w:num>
  <w:num w:numId="35" w16cid:durableId="2073262783">
    <w:abstractNumId w:val="4"/>
  </w:num>
  <w:num w:numId="36" w16cid:durableId="1228805181">
    <w:abstractNumId w:val="8"/>
  </w:num>
  <w:num w:numId="37" w16cid:durableId="355229920">
    <w:abstractNumId w:val="3"/>
  </w:num>
  <w:num w:numId="38" w16cid:durableId="1606888101">
    <w:abstractNumId w:val="2"/>
  </w:num>
  <w:num w:numId="39" w16cid:durableId="489247235">
    <w:abstractNumId w:val="1"/>
  </w:num>
  <w:num w:numId="40" w16cid:durableId="981809770">
    <w:abstractNumId w:val="0"/>
  </w:num>
  <w:num w:numId="41" w16cid:durableId="1068771662">
    <w:abstractNumId w:val="10"/>
  </w:num>
  <w:num w:numId="42" w16cid:durableId="433794379">
    <w:abstractNumId w:val="10"/>
  </w:num>
  <w:num w:numId="43" w16cid:durableId="794517467">
    <w:abstractNumId w:val="10"/>
  </w:num>
  <w:num w:numId="44" w16cid:durableId="6996240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804"/>
    <w:rsid w:val="00002272"/>
    <w:rsid w:val="000132F7"/>
    <w:rsid w:val="00064002"/>
    <w:rsid w:val="000677B9"/>
    <w:rsid w:val="000831BA"/>
    <w:rsid w:val="000A42CC"/>
    <w:rsid w:val="000B090E"/>
    <w:rsid w:val="000E7DD9"/>
    <w:rsid w:val="0010095E"/>
    <w:rsid w:val="00125B37"/>
    <w:rsid w:val="00187494"/>
    <w:rsid w:val="001F32AE"/>
    <w:rsid w:val="002517B6"/>
    <w:rsid w:val="002767FF"/>
    <w:rsid w:val="0029261C"/>
    <w:rsid w:val="002B18FE"/>
    <w:rsid w:val="002B5493"/>
    <w:rsid w:val="00343214"/>
    <w:rsid w:val="003523CE"/>
    <w:rsid w:val="00361C00"/>
    <w:rsid w:val="00395FA1"/>
    <w:rsid w:val="003E15D4"/>
    <w:rsid w:val="00411CCE"/>
    <w:rsid w:val="004136EE"/>
    <w:rsid w:val="0041666E"/>
    <w:rsid w:val="00421060"/>
    <w:rsid w:val="00436FF1"/>
    <w:rsid w:val="004579AC"/>
    <w:rsid w:val="00460AD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27FB"/>
    <w:rsid w:val="007B1E73"/>
    <w:rsid w:val="007D1690"/>
    <w:rsid w:val="007E22AD"/>
    <w:rsid w:val="00817416"/>
    <w:rsid w:val="00835E6E"/>
    <w:rsid w:val="00842779"/>
    <w:rsid w:val="00865F67"/>
    <w:rsid w:val="00881A7B"/>
    <w:rsid w:val="008840E5"/>
    <w:rsid w:val="00887B3E"/>
    <w:rsid w:val="008C2AC6"/>
    <w:rsid w:val="008F4A03"/>
    <w:rsid w:val="00930C23"/>
    <w:rsid w:val="0093193B"/>
    <w:rsid w:val="009509D8"/>
    <w:rsid w:val="00950B64"/>
    <w:rsid w:val="00967199"/>
    <w:rsid w:val="00981893"/>
    <w:rsid w:val="0098736C"/>
    <w:rsid w:val="009C4389"/>
    <w:rsid w:val="009F2D4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57A1F"/>
    <w:rsid w:val="00B92269"/>
    <w:rsid w:val="00BA37E4"/>
    <w:rsid w:val="00BD48FE"/>
    <w:rsid w:val="00BD7BD8"/>
    <w:rsid w:val="00BE6ADC"/>
    <w:rsid w:val="00C05291"/>
    <w:rsid w:val="00C05BFE"/>
    <w:rsid w:val="00C073AA"/>
    <w:rsid w:val="00C10482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FBE"/>
    <w:rsid w:val="00E365E1"/>
    <w:rsid w:val="00E71D0D"/>
    <w:rsid w:val="00E820A4"/>
    <w:rsid w:val="00EB006A"/>
    <w:rsid w:val="00EB4772"/>
    <w:rsid w:val="00ED169E"/>
    <w:rsid w:val="00ED4235"/>
    <w:rsid w:val="00EF05D8"/>
    <w:rsid w:val="00EF1804"/>
    <w:rsid w:val="00F04346"/>
    <w:rsid w:val="00F075DC"/>
    <w:rsid w:val="00F149E9"/>
    <w:rsid w:val="00F20CB7"/>
    <w:rsid w:val="00F5134D"/>
    <w:rsid w:val="00F74202"/>
    <w:rsid w:val="00F87713"/>
    <w:rsid w:val="00FB4360"/>
    <w:rsid w:val="00FD0C70"/>
    <w:rsid w:val="00FF65C4"/>
  </w:rsids>
  <w:docVars>
    <w:docVar w:name="dvdocse" w:val="A10-0106/2026"/>
    <w:docVar w:name="dvlangue" w:val="PL"/>
    <w:docVar w:name="dvnumam" w:val="0"/>
    <w:docVar w:name="dvpe" w:val="781.407"/>
    <w:docVar w:name="dvrapporteur" w:val="Sprawozdawca: "/>
    <w:docVar w:name="dvtitre" w:val="Rezolucja Parlamentu Europejskiego z dnia  2026 r. w sprawie sprawozdania Komisji dotyczącego Turcji – 2025 r.(2025/2256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2A0370C"/>
  <w15:chartTrackingRefBased/>
  <w15:docId w15:val="{4343AE1F-75CA-40AE-B90F-E4B1C17C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073AA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link w:val="NormalHanging12aChar"/>
    <w:rsid w:val="00C073A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073AA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073AA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073AA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073A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C073AA"/>
    <w:rPr>
      <w:sz w:val="24"/>
      <w:szCs w:val="24"/>
      <w:lang w:val="pl-PL" w:eastAsia="en-US"/>
    </w:rPr>
  </w:style>
  <w:style w:type="paragraph" w:styleId="Revision">
    <w:name w:val="Revision"/>
    <w:hidden/>
    <w:uiPriority w:val="99"/>
    <w:semiHidden/>
    <w:rsid w:val="00967199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352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nation/2014/252/oj" TargetMode="External" /><Relationship Id="rId2" Type="http://schemas.openxmlformats.org/officeDocument/2006/relationships/hyperlink" Target="http://data.europa.eu/eli/C/2024/6746/oj" TargetMode="External" /><Relationship Id="rId3" Type="http://schemas.openxmlformats.org/officeDocument/2006/relationships/hyperlink" Target="http://data.europa.eu/eli/dir/2014/8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14643</Words>
  <Characters>97711</Characters>
  <Application>Microsoft Office Word</Application>
  <DocSecurity>0</DocSecurity>
  <Lines>1714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2026-07-20T08:24:00Z</dcterms:created>
  <dcterms:modified xsi:type="dcterms:W3CDTF">2026-07-20T08:24:00Z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P10_TA(2026)0215_</vt:lpwstr>
  </property>
  <property fmtid="{D5CDD505-2E9C-101B-9397-08002B2CF9AE}" pid="4" name="&lt;Type&gt;">
    <vt:lpwstr>RR</vt:lpwstr>
  </property>
</Properties>
</file>