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customXml/item1.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notes.xml" ContentType="application/vnd.openxmlformats-officedocument.wordprocessingml.footnote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 Generated by Aspose.Words for Java 24.9.0 -->
  <w:body>
    <w:tbl>
      <w:tblPr>
        <w:tblW w:w="9072" w:type="dxa"/>
        <w:tblCellMar>
          <w:left w:w="0" w:type="dxa"/>
          <w:right w:w="0" w:type="dxa"/>
        </w:tblCellMar>
        <w:tblLook w:val="01E0"/>
      </w:tblPr>
      <w:tblGrid>
        <w:gridCol w:w="6804"/>
        <w:gridCol w:w="2268"/>
      </w:tblGrid>
      <w:tr w14:paraId="3C70559E" w14:textId="77777777" w:rsidTr="0010095E">
        <w:tblPrEx>
          <w:tblW w:w="9072" w:type="dxa"/>
          <w:tblLook w:val="01E0"/>
        </w:tblPrEx>
        <w:trPr>
          <w:trHeight w:hRule="exact" w:val="1418"/>
        </w:trPr>
        <w:tc>
          <w:tcPr>
            <w:tcW w:w="6804" w:type="dxa"/>
            <w:shd w:val="clear" w:color="auto" w:fill="auto"/>
            <w:vAlign w:val="center"/>
          </w:tcPr>
          <w:p w:rsidR="00751A4A" w:rsidRPr="00717772" w:rsidP="0010095E" w14:paraId="445189A0" w14:textId="447D6BDD">
            <w:pPr>
              <w:pStyle w:val="EPName"/>
            </w:pPr>
            <w:r w:rsidRPr="00717772">
              <w:t>Evropský parlament</w:t>
            </w:r>
          </w:p>
          <w:p w:rsidR="00751A4A" w:rsidRPr="00717772" w:rsidP="005F1B17" w14:paraId="071990E0" w14:textId="77777777">
            <w:pPr>
              <w:pStyle w:val="EPTerm"/>
              <w:rPr>
                <w:rStyle w:val="HideTWBExt"/>
                <w:noProof w:val="0"/>
                <w:vanish w:val="0"/>
                <w:color w:val="auto"/>
              </w:rPr>
            </w:pPr>
            <w:r w:rsidRPr="00717772">
              <w:t>2024</w:t>
            </w:r>
            <w:r w:rsidRPr="00717772" w:rsidR="00817416">
              <w:t>-202</w:t>
            </w:r>
            <w:r w:rsidRPr="00717772">
              <w:t>9</w:t>
            </w:r>
          </w:p>
        </w:tc>
        <w:tc>
          <w:tcPr>
            <w:tcW w:w="2268" w:type="dxa"/>
            <w:shd w:val="clear" w:color="auto" w:fill="auto"/>
          </w:tcPr>
          <w:p w:rsidR="00751A4A" w:rsidRPr="00717772" w:rsidP="0010095E" w14:paraId="7AD79B5E" w14:textId="77777777">
            <w:pPr>
              <w:pStyle w:val="EPLogo"/>
            </w:pPr>
            <w:r w:rsidRPr="00717772">
              <w:rPr>
                <w:noProof/>
                <w:lang w:eastAsia="ja-JP"/>
              </w:rPr>
              <w:drawing>
                <wp:inline distT="0" distB="0" distL="0" distR="0">
                  <wp:extent cx="1158875" cy="652145"/>
                  <wp:effectExtent l="0" t="0" r="0" b="0"/>
                  <wp:docPr id="1" name="Picture 1" descr="EP logo RGB_Mu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Picture 1" descr="EP logo RGB_Mute"/>
                          <pic:cNvPicPr>
                            <a:picLocks noChangeAspect="1" noChangeArrowheads="1"/>
                          </pic:cNvPicPr>
                        </pic:nvPicPr>
                        <pic:blipFill>
                          <a:blip xmlns:r="http://schemas.openxmlformats.org/officeDocument/2006/relationships" r:embed="rId6" cstate="print">
                            <a:extLst>
                              <a:ext xmlns:a="http://schemas.openxmlformats.org/drawingml/2006/main" uri="{28A0092B-C50C-407E-A947-70E740481C1C}">
                                <a14:useLocalDpi xmlns:a14="http://schemas.microsoft.com/office/drawing/2010/main" val="0"/>
                              </a:ext>
                            </a:extLst>
                          </a:blip>
                          <a:stretch>
                            <a:fillRect/>
                          </a:stretch>
                        </pic:blipFill>
                        <pic:spPr bwMode="auto">
                          <a:xfrm>
                            <a:off x="0" y="0"/>
                            <a:ext cx="1158875" cy="652145"/>
                          </a:xfrm>
                          <a:prstGeom prst="rect">
                            <a:avLst/>
                          </a:prstGeom>
                          <a:noFill/>
                          <a:ln>
                            <a:noFill/>
                          </a:ln>
                        </pic:spPr>
                      </pic:pic>
                    </a:graphicData>
                  </a:graphic>
                </wp:inline>
              </w:drawing>
            </w:r>
          </w:p>
        </w:tc>
      </w:tr>
    </w:tbl>
    <w:p w:rsidR="00D058B8" w:rsidRPr="00717772" w:rsidP="004C5D52" w14:paraId="3C915A9A" w14:textId="77777777">
      <w:pPr>
        <w:pStyle w:val="LineTop"/>
      </w:pPr>
    </w:p>
    <w:p w:rsidR="00680577" w:rsidRPr="00717772" w:rsidP="00680577" w14:paraId="2F4D955F" w14:textId="0106F88F">
      <w:pPr>
        <w:pStyle w:val="EPBodyTA1"/>
      </w:pPr>
      <w:r w:rsidRPr="00717772">
        <w:t>PŘIJATÉ TEXTY</w:t>
      </w:r>
    </w:p>
    <w:p w:rsidR="00D058B8" w:rsidRPr="00717772" w:rsidP="00D058B8" w14:paraId="4E6825AB" w14:textId="77777777">
      <w:pPr>
        <w:pStyle w:val="LineBottom"/>
      </w:pPr>
    </w:p>
    <w:p w:rsidR="00867F48" w:rsidRPr="007E0BC0" w:rsidP="00867F48" w14:paraId="7F026EC5" w14:textId="367BAA83">
      <w:pPr>
        <w:pStyle w:val="ATHeading1"/>
      </w:pPr>
      <w:bookmarkStart w:id="0" w:name="TANumber"/>
      <w:r w:rsidRPr="007E0BC0">
        <w:t>P10_</w:t>
      </w:r>
      <w:r w:rsidRPr="007E0BC0">
        <w:t>TA(</w:t>
      </w:r>
      <w:r w:rsidRPr="007E0BC0">
        <w:t>2026)0</w:t>
      </w:r>
      <w:r w:rsidR="00534857">
        <w:t>216</w:t>
      </w:r>
      <w:bookmarkEnd w:id="0"/>
    </w:p>
    <w:p w:rsidR="00867F48" w:rsidRPr="007E0BC0" w:rsidP="00867F48" w14:paraId="2F97CCA2" w14:textId="77777777">
      <w:pPr>
        <w:pStyle w:val="ATHeading2"/>
      </w:pPr>
      <w:bookmarkStart w:id="1" w:name="title"/>
      <w:r w:rsidRPr="007E0BC0">
        <w:t>Zpráva Komise o Černé Hoře za rok 2025</w:t>
      </w:r>
      <w:bookmarkEnd w:id="1"/>
    </w:p>
    <w:p w:rsidR="00867F48" w:rsidRPr="00717772" w:rsidP="00867F48" w14:paraId="4BE5FBDE" w14:textId="77777777">
      <w:pPr>
        <w:rPr>
          <w:i/>
          <w:vanish/>
        </w:rPr>
      </w:pPr>
      <w:r>
        <w:rPr>
          <w:i/>
        </w:rPr>
        <w:fldChar w:fldCharType="begin"/>
      </w:r>
      <w:r w:rsidRPr="00717772">
        <w:rPr>
          <w:i/>
        </w:rPr>
        <w:instrText xml:space="preserve"> TC"(</w:instrText>
      </w:r>
      <w:bookmarkStart w:id="2" w:name="DocNumber"/>
      <w:r w:rsidRPr="00717772">
        <w:rPr>
          <w:i/>
        </w:rPr>
        <w:instrText>A10-0143/2026</w:instrText>
      </w:r>
      <w:bookmarkEnd w:id="2"/>
      <w:r w:rsidRPr="00717772">
        <w:rPr>
          <w:i/>
        </w:rPr>
        <w:instrText xml:space="preserve"> - Zpravodaj: Marjan Šarec)"\l3 \n&gt; \* MERGEFORMAT </w:instrText>
      </w:r>
      <w:r>
        <w:rPr>
          <w:i/>
        </w:rPr>
        <w:fldChar w:fldCharType="end"/>
      </w:r>
    </w:p>
    <w:p w:rsidR="00867F48" w:rsidRPr="00717772" w:rsidP="00867F48" w14:paraId="604EBF96" w14:textId="77777777">
      <w:pPr>
        <w:rPr>
          <w:vanish/>
        </w:rPr>
      </w:pPr>
      <w:bookmarkStart w:id="3" w:name="Commission"/>
      <w:r w:rsidRPr="00717772">
        <w:rPr>
          <w:vanish/>
        </w:rPr>
        <w:t>Výbor pro zahraniční věci</w:t>
      </w:r>
      <w:bookmarkEnd w:id="3"/>
    </w:p>
    <w:p w:rsidR="00867F48" w:rsidRPr="00717772" w:rsidP="00867F48" w14:paraId="645F2147" w14:textId="77777777">
      <w:pPr>
        <w:rPr>
          <w:vanish/>
        </w:rPr>
      </w:pPr>
      <w:bookmarkStart w:id="4" w:name="PE"/>
      <w:r w:rsidRPr="00717772">
        <w:rPr>
          <w:vanish/>
        </w:rPr>
        <w:t>PE784.340</w:t>
      </w:r>
      <w:bookmarkEnd w:id="4"/>
    </w:p>
    <w:p w:rsidR="00867F48" w:rsidRPr="007E0BC0" w:rsidP="00867F48" w14:paraId="43E5639A" w14:textId="77777777">
      <w:pPr>
        <w:pStyle w:val="ATHeading3"/>
      </w:pPr>
      <w:bookmarkStart w:id="5" w:name="Sujet"/>
      <w:r w:rsidRPr="007E0BC0">
        <w:t>Usnesení Evropského parlamentu ze dne 17. června 2026 o zprávě Komise o Černé Hoře za rok 2025</w:t>
      </w:r>
      <w:bookmarkEnd w:id="5"/>
      <w:r w:rsidRPr="007E0BC0">
        <w:t xml:space="preserve"> </w:t>
      </w:r>
      <w:bookmarkStart w:id="6" w:name="References"/>
      <w:r w:rsidRPr="007E0BC0">
        <w:t>(2025/2253(INI))</w:t>
      </w:r>
      <w:bookmarkEnd w:id="6"/>
    </w:p>
    <w:p w:rsidR="00A4002B" w:rsidRPr="00717772" w:rsidP="007E0BC0" w14:paraId="06DA667B" w14:textId="77777777">
      <w:pPr>
        <w:pStyle w:val="Normal12"/>
        <w:spacing w:before="480"/>
      </w:pPr>
      <w:r w:rsidRPr="007E0BC0">
        <w:rPr>
          <w:i/>
          <w:iCs/>
        </w:rPr>
        <w:t>Evropský parlament</w:t>
      </w:r>
      <w:r w:rsidRPr="00717772">
        <w:t>,</w:t>
      </w:r>
    </w:p>
    <w:p w:rsidR="00A4002B" w:rsidRPr="00717772" w:rsidP="006915B5" w14:paraId="039A28D2" w14:textId="4DFA31A3">
      <w:pPr>
        <w:pStyle w:val="NormalHanging"/>
      </w:pPr>
      <w:r w:rsidRPr="00717772">
        <w:t>–</w:t>
      </w:r>
      <w:r w:rsidRPr="00717772">
        <w:tab/>
        <w:t>s ohledem na Dohodu o stabilizaci a přidružení mezi Evropskými společenstvími a jejich členskými státy na jedné straně a Republikou Černá Hora na straně druhé</w:t>
      </w:r>
      <w:r>
        <w:rPr>
          <w:rStyle w:val="FootnoteReference"/>
        </w:rPr>
        <w:footnoteReference w:id="2"/>
      </w:r>
      <w:r w:rsidRPr="00717772">
        <w:t>, jež vstoupila v platnost dne 1. května 2010,</w:t>
      </w:r>
    </w:p>
    <w:p w:rsidR="00A4002B" w:rsidRPr="00717772" w:rsidP="006915B5" w14:paraId="4C1CB33D" w14:textId="77777777">
      <w:pPr>
        <w:pStyle w:val="NormalHanging"/>
      </w:pPr>
      <w:r w:rsidRPr="00717772">
        <w:t>–</w:t>
      </w:r>
      <w:r w:rsidRPr="00717772">
        <w:tab/>
        <w:t>s ohledem na žádost Černé Hory o členství v Evropské unii ze dne 15. prosince 2008,</w:t>
      </w:r>
    </w:p>
    <w:p w:rsidR="00A4002B" w:rsidRPr="00717772" w:rsidP="006915B5" w14:paraId="041518C9" w14:textId="6F2FBE3B">
      <w:pPr>
        <w:pStyle w:val="NormalHanging"/>
      </w:pPr>
      <w:r w:rsidRPr="00717772">
        <w:t>–</w:t>
      </w:r>
      <w:r w:rsidRPr="00717772">
        <w:tab/>
        <w:t>s ohledem na stanovisko Komise ze dne 9. listopadu 2010 k žádosti Černé Hory o členství v Evropské unii (</w:t>
      </w:r>
      <w:r w:rsidRPr="007E0BC0" w:rsidR="00E968B2">
        <w:t>COM(</w:t>
      </w:r>
      <w:r w:rsidRPr="007E0BC0" w:rsidR="00E968B2">
        <w:t>2010)0670</w:t>
      </w:r>
      <w:r w:rsidRPr="00717772">
        <w:t>), na rozhodnutí Evropské rady z jednání dne 17. prosince 2010 o udělení statusu kandidátské země Černé Hoře a na rozhodnutí Evropské rady ze dne 29. června 2012 o zahájení přístupových jednání s Černou Horou,</w:t>
      </w:r>
    </w:p>
    <w:p w:rsidR="00A4002B" w:rsidRPr="00717772" w:rsidP="006915B5" w14:paraId="38648088" w14:textId="79FB46AE">
      <w:pPr>
        <w:pStyle w:val="NormalHanging"/>
      </w:pPr>
      <w:r w:rsidRPr="00717772">
        <w:t>–</w:t>
      </w:r>
      <w:r w:rsidRPr="00717772">
        <w:tab/>
        <w:t>s ohledem na nařízení Evropského parlamentu a Rady (EU) 2021/1529 ze dne 15. září 2021, kterým se zřizuje nástroj předvstupní pomoci (NPP III)</w:t>
      </w:r>
      <w:r>
        <w:rPr>
          <w:rStyle w:val="FootnoteReference"/>
        </w:rPr>
        <w:footnoteReference w:id="3"/>
      </w:r>
      <w:r w:rsidRPr="00717772">
        <w:t>,</w:t>
      </w:r>
    </w:p>
    <w:p w:rsidR="00A4002B" w:rsidRPr="00717772" w:rsidP="006915B5" w14:paraId="02A3AD03" w14:textId="14889C83">
      <w:pPr>
        <w:pStyle w:val="NormalHanging"/>
      </w:pPr>
      <w:r w:rsidRPr="00717772">
        <w:t>–</w:t>
      </w:r>
      <w:r w:rsidRPr="00717772">
        <w:tab/>
        <w:t>s ohledem na nařízení Evropského parlamentu a Rady (EU) 2024/1449 ze dne 14. května 2024 o zřízení nástroje pro reformy a růst pro země západního Balkánu</w:t>
      </w:r>
      <w:r>
        <w:rPr>
          <w:rStyle w:val="FootnoteReference"/>
        </w:rPr>
        <w:footnoteReference w:id="4"/>
      </w:r>
      <w:r w:rsidRPr="00717772">
        <w:t>,</w:t>
      </w:r>
    </w:p>
    <w:p w:rsidR="00A4002B" w:rsidRPr="00717772" w:rsidP="006915B5" w14:paraId="5C310A21" w14:textId="77777777">
      <w:pPr>
        <w:pStyle w:val="NormalHanging"/>
      </w:pPr>
      <w:r w:rsidRPr="00717772">
        <w:t>–</w:t>
      </w:r>
      <w:r w:rsidRPr="00717772">
        <w:tab/>
        <w:t>s ohledem na závěry předsednictví ze zasedání Evropské rady v Soluni ve dnech 19. a 20. června 2003,</w:t>
      </w:r>
    </w:p>
    <w:p w:rsidR="00A4002B" w:rsidRPr="00717772" w:rsidP="006915B5" w14:paraId="605E7D1D" w14:textId="77777777">
      <w:pPr>
        <w:pStyle w:val="NormalHanging"/>
      </w:pPr>
      <w:r w:rsidRPr="00717772">
        <w:t>–</w:t>
      </w:r>
      <w:r w:rsidRPr="00717772">
        <w:tab/>
        <w:t xml:space="preserve">s ohledem na prohlášení ze summitů EU – západní Balkán, které se konaly v Sofii (Bulharsko), Záhřebu (Chorvatsko) a Brdu </w:t>
      </w:r>
      <w:r w:rsidRPr="00717772">
        <w:t>pri</w:t>
      </w:r>
      <w:r w:rsidRPr="00717772">
        <w:t xml:space="preserve"> </w:t>
      </w:r>
      <w:r w:rsidRPr="00717772">
        <w:t>Kranju</w:t>
      </w:r>
      <w:r w:rsidRPr="00717772">
        <w:t xml:space="preserve"> (Slovinsko) v letech 2018, 2020 a 2021,</w:t>
      </w:r>
    </w:p>
    <w:p w:rsidR="00A4002B" w:rsidRPr="00717772" w:rsidP="006915B5" w14:paraId="23F2AC4F" w14:textId="77777777">
      <w:pPr>
        <w:pStyle w:val="NormalHanging"/>
      </w:pPr>
      <w:r w:rsidRPr="00717772">
        <w:t>–</w:t>
      </w:r>
      <w:r w:rsidRPr="00717772">
        <w:tab/>
        <w:t xml:space="preserve">s ohledem na setkání vedoucích představitelů zemí západního Balkánu, které se konalo </w:t>
      </w:r>
      <w:r w:rsidRPr="00717772">
        <w:t>dne 1. července 2025 ve Skopje v Severní Makedonii a týkalo se plánu růstu pro západní Balkán,</w:t>
      </w:r>
    </w:p>
    <w:p w:rsidR="00A4002B" w:rsidRPr="00717772" w:rsidP="006915B5" w14:paraId="2FC92652" w14:textId="15A1BE05">
      <w:pPr>
        <w:pStyle w:val="NormalHanging"/>
      </w:pPr>
      <w:r w:rsidRPr="00717772">
        <w:t>–</w:t>
      </w:r>
      <w:r w:rsidRPr="00717772">
        <w:tab/>
        <w:t>s ohledem na prohlášení přijaté na summitu EU a zemí západního Balkánu dne 17.</w:t>
      </w:r>
      <w:r w:rsidRPr="00717772" w:rsidR="00E968B2">
        <w:t> </w:t>
      </w:r>
      <w:r w:rsidRPr="00717772">
        <w:t>prosince 2025,</w:t>
      </w:r>
    </w:p>
    <w:p w:rsidR="00A4002B" w:rsidRPr="00717772" w:rsidP="006915B5" w14:paraId="52CFE68A" w14:textId="77777777">
      <w:pPr>
        <w:pStyle w:val="NormalHanging"/>
      </w:pPr>
      <w:r w:rsidRPr="00717772">
        <w:t>–</w:t>
      </w:r>
      <w:r w:rsidRPr="00717772">
        <w:tab/>
        <w:t>s ohledem na závěry předsednictví Rady ze dne 16. prosince 2025 o rozšíření,</w:t>
      </w:r>
    </w:p>
    <w:p w:rsidR="00A4002B" w:rsidRPr="00717772" w:rsidP="006915B5" w14:paraId="0CCC124E" w14:textId="77777777">
      <w:pPr>
        <w:pStyle w:val="NormalHanging"/>
      </w:pPr>
      <w:r w:rsidRPr="00717772">
        <w:t>–</w:t>
      </w:r>
      <w:r w:rsidRPr="00717772">
        <w:tab/>
        <w:t>s ohledem na berlínský proces zahájený dne 28. srpna 2014,</w:t>
      </w:r>
    </w:p>
    <w:p w:rsidR="00A4002B" w:rsidRPr="00717772" w:rsidP="006915B5" w14:paraId="0BE6E978" w14:textId="79037E89">
      <w:pPr>
        <w:pStyle w:val="NormalHanging"/>
      </w:pPr>
      <w:r w:rsidRPr="00717772">
        <w:t>–</w:t>
      </w:r>
      <w:r w:rsidRPr="00717772">
        <w:tab/>
        <w:t>s ohledem na závěry předsedy ze summitu o berlínském procesu, který se konal dne 22.</w:t>
      </w:r>
      <w:r w:rsidRPr="00717772" w:rsidR="00E968B2">
        <w:t> </w:t>
      </w:r>
      <w:r w:rsidRPr="00717772">
        <w:t>října 2025,</w:t>
      </w:r>
    </w:p>
    <w:p w:rsidR="00A4002B" w:rsidRPr="00717772" w:rsidP="006915B5" w14:paraId="34975DBC" w14:textId="161A3ADE">
      <w:pPr>
        <w:pStyle w:val="NormalHanging"/>
      </w:pPr>
      <w:r w:rsidRPr="00717772">
        <w:t>–</w:t>
      </w:r>
      <w:r w:rsidRPr="00717772">
        <w:tab/>
        <w:t>s ohledem na sdělení Komise ze dne 6. října 2020 nazvané „Hospodářský a investiční plán pro západní Balkán“ (</w:t>
      </w:r>
      <w:r w:rsidRPr="007E0BC0" w:rsidR="00E968B2">
        <w:t>COM(</w:t>
      </w:r>
      <w:r w:rsidRPr="007E0BC0" w:rsidR="00E968B2">
        <w:t>2020)0641</w:t>
      </w:r>
      <w:r w:rsidRPr="00717772">
        <w:t>),</w:t>
      </w:r>
    </w:p>
    <w:p w:rsidR="00A4002B" w:rsidRPr="00717772" w:rsidP="006915B5" w14:paraId="2DF3D787" w14:textId="07511C1C">
      <w:pPr>
        <w:pStyle w:val="NormalHanging"/>
      </w:pPr>
      <w:r w:rsidRPr="00717772">
        <w:t>–</w:t>
      </w:r>
      <w:r w:rsidRPr="00717772">
        <w:tab/>
        <w:t>s ohledem na sdělení Komise ze dne 8. listopadu 2023 nazvané „Nový plán růstu pro západní Balkán“ (</w:t>
      </w:r>
      <w:r w:rsidRPr="007E0BC0" w:rsidR="00E968B2">
        <w:t>COM(</w:t>
      </w:r>
      <w:r w:rsidRPr="007E0BC0" w:rsidR="00E968B2">
        <w:t>2023)0691</w:t>
      </w:r>
      <w:r w:rsidRPr="00717772">
        <w:t>),</w:t>
      </w:r>
    </w:p>
    <w:p w:rsidR="00A4002B" w:rsidRPr="00717772" w:rsidP="006915B5" w14:paraId="7EA034E6" w14:textId="4DB02042">
      <w:pPr>
        <w:pStyle w:val="NormalHanging"/>
      </w:pPr>
      <w:r w:rsidRPr="00717772">
        <w:t>–</w:t>
      </w:r>
      <w:r w:rsidRPr="00717772">
        <w:tab/>
        <w:t>s ohledem na sdělení Komise ze dne 20. března 2024 o předvstupních reformách a přezkumech předvstupní politiky (</w:t>
      </w:r>
      <w:r w:rsidRPr="007E0BC0" w:rsidR="00E968B2">
        <w:t>COM(</w:t>
      </w:r>
      <w:r w:rsidRPr="007E0BC0" w:rsidR="00E968B2">
        <w:t>2024)0146</w:t>
      </w:r>
      <w:r w:rsidRPr="00717772">
        <w:t>),</w:t>
      </w:r>
    </w:p>
    <w:p w:rsidR="00A4002B" w:rsidRPr="00717772" w:rsidP="006915B5" w14:paraId="631A5A1B" w14:textId="78D265C1">
      <w:pPr>
        <w:pStyle w:val="NormalHanging"/>
      </w:pPr>
      <w:r w:rsidRPr="00717772">
        <w:t>–</w:t>
      </w:r>
      <w:r w:rsidRPr="00717772">
        <w:tab/>
        <w:t>s ohledem na sdělení Komise ze dne 8. července 2025 nazvané „Zpráva o právním státu 2025 – Stav právního státu v Evropské unii“ (</w:t>
      </w:r>
      <w:r w:rsidRPr="007E0BC0" w:rsidR="00E968B2">
        <w:t>COM(</w:t>
      </w:r>
      <w:r w:rsidRPr="007E0BC0" w:rsidR="00E968B2">
        <w:t>2025)0900</w:t>
      </w:r>
      <w:r w:rsidRPr="00717772">
        <w:t>) a na doprovodný pracovní dokument útvarů Komise nazvaný „Zpráva o právním státu 2025 – kapitola o stavu právního státu v Černé Hoře“ (SWD(2025)0929),</w:t>
      </w:r>
    </w:p>
    <w:p w:rsidR="00A4002B" w:rsidRPr="00717772" w:rsidP="006915B5" w14:paraId="04FFB613" w14:textId="3A969EE4">
      <w:pPr>
        <w:pStyle w:val="NormalHanging"/>
      </w:pPr>
      <w:r w:rsidRPr="00717772">
        <w:t>–</w:t>
      </w:r>
      <w:r w:rsidRPr="00717772">
        <w:tab/>
        <w:t>s ohledem na sdělení Komise ze dne 4. listopadu 2025 nazvané „Sdělení o politice rozšíření EU pro rok 2025“ (</w:t>
      </w:r>
      <w:r w:rsidRPr="007E0BC0" w:rsidR="00E968B2">
        <w:t>COM(</w:t>
      </w:r>
      <w:r w:rsidRPr="007E0BC0" w:rsidR="00E968B2">
        <w:t>2025)0690</w:t>
      </w:r>
      <w:r w:rsidRPr="00717772">
        <w:t>) a na doprovodný pracovní dokument útvarů Komise nazvaný „Zpráva o Černé Hoře za rok 2025“ (SWD(2025)0754),</w:t>
      </w:r>
    </w:p>
    <w:p w:rsidR="00A4002B" w:rsidRPr="00717772" w:rsidP="006915B5" w14:paraId="60F89878" w14:textId="77777777">
      <w:pPr>
        <w:pStyle w:val="NormalHanging"/>
      </w:pPr>
      <w:r w:rsidRPr="00717772">
        <w:t>–</w:t>
      </w:r>
      <w:r w:rsidRPr="00717772">
        <w:tab/>
        <w:t>s ohledem na přehled a hodnocení země provedené Komisí ze dne 2. června 2025 týkající se programu Černé Hory v oblasti hospodářských reforem a na společné závěry Rady ze zasedání v rámci hospodářského a finančního dialogu s regionálními partnery, které proběhlo dne 13. května 2025,</w:t>
      </w:r>
    </w:p>
    <w:p w:rsidR="00A4002B" w:rsidRPr="00717772" w:rsidP="006915B5" w14:paraId="3BFE1BD2" w14:textId="77777777">
      <w:pPr>
        <w:pStyle w:val="NormalHanging"/>
      </w:pPr>
      <w:r w:rsidRPr="00717772">
        <w:t>–</w:t>
      </w:r>
      <w:r w:rsidRPr="00717772">
        <w:tab/>
        <w:t>s ohledem na výsledky přístupových konferencí s Černou Horou, které se konaly ve dnech 22. června 2021, 13. prosince 2021, 29. ledna 2024, 26. června 2024, 16. prosince 2024, 27. června 2025, 16. prosince 2025, 26. ledna 2026 a 17. března 2026,</w:t>
      </w:r>
    </w:p>
    <w:p w:rsidR="00A4002B" w:rsidRPr="00717772" w:rsidP="006915B5" w14:paraId="1E7E142B" w14:textId="77777777">
      <w:pPr>
        <w:pStyle w:val="NormalHanging"/>
      </w:pPr>
      <w:r w:rsidRPr="00717772">
        <w:t>–</w:t>
      </w:r>
      <w:r w:rsidRPr="00717772">
        <w:tab/>
        <w:t>s ohledem na výsledek 11. zasedání Rady pro stabilizaci a přidružení EU–Černá Hora, které se konalo dne 14. července 2022,</w:t>
      </w:r>
    </w:p>
    <w:p w:rsidR="00A4002B" w:rsidRPr="00717772" w:rsidP="006915B5" w14:paraId="65D87708" w14:textId="77777777">
      <w:pPr>
        <w:pStyle w:val="NormalHanging"/>
      </w:pPr>
      <w:r w:rsidRPr="00717772">
        <w:t>–</w:t>
      </w:r>
      <w:r w:rsidRPr="00717772">
        <w:tab/>
        <w:t>s ohledem na unijní seznam jurisdikcí nespolupracujících v daňové oblasti.</w:t>
      </w:r>
    </w:p>
    <w:p w:rsidR="00A4002B" w:rsidRPr="00717772" w:rsidP="006915B5" w14:paraId="3C5B5DB3" w14:textId="77777777">
      <w:pPr>
        <w:pStyle w:val="NormalHanging"/>
      </w:pPr>
      <w:r w:rsidRPr="00717772">
        <w:t>–</w:t>
      </w:r>
      <w:r w:rsidRPr="00717772">
        <w:tab/>
        <w:t>s ohledem na prohlášení a doporučení, která přijal Parlamentní výbor pro stabilizaci a přidružení EU–Černá Hora na své 23. schůzi konané ve dnech 2. a 3. dubna 2025 a na své 24. schůzi konané ve dnech 18. a 19. září 2025,</w:t>
      </w:r>
    </w:p>
    <w:p w:rsidR="00A4002B" w:rsidRPr="00717772" w:rsidP="006915B5" w14:paraId="1826762B" w14:textId="77777777">
      <w:pPr>
        <w:pStyle w:val="NormalHanging"/>
      </w:pPr>
      <w:r w:rsidRPr="00717772">
        <w:t>–</w:t>
      </w:r>
      <w:r w:rsidRPr="00717772">
        <w:tab/>
        <w:t>s ohledem na přistoupení Černé Hory k NATO dne 5. června 2017,</w:t>
      </w:r>
    </w:p>
    <w:p w:rsidR="00A4002B" w:rsidRPr="00717772" w:rsidP="006915B5" w14:paraId="169016CE" w14:textId="77777777">
      <w:pPr>
        <w:pStyle w:val="NormalHanging"/>
      </w:pPr>
      <w:r w:rsidRPr="00717772">
        <w:t>–</w:t>
      </w:r>
      <w:r w:rsidRPr="00717772">
        <w:tab/>
        <w:t>s ohledem na svá předchozí usnesení o Černé Hoře,</w:t>
      </w:r>
    </w:p>
    <w:p w:rsidR="00A4002B" w:rsidRPr="00717772" w:rsidP="006915B5" w14:paraId="30C7A5BE" w14:textId="77777777">
      <w:pPr>
        <w:pStyle w:val="NormalHanging"/>
      </w:pPr>
      <w:r w:rsidRPr="00717772">
        <w:t>–</w:t>
      </w:r>
      <w:r w:rsidRPr="00717772">
        <w:tab/>
        <w:t>s ohledem na článek 55 jednacího řádu,</w:t>
      </w:r>
    </w:p>
    <w:p w:rsidR="00A4002B" w:rsidRPr="00717772" w:rsidP="006915B5" w14:paraId="762E39BF" w14:textId="77777777">
      <w:pPr>
        <w:pStyle w:val="NormalHanging"/>
      </w:pPr>
      <w:r w:rsidRPr="00717772">
        <w:t>–</w:t>
      </w:r>
      <w:r w:rsidRPr="00717772">
        <w:tab/>
        <w:t>s ohledem na zprávu Výboru pro zahraniční věci (A10-0143/2026),</w:t>
      </w:r>
    </w:p>
    <w:p w:rsidR="00A4002B" w:rsidRPr="00717772" w:rsidP="006915B5" w14:paraId="666A386A" w14:textId="77777777">
      <w:pPr>
        <w:pStyle w:val="NormalHanging"/>
      </w:pPr>
      <w:r w:rsidRPr="00717772">
        <w:t>A.</w:t>
      </w:r>
      <w:r w:rsidRPr="00717772">
        <w:tab/>
        <w:t>vzhledem k tomu, že rozšíření je klíčovým nástrojem zahraniční politiky EU a strategickou investicí do míru, bezpečnosti a prosperity na Evropském kontinentu, zejména s ohledem na měnící se geopolitickou situaci a výzvy v oblasti bezpečnosti v Evropě;</w:t>
      </w:r>
    </w:p>
    <w:p w:rsidR="00A4002B" w:rsidRPr="00717772" w:rsidP="006915B5" w14:paraId="1403273B" w14:textId="77777777">
      <w:pPr>
        <w:pStyle w:val="NormalHanging"/>
      </w:pPr>
      <w:r w:rsidRPr="00717772">
        <w:t>B.</w:t>
      </w:r>
      <w:r w:rsidRPr="00717772">
        <w:tab/>
        <w:t>vzhledem k tomu, že každá kandidátská země je při plnění kodaňských kritérií posuzována podle vlastních zásluh, a to za přísných, ale spravedlivých podmínek a s měřitelnými výsledky, zejména v oblasti právního státu a s ohledem na soulad s hodnotami EU a společnou zahraniční a bezpečnostní politikou;</w:t>
      </w:r>
    </w:p>
    <w:p w:rsidR="00A4002B" w:rsidRPr="00717772" w:rsidP="006915B5" w14:paraId="5804CB6A" w14:textId="77777777">
      <w:pPr>
        <w:pStyle w:val="NormalHanging"/>
      </w:pPr>
      <w:r w:rsidRPr="00717772">
        <w:t>C.</w:t>
      </w:r>
      <w:r w:rsidRPr="00717772">
        <w:tab/>
        <w:t>vzhledem k tomu, že Černá Hora požádala o členství v EU v roce 2008; vzhledem k tomu, že v roce 2010 jí byl udělen status kandidátské země; vzhledem k tomu, že jednání byla zahájena v roce 2012; vzhledem k tomu, že vláda Černé Hory prohlásila za svůj cíl, aby se Černá Hora stala 28. členským státem EU do roku 2028;</w:t>
      </w:r>
    </w:p>
    <w:p w:rsidR="00A4002B" w:rsidRPr="00717772" w:rsidP="006915B5" w14:paraId="4AFC7833" w14:textId="77777777">
      <w:pPr>
        <w:pStyle w:val="NormalHanging"/>
      </w:pPr>
      <w:r w:rsidRPr="00717772">
        <w:t>D.</w:t>
      </w:r>
      <w:r w:rsidRPr="00717772">
        <w:tab/>
        <w:t>vzhledem k tomu, že Černá Hora je kandidátskou zemí, která na cestě k přistoupení k EU dosáhla největšího pokroku; vzhledem k tomu, že Černá Hora otevřela všech 33 vyjednávacích kapitol, z nichž některé už byly uzavřeny; vzhledem k tomu, že dosažení dalšího pokroku závisí na trvalých výsledcích při provádění reforem, zejména v kapitole 23 a 24;</w:t>
      </w:r>
    </w:p>
    <w:p w:rsidR="00A4002B" w:rsidRPr="00717772" w:rsidP="006915B5" w14:paraId="529C1C6F" w14:textId="77777777">
      <w:pPr>
        <w:pStyle w:val="NormalHanging"/>
      </w:pPr>
      <w:r w:rsidRPr="00717772">
        <w:t>E.</w:t>
      </w:r>
      <w:r w:rsidRPr="00717772">
        <w:tab/>
        <w:t>vzhledem k tomu, že EU je nejdůvěryhodnějším partnerem Černé Hory a důvěřuje jí 69 % občanů této země, což patří k nejvyšším úrovním důvěry v EU v regionu; vzhledem k tomu, že to zvyšuje povinnost politických aktérů provádět odpovědné, důsledné a účinné reformy;</w:t>
      </w:r>
    </w:p>
    <w:p w:rsidR="00A4002B" w:rsidRPr="00717772" w:rsidP="006915B5" w14:paraId="49FBBB58" w14:textId="77777777">
      <w:pPr>
        <w:pStyle w:val="NormalHanging"/>
      </w:pPr>
      <w:r w:rsidRPr="00717772">
        <w:t>F.</w:t>
      </w:r>
      <w:r w:rsidRPr="00717772">
        <w:tab/>
        <w:t xml:space="preserve">vzhledem k tomu, že pro zachování soudržnosti, důvěryhodnosti, transparentnosti a celkové účinnosti procesu rozšíření má zásadní význam trvalý politický závazek kandidátských zemí i EU; vzhledem k tomu, že by dvoustranné otázky měly být řešeny </w:t>
      </w:r>
      <w:r w:rsidRPr="00717772">
        <w:t>dvoustranně</w:t>
      </w:r>
      <w:r w:rsidRPr="00717772">
        <w:t xml:space="preserve"> a neměly by být využívány k blokování nebo další politizaci procesu rozšíření;</w:t>
      </w:r>
    </w:p>
    <w:p w:rsidR="00A4002B" w:rsidRPr="00717772" w:rsidP="006915B5" w14:paraId="594F03D2" w14:textId="77777777">
      <w:pPr>
        <w:pStyle w:val="NormalHanging"/>
      </w:pPr>
      <w:r w:rsidRPr="00717772">
        <w:t>G.</w:t>
      </w:r>
      <w:r w:rsidRPr="00717772">
        <w:tab/>
        <w:t>vzhledem k tomu, že EU zůstává hlavním hospodářským a finančním partnerem Černé Hory a jejím největším obchodním partnerem; vzhledem k tomu, že bezproblémové fungování obchodních a dopravních toků mezi touto zemí a EU má zásadní význam, pokud jde o hospodářskou stabilitu, odolnost dodavatelských řetězců a postupné zapojení Černé Hory do vnitřního trhu EU;</w:t>
      </w:r>
    </w:p>
    <w:p w:rsidR="00A4002B" w:rsidRPr="00717772" w:rsidP="006915B5" w14:paraId="47527BDC" w14:textId="77777777">
      <w:pPr>
        <w:pStyle w:val="NormalHanging"/>
      </w:pPr>
      <w:r w:rsidRPr="00717772">
        <w:t>H.</w:t>
      </w:r>
      <w:r w:rsidRPr="00717772">
        <w:tab/>
        <w:t>vzhledem k tomu, že stabilita Černé Hory má zásadní význam pro bezpečnost západního Balkánu a EU; vzhledem k tomu, že zahraniční politické projekty usilující o přeshraniční vliv na základě etnické nebo náboženské příslušnosti představují riziko narušení svrchovanosti a ústavního pořádku zemí v regionu; vzhledem k tomu, že budoucnost západního Balkánu spočívá v evropské integraci, a nikoli v konkurenčních geopolitických sférách vlivu nebo etnicky motivovaných regionálních spojenectvích;</w:t>
      </w:r>
    </w:p>
    <w:p w:rsidR="00A4002B" w:rsidRPr="00717772" w:rsidP="006915B5" w14:paraId="42668854" w14:textId="77777777">
      <w:pPr>
        <w:pStyle w:val="NormalHanging"/>
      </w:pPr>
      <w:r w:rsidRPr="00717772">
        <w:t>I.</w:t>
      </w:r>
      <w:r w:rsidRPr="00717772">
        <w:tab/>
        <w:t xml:space="preserve">vzhledem k tomu, že Černá Hora je i nadále ohrožena pokusy o manipulaci s informačním prostorem ze zahraničí a zevnitř; vzhledem k tomu, že Komise zdůraznila potřebu omezit možnosti k zahraničnímu vměšování a manipulaci s informacemi, </w:t>
      </w:r>
      <w:r w:rsidRPr="00717772">
        <w:t>včetně dezinformací, a posílit odolnost společnosti; vzhledem k tomu, že Rusko se snaží zvýšit svůj vliv na západním Balkáně, včetně Černé Hory, prostřednictvím strategického šíření náboženských, kulturních a tzv. hodnotových narativů zaměřených na formování veřejného diskurzu a oslabování euroatlantické integrace;</w:t>
      </w:r>
    </w:p>
    <w:p w:rsidR="00A4002B" w:rsidRPr="00717772" w:rsidP="006915B5" w14:paraId="7288DD72" w14:textId="77777777">
      <w:pPr>
        <w:pStyle w:val="NormalHanging"/>
      </w:pPr>
      <w:r w:rsidRPr="00717772">
        <w:t>J.</w:t>
      </w:r>
      <w:r w:rsidRPr="00717772">
        <w:tab/>
        <w:t>vzhledem k tomu, že navzdory určitému institucionálnímu pokroku zůstává korupce a organizovaný zločin přítomny v několika odvětvích hospodářství a veřejných institucích Černé Hory;</w:t>
      </w:r>
    </w:p>
    <w:p w:rsidR="00A4002B" w:rsidRPr="00717772" w:rsidP="006915B5" w14:paraId="07A463F1" w14:textId="77777777">
      <w:pPr>
        <w:pStyle w:val="NormalHanging"/>
      </w:pPr>
      <w:r w:rsidRPr="00717772">
        <w:t>K.</w:t>
      </w:r>
      <w:r w:rsidRPr="00717772">
        <w:tab/>
        <w:t xml:space="preserve">vzhledem k tomu, že základním kamenem finanční stability a důvěry v kontextu přistoupení k EU zůstává sbližování s </w:t>
      </w:r>
      <w:r w:rsidRPr="007E0BC0">
        <w:rPr>
          <w:i/>
          <w:iCs/>
        </w:rPr>
        <w:t>acquis</w:t>
      </w:r>
      <w:r w:rsidRPr="00717772">
        <w:t xml:space="preserve"> EU v oblasti daní a řádná správa v oblasti daní;</w:t>
      </w:r>
    </w:p>
    <w:p w:rsidR="00A4002B" w:rsidRPr="00717772" w:rsidP="006915B5" w14:paraId="489ABC0A" w14:textId="77777777">
      <w:pPr>
        <w:pStyle w:val="Normal12a"/>
      </w:pPr>
      <w:r w:rsidRPr="00717772">
        <w:rPr>
          <w:b/>
          <w:i/>
        </w:rPr>
        <w:t>Odhodlání přistoupit k EU</w:t>
      </w:r>
    </w:p>
    <w:p w:rsidR="00A4002B" w:rsidRPr="00717772" w:rsidP="006915B5" w14:paraId="732C9AE7" w14:textId="08708E2E">
      <w:pPr>
        <w:pStyle w:val="NormalHanging12a"/>
      </w:pPr>
      <w:r w:rsidRPr="00717772">
        <w:t>1.</w:t>
      </w:r>
      <w:r w:rsidRPr="00717772">
        <w:tab/>
        <w:t xml:space="preserve">vítá stálý pokrok Černé Hory v reformách souvisejících s EU, který je podpořen širokou politickou angažovaností a ambicí dokončit jednání do konce roku 2026; vítá předběžné uzavření dalších šesti kapitol přístupových jednání v roce 2025 a </w:t>
      </w:r>
      <w:r w:rsidR="00D43BD8">
        <w:t>čtyřech</w:t>
      </w:r>
      <w:r w:rsidRPr="00717772">
        <w:t xml:space="preserve"> kapitol v roce 2026, čímž bylo dosaženo uzavření celkem 1</w:t>
      </w:r>
      <w:r w:rsidR="00D43BD8">
        <w:t>6</w:t>
      </w:r>
      <w:r w:rsidRPr="00717772">
        <w:t xml:space="preserve"> kapitol; znovu opakuje, že plně podporuje budoucnost této země v EU;</w:t>
      </w:r>
      <w:r w:rsidR="00534857">
        <w:t xml:space="preserve"> </w:t>
      </w:r>
      <w:r w:rsidRPr="00534857" w:rsidR="00534857">
        <w:t xml:space="preserve">vítá skutečnost, že v Radě byla zřízena </w:t>
      </w:r>
      <w:r w:rsidRPr="007E0BC0" w:rsidR="00534857">
        <w:rPr>
          <w:i/>
          <w:iCs/>
        </w:rPr>
        <w:t>ad hoc</w:t>
      </w:r>
      <w:r w:rsidRPr="00534857" w:rsidR="00534857">
        <w:t xml:space="preserve"> pracovní skupina pro vypracování smlouvy o přistoupení s Černou Horou, která je důležitým a včasným krokem k dosažení pokroku v závěrečné fázi procesu přistoupení Černé Hory k EU a k opětovnému potvrzení závazku EU k rozšíření;</w:t>
      </w:r>
    </w:p>
    <w:p w:rsidR="00A4002B" w:rsidRPr="00717772" w:rsidP="006915B5" w14:paraId="113F96DE" w14:textId="77777777">
      <w:pPr>
        <w:pStyle w:val="NormalHanging12a"/>
      </w:pPr>
      <w:r w:rsidRPr="00717772">
        <w:t>2.</w:t>
      </w:r>
      <w:r w:rsidRPr="00717772">
        <w:tab/>
        <w:t>znovu potvrzuje, že Černá Hora zůstává průkopníkem v procesu přistoupení k EU, a zdůrazňuje, že tempo a posloupnost rozšíření se musejí i nadále řídit zásadou individuálních zásluh; poukazuje na to, že pokrok na cestě k členství by měl být posuzován výhradně na základě objektivního plnění stanovených kritérií; požaduje, aby důsledné reformní úsilí bylo doprovázeno stejně důvěryhodnou, předvídatelnou a včasnou perspektivou vstupu do EU; zdůrazňuje, že integrita politiky rozšíření závisí na soudržnosti, spravedlnosti a rovném zacházení, což odráží prokázanou úroveň připravenosti každé kandidátské země;</w:t>
      </w:r>
    </w:p>
    <w:p w:rsidR="00A4002B" w:rsidRPr="00717772" w:rsidP="006915B5" w14:paraId="4F8B7B5E" w14:textId="77777777">
      <w:pPr>
        <w:pStyle w:val="NormalHanging12a"/>
      </w:pPr>
      <w:r w:rsidRPr="00717772">
        <w:t>3.</w:t>
      </w:r>
      <w:r w:rsidRPr="00717772">
        <w:tab/>
        <w:t>vítá širokou a konzistentní veřejnou podporu evropské cesty země mezi občany Černé Hory, přičemž velká většina občanů vyjadřuje důvěru v budoucnost Černé Hory v EU;</w:t>
      </w:r>
    </w:p>
    <w:p w:rsidR="00A4002B" w:rsidRPr="00717772" w:rsidP="006915B5" w14:paraId="3508B23F" w14:textId="77777777">
      <w:pPr>
        <w:pStyle w:val="NormalHanging12a"/>
      </w:pPr>
      <w:r w:rsidRPr="00717772">
        <w:t>4.</w:t>
      </w:r>
      <w:r w:rsidRPr="00717772">
        <w:tab/>
        <w:t>vybízí všechny politické aktéry, aby se nadále soustředili na úspěšné dokončení přístupových jednání, udrželi v tomto ohledu potřebnou dynamiku a zintenzivnili své úsilí o provedení nezbytných reforem; zdůrazňuje potřebu politické stability a konstruktivní spolupráce mezi stranami v tomto ohledu; zdůrazňuje, že skutečný pokrok závisí na účinném provádění přijatých reforem a na trvalých měřitelných výsledcích v oblasti právního státu, včetně vynášení pravomocných rozsudků v případech korupce na vysoké úrovni a organizovaného zločinu; vyzývá Černou Horu, aby dále pokročila v plnění kritérií pro uzavření kapitoly, zejména kapitol 23 a 24;</w:t>
      </w:r>
    </w:p>
    <w:p w:rsidR="00A4002B" w:rsidRPr="00717772" w:rsidP="006915B5" w14:paraId="29AAE059" w14:textId="77777777">
      <w:pPr>
        <w:pStyle w:val="NormalHanging12a"/>
      </w:pPr>
      <w:r w:rsidRPr="00717772">
        <w:t>5.</w:t>
      </w:r>
      <w:r w:rsidRPr="00717772">
        <w:tab/>
        <w:t xml:space="preserve">vyzývá všechny státní orgány, aby jednaly v duchu institucionální odpovědnosti a zajistily, aby politické rozdíly nevedly k prodlevám, pokud jde o přijetí reforem spojených se vstupem do EU a jejich provádění; zdůrazňuje, že zachování strategického cíle, kterým je přistoupení k EU, musí zůstat společnou celostátní prioritou, která by šla nad rámec stranických úvah; naléhavě vyzývá černohorský parlament a vládu, aby zabránily tomu, aby politika identity odváděla pozornost od agendy EU nebo vytvářela </w:t>
      </w:r>
      <w:r w:rsidRPr="00717772">
        <w:t>napětí ve vztazích se sousedními zeměmi, a zajistily tak, aby Černá Hora zůstala pevně na cestě do EU;</w:t>
      </w:r>
    </w:p>
    <w:p w:rsidR="00A4002B" w:rsidRPr="00717772" w:rsidP="006915B5" w14:paraId="1B6D786C" w14:textId="77777777">
      <w:pPr>
        <w:pStyle w:val="NormalHanging12a"/>
      </w:pPr>
      <w:r w:rsidRPr="00717772">
        <w:t>6.</w:t>
      </w:r>
      <w:r w:rsidRPr="00717772">
        <w:tab/>
        <w:t>vybízí Černou Horu jako nejpokročilejší kandidátskou zemi, aby nadále hrála konstruktivní a stabilizující roli v regionu a aby svým vůdčím postavením prokázala, že svrchovanost, občanská identita a evropská integrace se vzájemně posilují;</w:t>
      </w:r>
    </w:p>
    <w:p w:rsidR="00A4002B" w:rsidRPr="00717772" w:rsidP="006915B5" w14:paraId="51B182A7" w14:textId="77777777">
      <w:pPr>
        <w:pStyle w:val="NormalHanging12a"/>
      </w:pPr>
      <w:r w:rsidRPr="00717772">
        <w:t>7.</w:t>
      </w:r>
      <w:r w:rsidRPr="00717772">
        <w:tab/>
        <w:t xml:space="preserve">vítá pokračující a plný soulad Černé Hory se společnou zahraniční a bezpečnostní politikou EU, včetně omezujících opatření EU, zejména těch, které se týkají ruské agresivní války proti Ukrajině, ale i její principiální postoj v Organizaci spojených národů a účast na misích a operacích EU zaměřených na řešení krizí a na misích NATO a dalších mezinárodních multilaterálních misích, včetně námořních sil EU ATALANTA, mise vojenské pomoci EU na podporu Ukrajiny (EUMAM </w:t>
      </w:r>
      <w:r w:rsidRPr="00717772">
        <w:t>Ukraine</w:t>
      </w:r>
      <w:r w:rsidRPr="00717772">
        <w:t xml:space="preserve">) a KFOR; oceňuje rozhodnutí černohorského parlamentu schválit účast země na misi EUMAM </w:t>
      </w:r>
      <w:r w:rsidRPr="00717772">
        <w:t>Ukraine</w:t>
      </w:r>
      <w:r w:rsidRPr="00717772">
        <w:t>; znovu opakuje, že důsledné sladění politiky Černé Hory se společnou zahraniční a bezpečnostní politikou EU, včetně restriktivních opatření vůči Rusku, je klíčovým ukazatelem její strategické orientace; zdůrazňuje, že tento postoj musí zůstat neochvějný; zdůrazňuje, že jednoznačný závazek politických zástupců Černé Hory k nezávislé státnosti a strategické evropské orientaci země zůstává vedle technických kritérií reforem jedním z klíčových politických kritérií;</w:t>
      </w:r>
    </w:p>
    <w:p w:rsidR="00A4002B" w:rsidRPr="00717772" w:rsidP="006915B5" w14:paraId="21EE1C15" w14:textId="77777777">
      <w:pPr>
        <w:pStyle w:val="NormalHanging12a"/>
      </w:pPr>
      <w:r w:rsidRPr="00717772">
        <w:t>8.</w:t>
      </w:r>
      <w:r w:rsidRPr="00717772">
        <w:tab/>
        <w:t>vítá dialog o bezpečnosti a obraně mezi EU a Černou Horou, včetně strukturovaných výměn informací o spolupráci v oblasti bezpečnosti a obrany, odolnosti vůči nově vznikajícím hrozbám a spolupráci na podpoře Ukrajiny;</w:t>
      </w:r>
    </w:p>
    <w:p w:rsidR="00A4002B" w:rsidRPr="00717772" w:rsidP="006915B5" w14:paraId="46B81C2F" w14:textId="77777777">
      <w:pPr>
        <w:pStyle w:val="NormalHanging12a"/>
      </w:pPr>
      <w:r w:rsidRPr="00717772">
        <w:t>9.</w:t>
      </w:r>
      <w:r w:rsidRPr="00717772">
        <w:tab/>
        <w:t xml:space="preserve">vítá rozhodnutí parlamentu Černé Hory vyslat příslušníky svých ozbrojených sil k účasti v misi EUMAM </w:t>
      </w:r>
      <w:r w:rsidRPr="00717772">
        <w:t>Ukraine</w:t>
      </w:r>
      <w:r w:rsidRPr="00717772">
        <w:t>, což signalizuje jasný a neochvějný soulad s bezpečnostními prioritami EU a NATO; připomíná, že Černá Hora je klíčovým spojencem EU v regionu; vítá rozhodnutí černohorské vlády, že dostojí závazku věnovat 2 % rozpočtu na obranu;</w:t>
      </w:r>
    </w:p>
    <w:p w:rsidR="00A4002B" w:rsidP="006915B5" w14:paraId="201E06A6" w14:textId="77777777">
      <w:pPr>
        <w:pStyle w:val="NormalHanging12a"/>
      </w:pPr>
      <w:r w:rsidRPr="00717772">
        <w:t>10.</w:t>
      </w:r>
      <w:r w:rsidRPr="00717772">
        <w:tab/>
        <w:t>je nadále vážně znepokojen přetrvávajícím a stupňujícím se zlovolným zahraničním vměšováním, destabilizačními aktivitami, hybridními hrozbami a dezinformačními kampaněmi aktérů ze třetích zemí v Černé Hoře, jejichž cílem je podkopat demokratické instituce Černé Hory, společenskou soudržnost země a její strategickou orientaci na členství v EU a NATO; poukazuje na to, že toto vměšování přímo zpochybňuje zásady právního státu, demokratické vládnutí a národní svrchovanost; poukazuje zejména na škodlivý vliv Číny, Ruska a Srbska;</w:t>
      </w:r>
    </w:p>
    <w:p w:rsidR="00534857" w:rsidRPr="00717772" w:rsidP="006915B5" w14:paraId="2AE4D059" w14:textId="790C8AC4">
      <w:pPr>
        <w:pStyle w:val="NormalHanging12a"/>
      </w:pPr>
      <w:r w:rsidRPr="00534857">
        <w:t>1</w:t>
      </w:r>
      <w:r w:rsidR="00B33DE1">
        <w:t>1</w:t>
      </w:r>
      <w:r w:rsidRPr="00534857">
        <w:t>.</w:t>
      </w:r>
      <w:r w:rsidRPr="00534857">
        <w:tab/>
        <w:t xml:space="preserve">s vážným znepokojením sleduje zprávy o tom, že stoupenci srbského prezidenta </w:t>
      </w:r>
      <w:r w:rsidRPr="00534857">
        <w:t>Vučiće</w:t>
      </w:r>
      <w:r w:rsidRPr="00534857">
        <w:t xml:space="preserve"> přicestovali dne 3. června 2026 do </w:t>
      </w:r>
      <w:r w:rsidRPr="00534857">
        <w:t>Tivatu</w:t>
      </w:r>
      <w:r w:rsidRPr="00534857">
        <w:t xml:space="preserve"> ve snaze destabilizovat Černou Horu a narušit summit EU – západní Balkán; dále konstatuje, že někteří zúčastnění jsou již známi z dřívějších provládních mobilizací, podíleli se na potlačování studentských protestů v Srbsku a dopustili se násilných trestných činů nebo přestupků; důrazně odsuzuje praktiky struktur spojených se srbskou vládnoucí stranou, jejichž cílem je destabilizovat Černou Horu a bránit jí v cestě do EU</w:t>
      </w:r>
      <w:r>
        <w:t>;</w:t>
      </w:r>
    </w:p>
    <w:p w:rsidR="00A4002B" w:rsidRPr="00717772" w:rsidP="006915B5" w14:paraId="3AF1E466" w14:textId="610B2A70">
      <w:pPr>
        <w:pStyle w:val="NormalHanging12a"/>
      </w:pPr>
      <w:r w:rsidRPr="00717772">
        <w:t>1</w:t>
      </w:r>
      <w:r w:rsidR="00B33DE1">
        <w:t>2</w:t>
      </w:r>
      <w:r w:rsidRPr="00717772">
        <w:t>.</w:t>
      </w:r>
      <w:r w:rsidRPr="00717772">
        <w:tab/>
        <w:t xml:space="preserve">vyzývá k rozvoji specifické podpory ze strany EU a NATO a k jejich posílené spolupráci s Černou Horou s cílem zavést důraznější opatření proti těmto hybridním hrozbám, zahraniční manipulaci s informacemi a skrytému politickému financování a zvýšit společenskou a institucionální odolnost, včetně posílení kybernetické </w:t>
      </w:r>
      <w:r w:rsidRPr="00717772">
        <w:t>bezpečnosti, zlepšení mediální gramotnosti na všech úrovních vzdělávání, zajištění odpovídající odborné přípravy učitelů a moderních výukových zdrojů, posílení strategické komunikace, zlepšení kapacit pro boj proti dezinformacím a posílení transparentnosti vlastnictví sdělovacích prostředků; vybízí Komisi, aby zajistila, aby mohla mít Černá Hora plný užitek z Evropského štítu pro demokracii; vyzývá k posílení mechanismů prověřování a integrity v rámci bezpečnostních a zpravodajských služeb Černé Hory;</w:t>
      </w:r>
    </w:p>
    <w:p w:rsidR="00A4002B" w:rsidRPr="00717772" w:rsidP="006915B5" w14:paraId="6CD3EB94" w14:textId="0467FF94">
      <w:pPr>
        <w:pStyle w:val="NormalHanging12a"/>
      </w:pPr>
      <w:r w:rsidRPr="00717772">
        <w:t>1</w:t>
      </w:r>
      <w:r w:rsidR="00B33DE1">
        <w:t>3</w:t>
      </w:r>
      <w:r w:rsidRPr="00717772">
        <w:t>.</w:t>
      </w:r>
      <w:r w:rsidRPr="00717772">
        <w:tab/>
        <w:t>vyjadřuje znepokojení nad politickým zneužíváním náboženských institucí vnějšími aktéry; zdůrazňuje, že náboženské organizace musí fungovat transparentně a nezávisle na zahraničním politickém vlivu, a to při plném respektování ústavního a sekulárního rámce Černé Hory;</w:t>
      </w:r>
    </w:p>
    <w:p w:rsidR="00A4002B" w:rsidRPr="00717772" w:rsidP="006915B5" w14:paraId="19017465" w14:textId="24C49208">
      <w:pPr>
        <w:pStyle w:val="NormalHanging12a"/>
      </w:pPr>
      <w:r w:rsidRPr="00717772">
        <w:t>1</w:t>
      </w:r>
      <w:r w:rsidR="00B33DE1">
        <w:t>4</w:t>
      </w:r>
      <w:r w:rsidRPr="00717772">
        <w:t>.</w:t>
      </w:r>
      <w:r w:rsidRPr="00717772">
        <w:tab/>
        <w:t>vyzývá EU a Černou Horu, aby pokračovaly v cílené strategické komunikaci o výhodách rozšíření a členství v EU a výrazně ji posílily tím, že přijmou proaktivnější a místně přizpůsobený přístup v úzké spolupráci s vnitrostátními institucemi a občanskou společností; se znepokojením konstatuje, že podle posledního zvláštního průzkumu Eurobarometr se pouze 39 % občanů Černé Hory cítí být dobře nebo velmi dobře informováno o EU;</w:t>
      </w:r>
    </w:p>
    <w:p w:rsidR="00A4002B" w:rsidRPr="00717772" w:rsidP="006915B5" w14:paraId="67DB0242" w14:textId="2422F867">
      <w:pPr>
        <w:pStyle w:val="NormalHanging12a"/>
      </w:pPr>
      <w:r w:rsidRPr="00717772">
        <w:t>1</w:t>
      </w:r>
      <w:r w:rsidR="00B33DE1">
        <w:t>5</w:t>
      </w:r>
      <w:r w:rsidRPr="00717772">
        <w:t>.</w:t>
      </w:r>
      <w:r w:rsidRPr="00717772">
        <w:tab/>
        <w:t>vítá aktivní zapojení černohorského parlamentu do Parlamentního výboru pro stabilizaci a přidružení EU-Černá Hora;</w:t>
      </w:r>
    </w:p>
    <w:p w:rsidR="00A4002B" w:rsidRPr="00717772" w:rsidP="006915B5" w14:paraId="57F28753" w14:textId="6CA0436F">
      <w:pPr>
        <w:pStyle w:val="NormalHanging12a"/>
      </w:pPr>
      <w:r w:rsidRPr="00717772">
        <w:t>1</w:t>
      </w:r>
      <w:r w:rsidR="00B33DE1">
        <w:t>6</w:t>
      </w:r>
      <w:r w:rsidRPr="00717772">
        <w:t>.</w:t>
      </w:r>
      <w:r w:rsidRPr="00717772">
        <w:tab/>
        <w:t xml:space="preserve">vítá uspořádání občanského fóra s názvem „Občané v centru rozšiřování Evropské unie“, které se konalo ve dnech 20.–21. září 2025 v </w:t>
      </w:r>
      <w:r w:rsidRPr="00717772">
        <w:t>Podgorici</w:t>
      </w:r>
      <w:r w:rsidRPr="00717772">
        <w:t xml:space="preserve"> v Černé Hoře;</w:t>
      </w:r>
    </w:p>
    <w:p w:rsidR="00A4002B" w:rsidRPr="00717772" w:rsidP="006915B5" w14:paraId="0E3E63D5" w14:textId="5B47E61E">
      <w:pPr>
        <w:pStyle w:val="NormalHanging12a"/>
      </w:pPr>
      <w:r w:rsidRPr="00717772">
        <w:t>1</w:t>
      </w:r>
      <w:r w:rsidR="00B33DE1">
        <w:t>7</w:t>
      </w:r>
      <w:r w:rsidRPr="00717772">
        <w:t>.</w:t>
      </w:r>
      <w:r w:rsidRPr="00717772">
        <w:tab/>
        <w:t xml:space="preserve">vítá jmenování města </w:t>
      </w:r>
      <w:r w:rsidRPr="00717772">
        <w:t>Nikšić</w:t>
      </w:r>
      <w:r w:rsidRPr="00717772">
        <w:t xml:space="preserve"> evropským hlavním městem kultury pro rok 2030 a města </w:t>
      </w:r>
      <w:r w:rsidRPr="00717772">
        <w:t>Podgorica</w:t>
      </w:r>
      <w:r w:rsidRPr="00717772">
        <w:t xml:space="preserve"> evropským hlavním městem mládeže pro rok 2028 a poukazuje na jejich úlohu při podpoře větší angažovanosti mládeže, inovací, kulturní výměny a užších vazeb mezi Černou Horou a EU;</w:t>
      </w:r>
    </w:p>
    <w:p w:rsidR="00A4002B" w:rsidRPr="00717772" w:rsidP="006915B5" w14:paraId="0A888C58" w14:textId="77777777">
      <w:pPr>
        <w:pStyle w:val="Normal12a"/>
      </w:pPr>
      <w:r w:rsidRPr="00717772">
        <w:rPr>
          <w:b/>
          <w:i/>
        </w:rPr>
        <w:t>Demokracie a právní stát</w:t>
      </w:r>
    </w:p>
    <w:p w:rsidR="00A4002B" w:rsidRPr="00717772" w:rsidP="006915B5" w14:paraId="337CB4A8" w14:textId="70540335">
      <w:pPr>
        <w:pStyle w:val="NormalHanging12a"/>
      </w:pPr>
      <w:r w:rsidRPr="00717772">
        <w:t>1</w:t>
      </w:r>
      <w:r w:rsidR="00B33DE1">
        <w:t>8</w:t>
      </w:r>
      <w:r w:rsidRPr="00717772">
        <w:t>.</w:t>
      </w:r>
      <w:r w:rsidRPr="00717772">
        <w:tab/>
        <w:t>poukazuje na význam černohorského parlamentu v procesu přistoupení a zdůrazňuje jeho klíčovou úlohu při zajišťování demokratické odpovědnosti, parlamentního dohledu a transparentnosti legislativního procesu; podporuje konstruktivní dialog a spolupráci napříč politickým spektrem s cílem přijmout kvalitní právní předpisy, které by řešily nebo smysluplně zlepšily strukturální problémy a umožnily Černé Hoře pokročit na její cestě k přistoupení; zdůrazňuje, že úzká spolupráce mezi vládou a parlamentem Černé Hory má zásadní význam pro včasné a účinné provedení reforem; poukazuje na to že urychlení legislativního procesu by nemělo omezit smysluplnou parlamentní diskusi ani úlohu opozice, a vyzývá k nalezení odpovídající rovnováhy mezi tempem reforem a kvalitou legislativní kontroly;</w:t>
      </w:r>
    </w:p>
    <w:p w:rsidR="00A4002B" w:rsidRPr="00717772" w:rsidP="006915B5" w14:paraId="522B5CB5" w14:textId="620C0130">
      <w:pPr>
        <w:pStyle w:val="NormalHanging12a"/>
      </w:pPr>
      <w:r w:rsidRPr="00717772">
        <w:t>1</w:t>
      </w:r>
      <w:r w:rsidR="00B33DE1">
        <w:t>9</w:t>
      </w:r>
      <w:r w:rsidRPr="00717772">
        <w:t>.</w:t>
      </w:r>
      <w:r w:rsidRPr="00717772">
        <w:tab/>
        <w:t xml:space="preserve">vítá změny volebního zákona Černé Hory, zejména ty, které se týkají dohledu nad financováním kampaní a nad médii, integrity voleb, genderových kvót na volebních seznamech a jediného dne komunálních voleb; naléhavě vyzývá Černou Horu, aby dosáhla plného souladu s normami EU a plně provedla všechna zbývající doporučení vydaná Úřadem pro demokratické instituce a lidská práva Organizace pro bezpečnost a spolupráci v Evropě a Skupinou států proti korupci, zejména pokud jde o transparentnost výdajů politických stran, včetně využívání finančních prostředků </w:t>
      </w:r>
      <w:r w:rsidRPr="00717772">
        <w:t>určených ženským organizacím v rámci politických stran, o online politickou reklamu, včetně zveřejňování sponzorů a cílových kritérií, a o předcházení zneužívání státních zdrojů, aktualizaci seznamu voličů a řešení otázky registrace bydliště; připomíná, že by se tak mělo dít prostřednictvím transparentního a inkluzivního konzultačního procesu se všemi příslušnými zúčastněnými stranami; vyzývá černohorské orgány, aby v období před volbami systematicky chránily volební informační prostředí tím, že zřídí kanály rychlé spolupráce mezi volební správou, regulačním orgánem pro média a příslušnými orgány s cílem odhalovat koordinované dezinformace a nezákonné vměšování a reagovat na ně, a to při plném respektování svobody projevu;</w:t>
      </w:r>
    </w:p>
    <w:p w:rsidR="00A4002B" w:rsidRPr="00717772" w:rsidP="006915B5" w14:paraId="64907720" w14:textId="01966EE0">
      <w:pPr>
        <w:pStyle w:val="NormalHanging12a"/>
      </w:pPr>
      <w:r>
        <w:t>20</w:t>
      </w:r>
      <w:r w:rsidRPr="00717772">
        <w:t>.</w:t>
      </w:r>
      <w:r w:rsidRPr="00717772">
        <w:tab/>
        <w:t>vítá zařazení Černé Hory do zprávy Komise o právním státu za rok 2025;</w:t>
      </w:r>
    </w:p>
    <w:p w:rsidR="00A4002B" w:rsidRPr="00717772" w:rsidP="006915B5" w14:paraId="1536EBA2" w14:textId="03283217">
      <w:pPr>
        <w:pStyle w:val="NormalHanging12a"/>
      </w:pPr>
      <w:r w:rsidRPr="00717772">
        <w:t>2</w:t>
      </w:r>
      <w:r w:rsidR="00B33DE1">
        <w:t>1</w:t>
      </w:r>
      <w:r w:rsidRPr="00717772">
        <w:t>.</w:t>
      </w:r>
      <w:r w:rsidRPr="00717772">
        <w:tab/>
        <w:t>vyzývá k tomu, aby jmenování soudců, včetně jmenování soudců Ústavního soudu a členů soudcovské rady a rady státních zástupců, probíhala rychleji prostřednictvím transparentních postupů na základě zásluh, odbornosti a integrity, bez politického ovlivňování a bez prodlení, v plném souladu s požadavky na uzavření jednání; poukazuje na klíčovou úlohu plně funkčního Ústavního soudu pro stabilitu právního řádu a volebního rámce; je vážně znepokojen pokračujícími průtahy ve jmenování soudce Ústavního soudu, které ohrožují plné fungování jedné z klíčových institucí pro ochranu právního státu a integraci do EU;</w:t>
      </w:r>
    </w:p>
    <w:p w:rsidR="00A4002B" w:rsidRPr="00717772" w:rsidP="006915B5" w14:paraId="76FA53A1" w14:textId="38163E00">
      <w:pPr>
        <w:pStyle w:val="NormalHanging12a"/>
      </w:pPr>
      <w:r w:rsidRPr="00717772">
        <w:t>2</w:t>
      </w:r>
      <w:r w:rsidR="00B33DE1">
        <w:t>2</w:t>
      </w:r>
      <w:r w:rsidRPr="00717772">
        <w:t>.</w:t>
      </w:r>
      <w:r w:rsidRPr="00717772">
        <w:tab/>
        <w:t xml:space="preserve">naléhavě vyzývá Černou Horu, aby ještě více sladila svůj právní rámec s </w:t>
      </w:r>
      <w:r w:rsidRPr="007E0BC0">
        <w:rPr>
          <w:i/>
          <w:iCs/>
        </w:rPr>
        <w:t>acquis</w:t>
      </w:r>
      <w:r w:rsidRPr="00717772">
        <w:t xml:space="preserve"> EU a evropskými normami v oblasti nezávislosti, odpovědnosti, nestrannosti, integrity a profesionality soudnictví a aby provedla zbývající doporučení; vyzývá k větší efektivitě systému soudnictví, včetně snížení počtu nahromaděných nevyřízených případů, zejména v případech korupce a organizované trestné činnosti, což má klíčové pro posílení důvěry veřejnosti a splnění podmínek pro členství v EU; připomíná, že kritéria pro uzavření jednání vyžadují prokázané výsledky v praxi, včetně lepších pracovních podmínek, dostatečného personálního obsazení a účinného řízení případů, neboť přetrvávající strukturální nedostatky i nadále ovlivňují efektivitu soudnictví; vítá opatření ke zvýšení přitažlivosti kariéry v soudnictví; vyzývá k přijetí černohorského zákona o platech a dalších právech souvisejících s výkonem soudních a ústavních soudních funkcí s cílem zajistit přiměřené, stabilní a předvídatelné platy a pracovní podmínky soudců a státních zástupců, které jsou základní zárukou jejich nezávislosti a řádného fungování soudního systému;</w:t>
      </w:r>
    </w:p>
    <w:p w:rsidR="00A4002B" w:rsidRPr="00717772" w:rsidP="006915B5" w14:paraId="7C674703" w14:textId="48555A54">
      <w:pPr>
        <w:pStyle w:val="NormalHanging12a"/>
      </w:pPr>
      <w:r w:rsidRPr="00717772">
        <w:t>2</w:t>
      </w:r>
      <w:r w:rsidR="00B33DE1">
        <w:t>3</w:t>
      </w:r>
      <w:r w:rsidRPr="00717772">
        <w:t>.</w:t>
      </w:r>
      <w:r w:rsidRPr="00717772">
        <w:tab/>
        <w:t>konstatuje, že odborníci z řad občanské společnosti vyjádřili vážné obavy ohledně podstaty vládního návrhu změn týkajících se rady státních zástupců, jelikož tyto změny nevedou ke smysluplnému zvýšení její nezávislosti a mohou dokonce ztížit zajištění skutečně nezávislého členství v radě státních zástupců; se znepokojením bere na vědomí přijetí změn zákona o vnitřních věcech a zákona o Národní bezpečnostní agentuře, a to navzdory silné kritice ze strany opozice a občanské společnosti; naléhavě požaduje transparentní postupy a skutečnou spolupráci a konzultace, zejména ohledně všech zákonů týkajících se procesu integrace do EU, se všemi příslušnými zúčastněnými stranami, včetně opozice, právních expertů a Komise;</w:t>
      </w:r>
    </w:p>
    <w:p w:rsidR="00A4002B" w:rsidRPr="00717772" w:rsidP="006915B5" w14:paraId="211C444A" w14:textId="0D772F52">
      <w:pPr>
        <w:pStyle w:val="NormalHanging12a"/>
      </w:pPr>
      <w:r w:rsidRPr="00717772">
        <w:t>2</w:t>
      </w:r>
      <w:r w:rsidR="00B33DE1">
        <w:t>4</w:t>
      </w:r>
      <w:r w:rsidRPr="00717772">
        <w:t>.</w:t>
      </w:r>
      <w:r w:rsidRPr="00717772">
        <w:tab/>
        <w:t>důrazně odsuzuje častý politický a veřejný tlak na soudce a státní zástupce a vyzývá příslušné orgány k rychlé a účinné reakci a ochraně jejich nezávislosti a integrity;</w:t>
      </w:r>
    </w:p>
    <w:p w:rsidR="00A4002B" w:rsidRPr="00717772" w:rsidP="006915B5" w14:paraId="54748AA5" w14:textId="305F185C">
      <w:pPr>
        <w:pStyle w:val="NormalHanging12a"/>
      </w:pPr>
      <w:r w:rsidRPr="00717772">
        <w:t>2</w:t>
      </w:r>
      <w:r w:rsidR="00B33DE1">
        <w:t>5</w:t>
      </w:r>
      <w:r w:rsidRPr="00717772">
        <w:t>.</w:t>
      </w:r>
      <w:r w:rsidRPr="00717772">
        <w:tab/>
        <w:t xml:space="preserve">požaduje další zlepšení výsledků v oblasti vyšetřování a stíhání případů korupce na vysoké úrovni, včetně konfiskace majetku; naléhavě vyzývá Černou Horu, aby </w:t>
      </w:r>
      <w:r w:rsidRPr="00717772">
        <w:t xml:space="preserve">zintenzivnila aktivní vyšetřování a stíhání korupce na vysoké úrovni a posílila kapacitu a výkonnost soudních a protikorupčních orgánů; konstatuje, že Agentura pro předcházení korupci nadále funguje s nedostatky ve vedení, omezeným počtem zaměstnanců a nedostatečnou finanční nezávislostí, což omezuje její celkový vliv, a vyzývá k přijetí opatření, která by zajistila její plnou provozní, finanční a funkční nezávislost v souladu s evropskými normami; vyzývá k dalšímu sladění s </w:t>
      </w:r>
      <w:r w:rsidRPr="007E0BC0">
        <w:rPr>
          <w:i/>
          <w:iCs/>
        </w:rPr>
        <w:t>acquis</w:t>
      </w:r>
      <w:r w:rsidRPr="00717772">
        <w:t xml:space="preserve"> EU a normami EU v oblasti boje proti korupci a naléhavě vyzývá Černou Horu, aby se zabývala veškerými zbývajícími doporučeními v této oblasti;</w:t>
      </w:r>
    </w:p>
    <w:p w:rsidR="00A4002B" w:rsidRPr="00717772" w:rsidP="006915B5" w14:paraId="15F7CBE3" w14:textId="4B364468">
      <w:pPr>
        <w:pStyle w:val="NormalHanging12a"/>
      </w:pPr>
      <w:r w:rsidRPr="00717772">
        <w:t>2</w:t>
      </w:r>
      <w:r w:rsidR="00B33DE1">
        <w:t>6</w:t>
      </w:r>
      <w:r w:rsidRPr="00717772">
        <w:t>.</w:t>
      </w:r>
      <w:r w:rsidRPr="00717772">
        <w:tab/>
        <w:t>požaduje komplexní politiky integrity, které by chránily donucovací orgány a soudnictví před korupcí a organizovanou trestnou činností; vyzývá k zavedení disciplinárních mechanismů a silnějších a účinnějších mechanismů etické odpovědnosti, zejména v případech týkajících se nepřiznání majetku, aby byla v praxi zajištěna smysluplná a účinná odpovědnost; vítá pokrok v oblastech, jako je regulace lobbingu, ochrana oznamovatelů a transparentnost zadávání veřejných zakázek, což dokazuje, že cílené a řádně prováděné reformy mohou přinést hmatatelné výsledky;</w:t>
      </w:r>
    </w:p>
    <w:p w:rsidR="00A4002B" w:rsidRPr="00717772" w:rsidP="006915B5" w14:paraId="5E55852D" w14:textId="7BEB3274">
      <w:pPr>
        <w:pStyle w:val="NormalHanging12a"/>
      </w:pPr>
      <w:r w:rsidRPr="00717772">
        <w:t>2</w:t>
      </w:r>
      <w:r w:rsidR="00B33DE1">
        <w:t>7</w:t>
      </w:r>
      <w:r w:rsidRPr="00717772">
        <w:t>.</w:t>
      </w:r>
      <w:r w:rsidRPr="00717772">
        <w:tab/>
        <w:t>naléhavě vyzývá Černou Horu, aby zvýšila efektivitu trestního stíhání a soudních řízení v případech závažné a organizované trestné činnosti s cílem dosáhnout lepších výsledků v podobě pravomocných rozsudků a konfiskace majetku; konstatuje, že v oblasti boje proti praní peněz dosáhla Černá Hora významného pokroku ve zlepšování svého rámce pro boj proti praní peněz a financování terorismu, jakož i v provádění sankcí EU;</w:t>
      </w:r>
    </w:p>
    <w:p w:rsidR="00A4002B" w:rsidRPr="00717772" w:rsidP="006915B5" w14:paraId="11E2F4A7" w14:textId="08FB82D5">
      <w:pPr>
        <w:pStyle w:val="NormalHanging12a"/>
      </w:pPr>
      <w:r w:rsidRPr="00717772">
        <w:t>2</w:t>
      </w:r>
      <w:r w:rsidR="00B33DE1">
        <w:t>8</w:t>
      </w:r>
      <w:r w:rsidRPr="00717772">
        <w:t>.</w:t>
      </w:r>
      <w:r w:rsidRPr="00717772">
        <w:tab/>
        <w:t xml:space="preserve">vítá probíhající spolupráci Černé Hory s agenturou </w:t>
      </w:r>
      <w:r w:rsidRPr="00717772">
        <w:t>Frontex</w:t>
      </w:r>
      <w:r w:rsidRPr="00717772">
        <w:t>, Europolem a Agenturou Evropské unie pro vzdělávání a výcvik v oblasti prosazování práva v boji proti přeshraniční trestné činnosti, včetně obchodování se zbraněmi, drogami a lidmi, a v boji proti terorismu a extremismu; zdůrazňuje potřebu posílit spolupráci v oblasti boje proti drogám;</w:t>
      </w:r>
    </w:p>
    <w:p w:rsidR="00A4002B" w:rsidRPr="00717772" w:rsidP="006915B5" w14:paraId="4AD07452" w14:textId="33D6CE11">
      <w:pPr>
        <w:pStyle w:val="NormalHanging12a"/>
      </w:pPr>
      <w:r w:rsidRPr="00717772">
        <w:t>2</w:t>
      </w:r>
      <w:r w:rsidR="00B33DE1">
        <w:t>9</w:t>
      </w:r>
      <w:r w:rsidRPr="00717772">
        <w:t>.</w:t>
      </w:r>
      <w:r w:rsidRPr="00717772">
        <w:tab/>
        <w:t>opakovaně vyzývá Černou Horu, aby svou vízovou politiku plně sladila s vízovou politikou EU, zejména pokud jde o země představující bezpečnostní riziko; bere na vědomí rozhodnutí černohorské vlády vyjmout v roce 2025 několik zemí ze svého seznamu zemí s bezvízovým stykem; připomíná, že se jedná o požadavek referenčního kritéria pro uzavření kapitoly 24;</w:t>
      </w:r>
    </w:p>
    <w:p w:rsidR="00A4002B" w:rsidRPr="00717772" w:rsidP="006915B5" w14:paraId="3A0B5CD5" w14:textId="52AC2DDA">
      <w:pPr>
        <w:pStyle w:val="NormalHanging12a"/>
      </w:pPr>
      <w:r>
        <w:t>30</w:t>
      </w:r>
      <w:r w:rsidRPr="00717772">
        <w:t>.</w:t>
      </w:r>
      <w:r w:rsidRPr="00717772">
        <w:tab/>
        <w:t>zdůrazňuje význam transparentní a odpovědné veřejné správy, silnější správní kapacity a profesionální veřejné služby založené na zásluhách; se znepokojením konstatuje, že pokračující rozsáhlé najímání zaměstnanců ve veřejné správě bez transparentních kritérií a jasného posouzení potřeb podkopává zásady přijímání pracovníků na základě zásluh a profesionalizace; vyzývá k další depolitizaci jmenování do vyšších státních funkcí, zavedení jasných mechanismů hodnocení založených na výkonnosti a kontinuitě odborných znalostí;</w:t>
      </w:r>
    </w:p>
    <w:p w:rsidR="00A4002B" w:rsidRPr="00717772" w:rsidP="006915B5" w14:paraId="60F5388F" w14:textId="77777777">
      <w:pPr>
        <w:pStyle w:val="Normal12a"/>
      </w:pPr>
      <w:r w:rsidRPr="00717772">
        <w:rPr>
          <w:b/>
          <w:i/>
        </w:rPr>
        <w:t>Základní svobody a lidská práva</w:t>
      </w:r>
    </w:p>
    <w:p w:rsidR="00A4002B" w:rsidRPr="00717772" w:rsidP="006915B5" w14:paraId="3A87B658" w14:textId="3267EF92">
      <w:pPr>
        <w:pStyle w:val="NormalHanging12a"/>
      </w:pPr>
      <w:r w:rsidRPr="00717772">
        <w:t>3</w:t>
      </w:r>
      <w:r w:rsidR="00B33DE1">
        <w:t>1</w:t>
      </w:r>
      <w:r w:rsidRPr="00717772">
        <w:t>.</w:t>
      </w:r>
      <w:r w:rsidRPr="00717772">
        <w:tab/>
        <w:t xml:space="preserve">vyjadřuje politování nad skutečností, že národnostní menšiny, zranitelné skupiny, včetně Romů a balkánských Egypťanů, osoby se zdravotním postižením a LGBTIQ+ osoby se v Černé Hoře stále setkávají s diskriminací, nenávistnými verbálními projevy, zejména na internetu, a trestnými činy z nenávisti; vítá nedávné přijetí zákona o ochraně rovnosti a zákazu diskriminace; vyzývá k posílení uplatňování rovného zacházení s etnickými komunitami a k zajištění toho, aby všem etnickým, náboženským a sociálním </w:t>
      </w:r>
      <w:r w:rsidRPr="00717772">
        <w:t xml:space="preserve">skupinám byla zaručena rovná práva a příležitosti a aby se mohly plně a účinně podílet na společenském, politickém a hospodářském životě; uznává, že ochrana práv menšin má zásadní význam pro podporu sociální soudržnosti, demokratické správy věcí veřejných a prosazování evropských hodnot; naléhavě vyzývá Černou Horu, aby přijala a prosazovala komplexní právní předpisy a politiky, které zabrání diskriminaci a podpoří </w:t>
      </w:r>
      <w:r w:rsidRPr="00717772">
        <w:t>inkluzivnost</w:t>
      </w:r>
      <w:r w:rsidRPr="00717772">
        <w:t>;</w:t>
      </w:r>
    </w:p>
    <w:p w:rsidR="00A4002B" w:rsidRPr="00717772" w:rsidP="006915B5" w14:paraId="036B1322" w14:textId="585E72AE">
      <w:pPr>
        <w:pStyle w:val="NormalHanging12a"/>
      </w:pPr>
      <w:r w:rsidRPr="00717772">
        <w:t>3</w:t>
      </w:r>
      <w:r w:rsidR="00B33DE1">
        <w:t>2</w:t>
      </w:r>
      <w:r w:rsidRPr="00717772">
        <w:t>.</w:t>
      </w:r>
      <w:r w:rsidRPr="00717772">
        <w:tab/>
        <w:t>vyzývá Černou Horu, aby plně provedla zákon o registrovaném partnerství;</w:t>
      </w:r>
    </w:p>
    <w:p w:rsidR="00A4002B" w:rsidRPr="00717772" w:rsidP="006915B5" w14:paraId="3DC9A591" w14:textId="3A62515B">
      <w:pPr>
        <w:pStyle w:val="NormalHanging12a"/>
      </w:pPr>
      <w:r w:rsidRPr="00717772">
        <w:t>3</w:t>
      </w:r>
      <w:r w:rsidR="00B33DE1">
        <w:t>3</w:t>
      </w:r>
      <w:r w:rsidRPr="00717772">
        <w:t>.</w:t>
      </w:r>
      <w:r w:rsidRPr="00717772">
        <w:tab/>
        <w:t>vyzývá Černou Horu, aby provedla strategii deinstitucionalizace pro osoby se zdravotním postižením, jakož i silný systém ochrany dětí založený na komunitní péči;</w:t>
      </w:r>
    </w:p>
    <w:p w:rsidR="00A4002B" w:rsidRPr="00717772" w:rsidP="006915B5" w14:paraId="7BE17793" w14:textId="68D7E939">
      <w:pPr>
        <w:pStyle w:val="NormalHanging12a"/>
      </w:pPr>
      <w:r w:rsidRPr="00717772">
        <w:t>3</w:t>
      </w:r>
      <w:r w:rsidR="00B33DE1">
        <w:t>4</w:t>
      </w:r>
      <w:r w:rsidRPr="00717772">
        <w:t>.</w:t>
      </w:r>
      <w:r w:rsidRPr="00717772">
        <w:tab/>
        <w:t xml:space="preserve">uznává multietnický charakter černohorské společnosti a vyzývá k většímu respektování všech jazyků, tradic a kulturního dědictví místních komunit a národnostních menšin; vyzývá Černou Horu, aby zintenzivnila úsilí o zajištění nediskriminačního používání menšinových jazyků ve vzdělávání a ve vyhrazeném mediálním prostoru ve státních a v místních médiích; vyzývá k respektování multietnické identity Boky Kotorské, zejména uznáním kulturního dědictví chorvatské komunity; vyjadřuje hluboké znepokojení nad rozsáhlými probíhajícími stavebními pracemi v Boce Kotorské, která je zapsána na seznamu UNESCO, jež mají dopad na zachování dědictví a ochranu přírodní lokality, a vyzývá k dořešení právní ochrany parku </w:t>
      </w:r>
      <w:r w:rsidRPr="00717772">
        <w:t>Miločer</w:t>
      </w:r>
      <w:r w:rsidRPr="00717772">
        <w:t>;</w:t>
      </w:r>
    </w:p>
    <w:p w:rsidR="00A4002B" w:rsidRPr="00717772" w:rsidP="006915B5" w14:paraId="13B542AF" w14:textId="3E1B0F64">
      <w:pPr>
        <w:pStyle w:val="NormalHanging12a"/>
      </w:pPr>
      <w:r w:rsidRPr="00717772">
        <w:t>3</w:t>
      </w:r>
      <w:r w:rsidR="00B33DE1">
        <w:t>5</w:t>
      </w:r>
      <w:r w:rsidRPr="00717772">
        <w:t>.</w:t>
      </w:r>
      <w:r w:rsidRPr="00717772">
        <w:tab/>
        <w:t xml:space="preserve">bere na vědomí potřebu citlivého a inkluzivního vedení diskusí týkajících se identity s cílem zabránit polarizaci a dosáhnout širokého konsensu v otázkách, které mají zásadní význam pro identitu, nezávislost, svrchovanost a evropskou cestu Černé Hory; znovu vyjadřuje své znepokojení nad pokusy o změnu zákona o černohorském občanství v parlamentu Černé Hory s cílem umožnit získání dvojího občanství, což by mohlo mít závažné a dlouhodobé důsledky pro rozhodovací proces a identitu země; vybízí orgány, aby i nadále konzultovaly a koordinovaly s EU veškeré možné změny právních předpisů s cílem zajistit jejich plný soulad s </w:t>
      </w:r>
      <w:r w:rsidRPr="007E0BC0">
        <w:rPr>
          <w:i/>
          <w:iCs/>
        </w:rPr>
        <w:t>acquis</w:t>
      </w:r>
      <w:r w:rsidRPr="00717772">
        <w:t xml:space="preserve"> EU a mezinárodními normami a dodržování základních práv;</w:t>
      </w:r>
    </w:p>
    <w:p w:rsidR="00A4002B" w:rsidRPr="00717772" w:rsidP="006915B5" w14:paraId="2BCBE5DA" w14:textId="2F2A4772">
      <w:pPr>
        <w:pStyle w:val="NormalHanging12a"/>
      </w:pPr>
      <w:r w:rsidRPr="00717772">
        <w:t>3</w:t>
      </w:r>
      <w:r w:rsidR="00B33DE1">
        <w:t>6</w:t>
      </w:r>
      <w:r w:rsidRPr="00717772">
        <w:t>.</w:t>
      </w:r>
      <w:r w:rsidRPr="00717772">
        <w:tab/>
        <w:t xml:space="preserve">důrazně odsuzuje veškeré nenávistné verbální projevy, včetně na internetu, a trestné činy z nenávisti; vítá nárůst počtu stíhání za rasismus a nenávistné verbální projevy, vyjadřuje však znepokojení nad nedostatečnými opatřeními proti projevům, veřejným prohlášením nebo symbolickým činům, které oslavují válečné zločince nebo popírají historická fakta; vyzývá Černou Horu, aby posílila svou institucionální reakci na nenávistné verbální projevy, zajistila účinné vyšetřování a stíhání a plně sladila své právní předpisy s </w:t>
      </w:r>
      <w:r w:rsidRPr="007E0BC0">
        <w:rPr>
          <w:i/>
          <w:iCs/>
        </w:rPr>
        <w:t>acquis</w:t>
      </w:r>
      <w:r w:rsidRPr="00717772">
        <w:t xml:space="preserve"> EU;</w:t>
      </w:r>
    </w:p>
    <w:p w:rsidR="00A4002B" w:rsidRPr="00717772" w:rsidP="006915B5" w14:paraId="483DB177" w14:textId="0403AB45">
      <w:pPr>
        <w:pStyle w:val="NormalHanging12a"/>
      </w:pPr>
      <w:r w:rsidRPr="00717772">
        <w:t>3</w:t>
      </w:r>
      <w:r w:rsidR="00B33DE1">
        <w:t>7</w:t>
      </w:r>
      <w:r w:rsidRPr="00717772">
        <w:t>.</w:t>
      </w:r>
      <w:r w:rsidRPr="00717772">
        <w:tab/>
        <w:t>naléhavě vyzývá Černou Horu, aby zajistila účinné uplatňování svých rámců v oblasti základních práv, včetně přístupu ke spravedlnosti a ochrany zranitelných osob, a aby provedla veškerá doporučení mezinárodních monitorovacích orgánů;</w:t>
      </w:r>
    </w:p>
    <w:p w:rsidR="00A4002B" w:rsidRPr="00717772" w:rsidP="006915B5" w14:paraId="01CDF0D6" w14:textId="1BCE3B27">
      <w:pPr>
        <w:pStyle w:val="NormalHanging12a"/>
      </w:pPr>
      <w:r w:rsidRPr="00717772">
        <w:t>3</w:t>
      </w:r>
      <w:r w:rsidR="00B33DE1">
        <w:t>8</w:t>
      </w:r>
      <w:r w:rsidRPr="00717772">
        <w:t>.</w:t>
      </w:r>
      <w:r w:rsidRPr="00717772">
        <w:tab/>
        <w:t xml:space="preserve">zdůrazňuje, že je třeba řešit diskriminaci žen, zejména žen z menšinových skupin; vyjadřuje znepokojení nad dětskými sňatky, které neúměrně postihují dívky z romské a balkánské egyptské komunity v Černé Hoře; vyjadřuje politování nad rozšířením genderově podmíněného násilí a postojů obviňujících oběti, jakož i genderově podmíněných nenávistných verbálních projevů, včetně na internetu, zejména vůči ženám ve veřejném a politickém životě; naléhavě vyzývá Černou Horu, aby pro svůj rámec pro genderovou rovnost zajistila náležité financování, zdroje, koordinaci a </w:t>
      </w:r>
      <w:r w:rsidRPr="00717772">
        <w:t>prosazování; vyzývá příslušné orgány, aby zachovávaly větší ostražitost a zavedly systémy podpory pro oběti genderově podmíněného a domácího násilí; požaduje lepší shromažďování údajů o domácím a genderově podmíněném násilí, příjmech a platech, zdraví a sociálním zabezpečení; vyzývá černohorské orgány, aby zajistily větší politickou účast žen:</w:t>
      </w:r>
    </w:p>
    <w:p w:rsidR="00A4002B" w:rsidRPr="00717772" w:rsidP="006915B5" w14:paraId="549CE39C" w14:textId="51C00CC7">
      <w:pPr>
        <w:pStyle w:val="NormalHanging12a"/>
      </w:pPr>
      <w:r w:rsidRPr="00717772">
        <w:t>3</w:t>
      </w:r>
      <w:r w:rsidR="00B33DE1">
        <w:t>9</w:t>
      </w:r>
      <w:r w:rsidRPr="00717772">
        <w:t>.</w:t>
      </w:r>
      <w:r w:rsidRPr="00717772">
        <w:tab/>
        <w:t xml:space="preserve">bere na vědomí politiku nulové tolerance Černé Hory vůči násilí páchanému na novinářích a odsuzuje zastrašování a všechny případy silných slovních útoků na zástupce médií a občanské společnosti, zejména na ženy pracující v médiích a obránce lidských práv, ze strany veřejných činitelů a politických stran; vyjadřuje znepokojení nad používáním neformálních předvolání a investigativních rozhovorů proti novinářům, sloupkařům a aktérům občanské společnosti za jejich kritiku veřejných činitelů; vyzývá k rychlému a účinnému prosazování práva a k účinné soudní ochraně, s přednostním zaměřením na provádění vyšetřování a plné a účinné sledování nevyřešených případů, jako je vražda Duška </w:t>
      </w:r>
      <w:r w:rsidRPr="00717772">
        <w:t>Jovanoviće</w:t>
      </w:r>
      <w:r w:rsidRPr="00717772">
        <w:t>, a také k odstrašujícím sankcím; konstatuje, že černohorský právní systém postrádá konkrétní definici nebo zrychlený postup pro identifikaci a zamítnutí strategických žalob proti účasti veřejnosti, a vyzývá k vytvoření takových mechanismů;</w:t>
      </w:r>
    </w:p>
    <w:p w:rsidR="00A4002B" w:rsidRPr="00717772" w:rsidP="006915B5" w14:paraId="21D4B569" w14:textId="4FB6FE51">
      <w:pPr>
        <w:pStyle w:val="NormalHanging12a"/>
      </w:pPr>
      <w:r>
        <w:t>40</w:t>
      </w:r>
      <w:r w:rsidRPr="00717772">
        <w:t>.</w:t>
      </w:r>
      <w:r w:rsidRPr="00717772">
        <w:tab/>
        <w:t>zdůrazňuje klíčovou úlohu svobodných a pluralitních sdělovacích prostředků jako základního pilíře demokratické společnosti; připomíná, že zajištění nezávislosti veřejnoprávního vysílání a regulačního orgánu pro sdělovací prostředky zůstává referenčním kritériem k uzavření kapitoly 23; zdůrazňuje, že je důležité zajistit plnou transparentnost vlastnictví a financování sdělovacích prostředků, a to i v případě online médií; vítá nedávné jmenování členů Rady Agentury pro audiovizuální mediální služby a zdůrazňuje, že agentura musí být schopna fungovat nezávisle a bez politických vlivů; vyjadřuje znepokojení nad pokračujícím politickým vlivem na veřejnoprávní vysílací společnost a vyzývá orgány, aby respektovaly soudní řízení, obnovily zákonnost a zaručily institucionální a redakční nezávislost vysílací společnosti; vyzývá Černou Horu, aby sladila své právní předpisy v oblasti sdělovacích prostředků s evropským aktem o svobodě médií</w:t>
      </w:r>
      <w:r>
        <w:rPr>
          <w:rStyle w:val="FootnoteReference"/>
        </w:rPr>
        <w:footnoteReference w:id="5"/>
      </w:r>
      <w:r w:rsidRPr="00717772">
        <w:t xml:space="preserve"> a zvýšila odolnost vůči zahraničnímu vlivu a dezinformacím; vyzývá k plné transparentnosti vlastnických struktur médií a zahraničních zdrojů financování, zejména pokud jsou spojeny s politickými aktéry nebo zájmy zahraničních států, aby se zabránilo skrytému vnějšímu ovlivňování veřejné diskuse v Černé Hoře;</w:t>
      </w:r>
    </w:p>
    <w:p w:rsidR="00A4002B" w:rsidRPr="00717772" w:rsidP="006915B5" w14:paraId="78405089" w14:textId="3A4742F7">
      <w:pPr>
        <w:pStyle w:val="NormalHanging12a"/>
      </w:pPr>
      <w:r w:rsidRPr="00717772">
        <w:t>4</w:t>
      </w:r>
      <w:r w:rsidR="00B33DE1">
        <w:t>1</w:t>
      </w:r>
      <w:r w:rsidRPr="00717772">
        <w:t>.</w:t>
      </w:r>
      <w:r w:rsidRPr="00717772">
        <w:tab/>
        <w:t>vítá dynamickou a konstruktivní černohorskou občanskou společnost, která hraje v reformním procesu klíčovou a pozitivní úlohu; vyzývá ke smysluplnému zapojení občanské společnosti do tvorby politik, mimo jiné zajištěním systematičtějšího zapojení a včasného přístupu k příslušným informacím; naléhavě vyzývá orgány, aby zajistily, že tvorba právních předpisů souvisejících s přistoupením k EU nebude obcházet požadavky na veřejné konzultace a zavedené normy participativní správy; vyzývá k tomu, aby byla po dlouhé přestávce obnovena činnost Rady pro spolupráci mezi vládou a nevládními organizacemi s cílem budovat vztahy založené na spolupráci a skutečně zapojit občanskou společnost do transparentního legislativního procesu již od rané fáze;</w:t>
      </w:r>
    </w:p>
    <w:p w:rsidR="00A4002B" w:rsidRPr="00717772" w:rsidP="006915B5" w14:paraId="565E9E57" w14:textId="5AE0D9E4">
      <w:pPr>
        <w:pStyle w:val="NormalHanging12a"/>
      </w:pPr>
      <w:r w:rsidRPr="00717772">
        <w:t>4</w:t>
      </w:r>
      <w:r w:rsidR="00B33DE1">
        <w:t>2</w:t>
      </w:r>
      <w:r w:rsidRPr="00717772">
        <w:t>.</w:t>
      </w:r>
      <w:r w:rsidRPr="00717772">
        <w:tab/>
        <w:t>naléhavě vyzývá Černou Horu, aby plně provedla veškerá doporučení Evropského výboru pro zabránění mučení a nelidskému či ponižujícímu zacházení nebo trestání; se znepokojením bere na vědomí rostoucí počet stížností na mučení a vynucování výpovědí, nahromadění nevyřízených případů a omezené využívání záruk, jako je audiovizuální záznam výslechů; vyjadřuje rovněž politování nad nejednotným uplatňováním pozastavení výkonu funkce a disciplinárních řízení, jakož i nad mírnými sankcemi v případech špatného zacházení ze strany policie, a vyzývá k rychlému, účinnému a nestrannému vyšetřování;</w:t>
      </w:r>
    </w:p>
    <w:p w:rsidR="00A4002B" w:rsidRPr="00717772" w:rsidP="006915B5" w14:paraId="06ED5224" w14:textId="77777777">
      <w:pPr>
        <w:pStyle w:val="Normal12a"/>
      </w:pPr>
      <w:r w:rsidRPr="00717772">
        <w:rPr>
          <w:b/>
          <w:i/>
        </w:rPr>
        <w:t xml:space="preserve">Usmíření a dobré sousedské vztahy </w:t>
      </w:r>
    </w:p>
    <w:p w:rsidR="00A4002B" w:rsidRPr="00717772" w:rsidP="006915B5" w14:paraId="5974DD15" w14:textId="7F13E9B3">
      <w:pPr>
        <w:pStyle w:val="NormalHanging12a"/>
      </w:pPr>
      <w:r w:rsidRPr="00717772">
        <w:t>4</w:t>
      </w:r>
      <w:r w:rsidR="00B33DE1">
        <w:t>3</w:t>
      </w:r>
      <w:r w:rsidRPr="00717772">
        <w:t>.</w:t>
      </w:r>
      <w:r w:rsidRPr="00717772">
        <w:tab/>
        <w:t xml:space="preserve">vítá skutečnost, že Černá Hora pořádá dne 5. června 2026 v </w:t>
      </w:r>
      <w:r w:rsidRPr="00717772">
        <w:t>Tivatu</w:t>
      </w:r>
      <w:r w:rsidRPr="00717772">
        <w:t xml:space="preserve"> summit EU–západní Balkán v rámci příprav procesu rozšíření EU, který představuje důležitou platformu pro posílení regionální spolupráce, pokrok v přístupové agendě, posílení hospodářské integrace a řešení společných výzev;</w:t>
      </w:r>
    </w:p>
    <w:p w:rsidR="00A4002B" w:rsidRPr="00717772" w:rsidP="006915B5" w14:paraId="73525CB2" w14:textId="39F96B1E">
      <w:pPr>
        <w:pStyle w:val="NormalHanging12a"/>
      </w:pPr>
      <w:r w:rsidRPr="00717772">
        <w:t>4</w:t>
      </w:r>
      <w:r w:rsidR="00B33DE1">
        <w:t>4</w:t>
      </w:r>
      <w:r w:rsidRPr="00717772">
        <w:t>.</w:t>
      </w:r>
      <w:r w:rsidRPr="00717772">
        <w:tab/>
        <w:t>zdůrazňuje klíčovou úlohu dobrých sousedských vztahů a regionální spolupráce v procesu rozšíření; připomíná, že dobré sousedské vztahy jsou v souladu s rámcem EU pro jednání jedním z klíčových kritérií pro hodnocení pokroku Černé Hory v procesu přistoupení k EU; vyzývá ke konstruktivnímu řešení zbývajících dvoustranných otázek v duchu vzájemného respektu, přičemž prioritou jsou zájmy občanů; připomíná, že je třeba se vyvarovat zneužívání nevyřešených dvoustranných a regionálních sporů k blokování procesu přistoupení kandidátských zemí; vítá dvoustranné konzultace mezi Chorvatskem a Černou Horou jako konstruktivní mechanismus pro řešení zbývajících otázek a posílení důvěry;</w:t>
      </w:r>
    </w:p>
    <w:p w:rsidR="00A4002B" w:rsidRPr="00717772" w:rsidP="006915B5" w14:paraId="39BB1259" w14:textId="308F37BD">
      <w:pPr>
        <w:pStyle w:val="NormalHanging12a"/>
      </w:pPr>
      <w:r w:rsidRPr="00717772">
        <w:t>4</w:t>
      </w:r>
      <w:r w:rsidR="00B33DE1">
        <w:t>5</w:t>
      </w:r>
      <w:r w:rsidRPr="00717772">
        <w:t>.</w:t>
      </w:r>
      <w:r w:rsidRPr="00717772">
        <w:tab/>
        <w:t>oceňuje Černou Horu za důsledný pokrok v oblasti vnitrostátního řešení případů válečných zločinů; konstatuje však, že od června 2024 nezahájil Úřad zvláštního státního zastupitelství žádná nová vyšetřování ani nepodal žádné obžaloby v případech válečných zločinů a že v oblasti odpovědnosti velení nebylo dosaženo žádného pokroku; zdůrazňuje potřebu zintenzivnit úsilí a pokračovat v dosahování důvěryhodných a trvalých výsledků v oblasti účinného vyšetřování, stíhání a souzení případů válečných zločinů, a to i v případech na vysoké úrovni, v souladu s mezinárodním právem a normami; zdůrazňuje v tomto ohledu důležitost přístupu k archivům;</w:t>
      </w:r>
    </w:p>
    <w:p w:rsidR="00A4002B" w:rsidRPr="00717772" w:rsidP="006915B5" w14:paraId="58BBB992" w14:textId="015A1F56">
      <w:pPr>
        <w:pStyle w:val="NormalHanging12a"/>
      </w:pPr>
      <w:r w:rsidRPr="00717772">
        <w:t>4</w:t>
      </w:r>
      <w:r w:rsidR="00B33DE1">
        <w:t>6</w:t>
      </w:r>
      <w:r w:rsidRPr="00717772">
        <w:t>.</w:t>
      </w:r>
      <w:r w:rsidRPr="00717772">
        <w:tab/>
        <w:t>vybízí Černou Horu, aby nadále aktivně zajišťovala přístup ke spravedlnosti a účinnému odškodnění obětí, včetně institucionální podpory, i k zajištění přiměřeného a spravedlivého odškodnění pro všechny osoby, které byly v 90. letech 20. století válečnými zajatci v táborech v Černé Hoře; vítá regionální spolupráci v těchto otázkách a vyzývá k plné spolupráci v regionu a s členskými státy EU, včetně výměny důkazů a vyjasnění osudu pohřešovaných osob; vítá skutečnost, že v Černé Hoře byla na žádost Chorvatska zatčena osoba odsouzená v nepřítomnosti za válečné zločiny proti válečným zajatcům, a oceňuje spolupráci mezi příslušnými orgány obou zemí v tomto případě;</w:t>
      </w:r>
    </w:p>
    <w:p w:rsidR="00A4002B" w:rsidRPr="00717772" w:rsidP="006915B5" w14:paraId="34CAFCB1" w14:textId="7970D944">
      <w:pPr>
        <w:pStyle w:val="NormalHanging12a"/>
      </w:pPr>
      <w:r w:rsidRPr="00717772">
        <w:t>4</w:t>
      </w:r>
      <w:r w:rsidR="00B33DE1">
        <w:t>7</w:t>
      </w:r>
      <w:r w:rsidRPr="00717772">
        <w:t>.</w:t>
      </w:r>
      <w:r w:rsidRPr="00717772">
        <w:tab/>
        <w:t>znovu vyjadřuje své znepokojení nad projevy politického revizionismu ze strany některých politických aktérů, které oslabují odpovědnost a prohlubují společenské rozpory; důrazně odsuzuje jakékoli oslavování válečných zločinců a veřejné popírání válečných zločinů;</w:t>
      </w:r>
    </w:p>
    <w:p w:rsidR="00A4002B" w:rsidRPr="00717772" w:rsidP="006915B5" w14:paraId="6A4CE64B" w14:textId="794BFA4A">
      <w:pPr>
        <w:pStyle w:val="NormalHanging12a"/>
      </w:pPr>
      <w:r w:rsidRPr="00717772">
        <w:t>4</w:t>
      </w:r>
      <w:r w:rsidR="00B33DE1">
        <w:t>8</w:t>
      </w:r>
      <w:r w:rsidRPr="00717772">
        <w:t>.</w:t>
      </w:r>
      <w:r w:rsidRPr="00717772">
        <w:tab/>
        <w:t>vyjadřuje znepokojení nad politickými koncepcemi a narativy v regionu, které obhajují přeshraniční sjednocení nebo koordinaci na základě etnické identity, včetně tzv. „Velkého Srbska“, což zpochybňuje svrchovanost a územní celistvost sousedních států; vyzývá všechny regionální aktéry, aby respektovali nezávislost Černé Hory a zdrželi se vměšování do jejích vnitřních záležitostí; zdůrazňuje, že takové narativy jsou neslučitelné se zásadami dobrých sousedských vztahů a s procesem přistoupení k EU; zdůrazňuje, že budoucnost západního Balkánu spočívá v integraci EU, nikoli v konkurenčních geopolitických sférách vlivu;</w:t>
      </w:r>
    </w:p>
    <w:p w:rsidR="00A4002B" w:rsidRPr="00717772" w:rsidP="006915B5" w14:paraId="232BBCD7" w14:textId="72CDE689">
      <w:pPr>
        <w:pStyle w:val="NormalHanging12a"/>
      </w:pPr>
      <w:r w:rsidRPr="00717772">
        <w:t>4</w:t>
      </w:r>
      <w:r w:rsidR="00B33DE1">
        <w:t>9</w:t>
      </w:r>
      <w:r w:rsidRPr="00717772">
        <w:t>.</w:t>
      </w:r>
      <w:r w:rsidRPr="00717772">
        <w:tab/>
        <w:t>znovu vyzývá k otevření archivů týkajících se bývalých republik Jugoslávie a ke zpřístupnění spisů bývalé jugoslávské tajné služby a tajné služby Jugoslávské lidové armády, aby bylo možné důkladně vyšetřit a řešit zločiny z doby komunismu;</w:t>
      </w:r>
    </w:p>
    <w:p w:rsidR="00A4002B" w:rsidRPr="00717772" w:rsidP="006915B5" w14:paraId="5FF845AB" w14:textId="60120722">
      <w:pPr>
        <w:pStyle w:val="NormalHanging12a"/>
      </w:pPr>
      <w:r>
        <w:t>50</w:t>
      </w:r>
      <w:r w:rsidRPr="00717772">
        <w:t>.</w:t>
      </w:r>
      <w:r w:rsidRPr="00717772">
        <w:tab/>
        <w:t>vyzývá k vyřešení zbývajících majetkových otázek; zdůrazňuje, že vyřešení zbývajících otázek vlastnických práv, včetně restitucí, je nezbytné pro splnění závazků Černé Hory podle kapitoly 23 a zůstává klíčovým kritériem pro uzavření jednání o základních právech;</w:t>
      </w:r>
    </w:p>
    <w:p w:rsidR="00A4002B" w:rsidRPr="00717772" w:rsidP="006915B5" w14:paraId="5295887D" w14:textId="77777777">
      <w:pPr>
        <w:pStyle w:val="Normal12a"/>
      </w:pPr>
      <w:r w:rsidRPr="00717772">
        <w:rPr>
          <w:b/>
          <w:i/>
        </w:rPr>
        <w:t>Sociální a hospodářské reformy</w:t>
      </w:r>
    </w:p>
    <w:p w:rsidR="00A4002B" w:rsidRPr="00717772" w:rsidP="006915B5" w14:paraId="4DA1F54E" w14:textId="2EA89CD0">
      <w:pPr>
        <w:pStyle w:val="NormalHanging12a"/>
      </w:pPr>
      <w:r w:rsidRPr="00717772">
        <w:t>5</w:t>
      </w:r>
      <w:r w:rsidR="00B33DE1">
        <w:t>1</w:t>
      </w:r>
      <w:r w:rsidRPr="00717772">
        <w:t>.</w:t>
      </w:r>
      <w:r w:rsidRPr="00717772">
        <w:tab/>
        <w:t>vítá zapojení Černé Hory do plánu růstu EU pro západní Balkán; oceňuje pokrok v provádění reformního programu, na který bylo vyplaceno 18 milionů EUR, a vybízí k jeho dalšímu provádění; zdůrazňuje význam měřitelných a trvalých výsledků při provádění reforem, zejména v oblasti právního státu a hospodaření s veřejnými prostředky;</w:t>
      </w:r>
    </w:p>
    <w:p w:rsidR="00A4002B" w:rsidRPr="00717772" w:rsidP="006915B5" w14:paraId="594C9FA1" w14:textId="15949BE6">
      <w:pPr>
        <w:pStyle w:val="NormalHanging12a"/>
      </w:pPr>
      <w:r w:rsidRPr="00717772">
        <w:t>5</w:t>
      </w:r>
      <w:r w:rsidR="00B33DE1">
        <w:t>2</w:t>
      </w:r>
      <w:r w:rsidRPr="00717772">
        <w:t>.</w:t>
      </w:r>
      <w:r w:rsidRPr="00717772">
        <w:tab/>
        <w:t>nadále vybízí Černou Horu, aby plně a účinně využila všechny finanční prostředky EU, které jí byly poskytnuty, mimo jiné zlepšením správní kapacity, urychlením programování a uzavírání smluv a zlepšením koordinace; zdůrazňuje význam širokého a smysluplného zapojení zúčastněných stran, včetně místních orgánů, podnikatelských sdružení, sociálních partnerů a občanské společnosti, do všech fází, včetně navrhování reformních opatření, provádění projektů a monitorování výsledků; připomíná podmíněnost finanční podpory EU, podle níž financování závisí na dosažení hmatatelného pokroku v reformách a dodržování zásad právního státu;</w:t>
      </w:r>
    </w:p>
    <w:p w:rsidR="00A4002B" w:rsidRPr="00717772" w:rsidP="006915B5" w14:paraId="6B94CBB6" w14:textId="012D9336">
      <w:pPr>
        <w:pStyle w:val="NormalHanging12a"/>
      </w:pPr>
      <w:r w:rsidRPr="00717772">
        <w:t>5</w:t>
      </w:r>
      <w:r w:rsidR="00B33DE1">
        <w:t>3</w:t>
      </w:r>
      <w:r w:rsidRPr="00717772">
        <w:t>.</w:t>
      </w:r>
      <w:r w:rsidRPr="00717772">
        <w:tab/>
        <w:t>vítá operační zapojení Černé Hory do jednotné oblasti pro platby v eurech (SEPA), což představuje klíčový krok směrem k hlubší finanční integraci s EU a nižším transakčním nákladům pro občany a podniky; bere na vědomí počáteční zjištění, která naznačují významné úspory transakčních nákladů od zahájení provozu systému SEPA v říjnu 2025;</w:t>
      </w:r>
    </w:p>
    <w:p w:rsidR="00A4002B" w:rsidRPr="00717772" w:rsidP="006915B5" w14:paraId="4657F85B" w14:textId="41D0E83F">
      <w:pPr>
        <w:pStyle w:val="NormalHanging12a"/>
      </w:pPr>
      <w:r w:rsidRPr="00717772">
        <w:t>5</w:t>
      </w:r>
      <w:r w:rsidR="00B33DE1">
        <w:t>4</w:t>
      </w:r>
      <w:r w:rsidRPr="00717772">
        <w:t>.</w:t>
      </w:r>
      <w:r w:rsidRPr="00717772">
        <w:tab/>
        <w:t xml:space="preserve">vítá návrh Komise zahájit jednání s partnery ze západního Balkánu, včetně Černé Hory, s cílem rozšířit režim EU „roaming za domácích podmínek“, a umožnit tak občanům a podnikům využívat bezproblémové mobilní připojení za domácí sazby v celé EU a na západním Balkáně, čímž by se posílily mezilidské kontakty, upevnily hospodářské vazby, podpořily vzdělávací výměny a usnadnil cestovní ruch; zdůrazňuje, že tato iniciativa představuje konkrétní krok směrem k hlubší předvstupní integraci, podporuje přeshraniční sociální a hospodářské vazby a přináší občanům hmatatelné výhody s dostatečným předstihem před plným členstvím v EU; </w:t>
      </w:r>
      <w:r w:rsidRPr="00534857" w:rsidR="00534857">
        <w:t>vítá, že Rada schválila zahájení jednání o rozšíření režimu „roamingu za domácích podmínek“ na partnery ze západního Balkánu, a</w:t>
      </w:r>
      <w:r w:rsidR="00534857">
        <w:t xml:space="preserve"> </w:t>
      </w:r>
      <w:r w:rsidRPr="00717772">
        <w:t>vyzývá k včasnému uzavření dvoustranných dohod s</w:t>
      </w:r>
      <w:r w:rsidR="00534857">
        <w:t xml:space="preserve"> těmito </w:t>
      </w:r>
      <w:r w:rsidRPr="00717772">
        <w:t>partnery;</w:t>
      </w:r>
    </w:p>
    <w:p w:rsidR="00A4002B" w:rsidRPr="00717772" w:rsidP="006915B5" w14:paraId="37DFA2FC" w14:textId="066A95F4">
      <w:pPr>
        <w:pStyle w:val="NormalHanging12a"/>
      </w:pPr>
      <w:r w:rsidRPr="00717772">
        <w:t>5</w:t>
      </w:r>
      <w:r w:rsidR="00B33DE1">
        <w:t>5</w:t>
      </w:r>
      <w:r w:rsidRPr="00717772">
        <w:t>.</w:t>
      </w:r>
      <w:r w:rsidRPr="00717772">
        <w:tab/>
        <w:t>bere na vědomí hospodářský růst Černé Hory a naléhavě ji vyzývá, aby pokračovala ve fiskální kázni, strukturálních reformách, lepší správě věcí veřejných a opatřeních na podporu konkurenceschopnosti, růstu soukromého sektoru a zahraničních investic a sociálního a hospodářského rozvoje; vybízí Černou Horu, aby sladila celní, sociální a daňovou politiku s normami EU, včetně transparentnosti a účinné výměny daňových informací, s cílem dosáhnout pokroku v rámci kapitoly 16; vyzývá Černou Horu, aby se přizpůsobila rámci EU pro prověřování přímých zahraničních investic, zejména ve strategických odvětvích, jako je energetika, telekomunikace, kritická infrastruktura a média, s cílem předejít strategickým závislostem a ochránit kritickou infrastrukturu a klíčová hospodářská odvětví; vítá první investiční konferenci mezi EU a Černou Horou jako silný signál prohlubování hospodářských vazeb;</w:t>
      </w:r>
    </w:p>
    <w:p w:rsidR="00A4002B" w:rsidRPr="00717772" w:rsidP="006915B5" w14:paraId="197C74EA" w14:textId="420755AE">
      <w:pPr>
        <w:pStyle w:val="NormalHanging12a"/>
      </w:pPr>
      <w:r w:rsidRPr="00717772">
        <w:t>5</w:t>
      </w:r>
      <w:r w:rsidR="00B33DE1">
        <w:t>6</w:t>
      </w:r>
      <w:r w:rsidRPr="00717772">
        <w:t>.</w:t>
      </w:r>
      <w:r w:rsidRPr="00717772">
        <w:tab/>
        <w:t>vyzývá Černou Horu, aby posílila digitalizaci veřejných služeb a zlepšila odborné vzdělávání spojené s podnikáním; zdůrazňuje, že ochrana osobních a citlivých údajů občanů musí být zajištěna ve všech digitálních systémech; vítá výzvy, aby se všechny země západního Balkánu před členstvím v EU začlenily do jednotného digitálního trhu EU;</w:t>
      </w:r>
    </w:p>
    <w:p w:rsidR="00A4002B" w:rsidRPr="00717772" w:rsidP="006915B5" w14:paraId="569E06E7" w14:textId="2E6EDC36">
      <w:pPr>
        <w:pStyle w:val="NormalHanging12a"/>
      </w:pPr>
      <w:r w:rsidRPr="00717772">
        <w:t>5</w:t>
      </w:r>
      <w:r w:rsidR="00B33DE1">
        <w:t>7</w:t>
      </w:r>
      <w:r w:rsidRPr="00717772">
        <w:t>.</w:t>
      </w:r>
      <w:r w:rsidRPr="00717772">
        <w:tab/>
        <w:t>naléhavě vyzývá Černou Horu, aby zintenzivnila boj proti korupci při zadávání veřejných zakázek posílením právního rámce a zlepšením odhalování nesrovnalostí, a vyzývá ji, aby zajistila, že všechny mezivládní dohody budou plně v souladu s pravidly a zásadami EU;</w:t>
      </w:r>
    </w:p>
    <w:p w:rsidR="00A4002B" w:rsidRPr="00717772" w:rsidP="006915B5" w14:paraId="077BBA37" w14:textId="77777777">
      <w:pPr>
        <w:pStyle w:val="Normal12a"/>
      </w:pPr>
      <w:r w:rsidRPr="00717772">
        <w:rPr>
          <w:b/>
          <w:i/>
        </w:rPr>
        <w:t>Energie, životní prostředí a konektivita</w:t>
      </w:r>
    </w:p>
    <w:p w:rsidR="00A4002B" w:rsidRPr="00717772" w:rsidP="006915B5" w14:paraId="30A391D8" w14:textId="6E02E1F3">
      <w:pPr>
        <w:pStyle w:val="NormalHanging12a"/>
      </w:pPr>
      <w:r w:rsidRPr="00717772">
        <w:t>5</w:t>
      </w:r>
      <w:r w:rsidR="00B33DE1">
        <w:t>8</w:t>
      </w:r>
      <w:r w:rsidRPr="00717772">
        <w:t>.</w:t>
      </w:r>
      <w:r w:rsidRPr="00717772">
        <w:tab/>
        <w:t>naléhavě vyzývá Černou Horu, aby zesílila své úsilí o udržitelnou a ekologickou transformaci a aby konečně přijala a provedla svůj národní plán v oblasti energetiky a klimatu; zdůrazňuje význam energetické bezpečnosti, diverzifikace dodávek, snižování strategické závislosti na vnějších aktérech a plné integrace do regionálního a evropského trhu s energií; vyzývá k plnému sladění s integračním balíčkem v oblasti elektrické energie a k posílení opatření v oblasti energetické účinnosti; vyzývá Černou Horu, aby převzala normy EU v oblasti bezpečnosti dodávek a transparentní postupy zadávání veřejných zakázek;</w:t>
      </w:r>
    </w:p>
    <w:p w:rsidR="00A4002B" w:rsidRPr="00717772" w:rsidP="006915B5" w14:paraId="0E1ED859" w14:textId="7FA31B6A">
      <w:pPr>
        <w:pStyle w:val="NormalHanging12a"/>
      </w:pPr>
      <w:r w:rsidRPr="00717772">
        <w:t>5</w:t>
      </w:r>
      <w:r w:rsidR="00B33DE1">
        <w:t>9</w:t>
      </w:r>
      <w:r w:rsidRPr="00717772">
        <w:t>.</w:t>
      </w:r>
      <w:r w:rsidRPr="00717772">
        <w:tab/>
        <w:t xml:space="preserve">vyzývá Černou Horu, aby zvýšila své úsilí o splnění kritérií pro uzavření kapitoly 27 a urychlila sbližování s </w:t>
      </w:r>
      <w:r w:rsidRPr="007E0BC0">
        <w:rPr>
          <w:i/>
          <w:iCs/>
        </w:rPr>
        <w:t>acquis</w:t>
      </w:r>
      <w:r w:rsidRPr="00717772">
        <w:t xml:space="preserve"> EU v oblasti životního prostředí a jeho účinné provádění ve všech příslušných odvětvích, včetně kvality ovzduší, vody, ochrany přírody, nakládání s odpady, průmyslového znečištění a změny klimatu, a aby přijala strategie a akční plány v oblasti kvality ovzduší a ochrany přírody a místní plány pro nakládání s odpady; vítá skutečnost, že se Černá Hora připojila k programu EU LIFE; vyzývá všechny strany, aby dosáhly dohody o čistírně odpadních vod v obci Zeta způsobem, který respektuje jak potřebu výstavby této čistírny, tak obavy místního obyvatelstva;</w:t>
      </w:r>
    </w:p>
    <w:p w:rsidR="00A4002B" w:rsidRPr="00717772" w:rsidP="006915B5" w14:paraId="505E8FBE" w14:textId="2F5FA054">
      <w:pPr>
        <w:pStyle w:val="NormalHanging12a"/>
      </w:pPr>
      <w:r>
        <w:t>60</w:t>
      </w:r>
      <w:r w:rsidRPr="00717772">
        <w:t>.</w:t>
      </w:r>
      <w:r w:rsidRPr="00717772">
        <w:tab/>
        <w:t xml:space="preserve">vyzývá Černou Horu, aby chránila oblasti s vysokou hodnotou biologické rozmanitosti, včetně soustavy </w:t>
      </w:r>
      <w:r w:rsidRPr="00717772">
        <w:t>Emerald</w:t>
      </w:r>
      <w:r w:rsidRPr="00717772">
        <w:t xml:space="preserve"> a lokalit, které budou v budoucnu zařazeny do sítě Natura 2000, a zajistila jejich právní ochranu a soulad s příslušnými směrnicemi EU; vyzývá Černou Horu, aby výrazně urychlila vytvoření a realizaci sítě Natura 2000 v plném souladu s </w:t>
      </w:r>
      <w:r w:rsidRPr="007E0BC0">
        <w:rPr>
          <w:i/>
          <w:iCs/>
        </w:rPr>
        <w:t>acquis</w:t>
      </w:r>
      <w:r w:rsidRPr="00717772">
        <w:t xml:space="preserve"> EU v oblasti životního prostředí a zajistila, aby určování, označování a správa chráněných lokalit byly založeny na vědeckých kritériích a transparentních procesech veřejných konzultací; vyzývá k důslednějšímu prosazování právních předpisů v oblasti dobrých životních podmínek zvířat;</w:t>
      </w:r>
    </w:p>
    <w:p w:rsidR="00A4002B" w:rsidRPr="00717772" w:rsidP="006915B5" w14:paraId="56BD5BD1" w14:textId="029682DF">
      <w:pPr>
        <w:pStyle w:val="NormalHanging12a"/>
      </w:pPr>
      <w:r w:rsidRPr="00717772">
        <w:t>6</w:t>
      </w:r>
      <w:r w:rsidR="00B33DE1">
        <w:t>1</w:t>
      </w:r>
      <w:r w:rsidRPr="00717772">
        <w:t>.</w:t>
      </w:r>
      <w:r w:rsidRPr="00717772">
        <w:tab/>
        <w:t>vyzývá Černou Horu, aby posílila své administrativní a inspekční kapacity na národní i místní úrovni a zlepšila koordinaci mezi institucemi a rozhodování o infrastrukturních projektech, včetně zavedení účinné koordinace mezi strategickými posuzováními vlivů na životní prostředí, posuzováním dopadu na životní prostředí a vhodnými postupy posuzování vybízí Černou Horu, aby změnila svou dopravní politiku a posunula se směrem k udržitelné a inteligentní mobilitě;</w:t>
      </w:r>
    </w:p>
    <w:p w:rsidR="00A4002B" w:rsidRPr="00717772" w:rsidP="006915B5" w14:paraId="39783B11" w14:textId="63275C02">
      <w:pPr>
        <w:pStyle w:val="NormalHanging12a"/>
      </w:pPr>
      <w:r w:rsidRPr="00717772">
        <w:t>6</w:t>
      </w:r>
      <w:r w:rsidR="00B33DE1">
        <w:t>2</w:t>
      </w:r>
      <w:r w:rsidRPr="00717772">
        <w:t>.</w:t>
      </w:r>
      <w:r w:rsidRPr="00717772">
        <w:tab/>
        <w:t xml:space="preserve">zdůrazňuje význam regionální dopravní a energetické konektivity jako klíčového prvku hospodářského rozvoje a stability na západním Balkáně a vyzývá k realizaci projektů, které prohloubí integraci s členskými státy EU; je znepokojen nedávnými blokádami hraničních přechodů do schengenského prostoru profesionálními řidiči ze zemí západního Balkánu v souvislosti se zavedením systému EU pro evidenci vstupu/výstupu od října 2025; zdůrazňuje, že dlouhodobá narušení mohou negativně ovlivnit dodavatelské řetězce, obchodní toky a hospodářské vztahy mezi EU a Černou Horou; vyzývá Komisi, aby v úzké spolupráci s členskými státy posoudila možná pragmatická a právně opodstatněná řešení, která vyváží provozní realitu v odvětví dopravy s potřebou zachovat integritu schengenského </w:t>
      </w:r>
      <w:r w:rsidRPr="007E0BC0">
        <w:rPr>
          <w:i/>
          <w:iCs/>
        </w:rPr>
        <w:t>acquis</w:t>
      </w:r>
      <w:r w:rsidRPr="00717772">
        <w:t>, zajistí vhodné záruky a zabrání jakémukoli zneužívání;</w:t>
      </w:r>
    </w:p>
    <w:p w:rsidR="006915B5" w:rsidRPr="00717772" w:rsidP="006915B5" w14:paraId="05F75E97" w14:textId="7DF48BC9">
      <w:pPr>
        <w:pStyle w:val="NormalHanging12a"/>
        <w:ind w:left="0" w:firstLine="0"/>
        <w:jc w:val="center"/>
      </w:pPr>
      <w:r w:rsidRPr="00717772">
        <w:t>°</w:t>
      </w:r>
    </w:p>
    <w:p w:rsidR="006915B5" w:rsidRPr="00717772" w:rsidP="006915B5" w14:paraId="059ABB37" w14:textId="1C0CE661">
      <w:pPr>
        <w:pStyle w:val="NormalHanging12a"/>
        <w:ind w:left="0" w:firstLine="0"/>
        <w:jc w:val="center"/>
      </w:pPr>
      <w:r w:rsidRPr="00717772">
        <w:t>°     °</w:t>
      </w:r>
    </w:p>
    <w:p w:rsidR="00DB0958" w:rsidRPr="00717772" w:rsidP="006915B5" w14:paraId="102CC23E" w14:textId="78019F01">
      <w:pPr>
        <w:pStyle w:val="NormalHanging12a"/>
      </w:pPr>
      <w:r w:rsidRPr="00717772">
        <w:t>6</w:t>
      </w:r>
      <w:r w:rsidR="00B33DE1">
        <w:t>3</w:t>
      </w:r>
      <w:r w:rsidRPr="00717772">
        <w:t>.</w:t>
      </w:r>
      <w:r w:rsidRPr="00717772">
        <w:tab/>
        <w:t>pověřuje svou předsedkyni, aby předala toto usnesení Radě, Komisi, místopředsedkyni Komise, vysoké představitelce Unie pro zahraniční věci a bezpečnostní politiku a vládám a parlamentům členských států a jeho překlad do černohorštiny prezidentovi, vládě a parlamentu Černé Hory.</w:t>
      </w:r>
    </w:p>
    <w:p w:rsidR="00E365E1" w:rsidRPr="00717772" w:rsidP="00867F48" w14:paraId="0C6E750F" w14:textId="0396774B"/>
    <w:sectPr w:rsidSect="00DB0958">
      <w:headerReference w:type="even" r:id="rId7"/>
      <w:headerReference w:type="default" r:id="rId8"/>
      <w:footerReference w:type="even" r:id="rId9"/>
      <w:footerReference w:type="default" r:id="rId10"/>
      <w:headerReference w:type="first" r:id="rId11"/>
      <w:footerReference w:type="first" r:id="rId12"/>
      <w:endnotePr>
        <w:numFmt w:val="decimal"/>
      </w:endnotePr>
      <w:pgSz w:w="11906" w:h="16838" w:code="9"/>
      <w:pgMar w:top="1134" w:right="1418" w:bottom="1418" w:left="1418" w:header="1134" w:footer="567" w:gutter="0"/>
      <w:cols w:space="720"/>
      <w:noEndnote/>
      <w:docGrid w:linePitch="326"/>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Yu Gothic Light">
    <w:panose1 w:val="020B0300000000000000"/>
    <w:charset w:val="80"/>
    <w:family w:val="swiss"/>
    <w:pitch w:val="variable"/>
    <w:sig w:usb0="E00002FF" w:usb1="2AC7FDFF" w:usb2="00000016" w:usb3="00000000" w:csb0="0002009F" w:csb1="00000000"/>
  </w:font>
  <w:font w:name="Calibri Light">
    <w:panose1 w:val="020F0302020204030204"/>
    <w:charset w:val="00"/>
    <w:family w:val="swiss"/>
    <w:pitch w:val="variable"/>
    <w:sig w:usb0="E4002EFF" w:usb1="C200247B" w:usb2="00000009" w:usb3="00000000" w:csb0="000001FF" w:csb1="00000000"/>
  </w:font>
  <w:font w:name="DokChampa">
    <w:altName w:val="Leelawadee UI"/>
    <w:charset w:val="DE"/>
    <w:family w:val="swiss"/>
    <w:pitch w:val="variable"/>
    <w:sig w:usb0="83000003" w:usb1="00000000" w:usb2="00000000" w:usb3="00000000" w:csb0="00010001" w:csb1="00000000"/>
  </w:font>
  <w:font w:name="Yu Mincho">
    <w:charset w:val="80"/>
    <w:family w:val="roman"/>
    <w:pitch w:val="variable"/>
    <w:sig w:usb0="800002E7" w:usb1="2AC7FCFF" w:usb2="00000012" w:usb3="00000000" w:csb0="0002009F" w:csb1="00000000"/>
  </w:font>
  <w:font w:name="Calibri">
    <w:panose1 w:val="020F05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064002" w:rsidRPr="00DB0958" w14:paraId="4209BCE4" w14:textId="77777777"/>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064002" w:rsidRPr="00DB0958" w14:paraId="456B68F6" w14:textId="77777777"/>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064002" w:rsidRPr="00DB0958" w14:paraId="7AF06559" w14:textId="77777777"/>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footnote w:type="separator" w:id="0">
    <w:p w:rsidR="00867F48" w:rsidRPr="00DB0958" w14:paraId="4B0FB343" w14:textId="77777777">
      <w:r w:rsidRPr="00DB0958">
        <w:separator/>
      </w:r>
    </w:p>
  </w:footnote>
  <w:footnote w:type="continuationSeparator" w:id="1">
    <w:p w:rsidR="00867F48" w:rsidRPr="00DB0958" w14:paraId="6CBF897B" w14:textId="77777777">
      <w:r w:rsidRPr="00DB0958">
        <w:continuationSeparator/>
      </w:r>
    </w:p>
  </w:footnote>
  <w:footnote w:id="2">
    <w:p w:rsidR="00B57919" w:rsidRPr="00DB0958" w:rsidP="00DB0958" w14:paraId="1B70B5C6" w14:textId="01FFE963">
      <w:pPr>
        <w:pStyle w:val="FootnoteText"/>
        <w:ind w:left="567" w:hanging="567"/>
        <w:rPr>
          <w:sz w:val="24"/>
          <w:lang w:val="cs-CZ"/>
        </w:rPr>
      </w:pPr>
      <w:r>
        <w:rPr>
          <w:rStyle w:val="FootnoteReference"/>
        </w:rPr>
        <w:footnoteRef/>
      </w:r>
      <w:r w:rsidRPr="00DB0958">
        <w:rPr>
          <w:sz w:val="24"/>
          <w:lang w:val="cs-CZ"/>
        </w:rPr>
        <w:t xml:space="preserve"> </w:t>
      </w:r>
      <w:r w:rsidRPr="00DB0958">
        <w:rPr>
          <w:sz w:val="24"/>
          <w:lang w:val="cs-CZ"/>
        </w:rPr>
        <w:tab/>
      </w:r>
      <w:r w:rsidRPr="00DB0958">
        <w:rPr>
          <w:sz w:val="24"/>
          <w:lang w:val="cs-CZ"/>
        </w:rPr>
        <w:t>Úř</w:t>
      </w:r>
      <w:r w:rsidRPr="00DB0958">
        <w:rPr>
          <w:sz w:val="24"/>
          <w:lang w:val="cs-CZ"/>
        </w:rPr>
        <w:t>. </w:t>
      </w:r>
      <w:r w:rsidRPr="00DB0958">
        <w:rPr>
          <w:sz w:val="24"/>
          <w:lang w:val="cs-CZ"/>
        </w:rPr>
        <w:t>věst</w:t>
      </w:r>
      <w:r w:rsidRPr="00DB0958">
        <w:rPr>
          <w:sz w:val="24"/>
          <w:lang w:val="cs-CZ"/>
        </w:rPr>
        <w:t xml:space="preserve">. L 108, 29.4.2010, s. 3, ELI: </w:t>
      </w:r>
      <w:hyperlink r:id="rId1" w:tgtFrame="http://data.europa.eu/eli/agree_internation/2010/224/oj" w:history="1">
        <w:r w:rsidRPr="00DB0958">
          <w:rPr>
            <w:rStyle w:val="Hyperlink"/>
            <w:sz w:val="24"/>
            <w:lang w:val="cs-CZ"/>
          </w:rPr>
          <w:t>http://data.europa.eu/eli/agree_internation/2010/224/oj</w:t>
        </w:r>
      </w:hyperlink>
      <w:r w:rsidRPr="00DB0958">
        <w:rPr>
          <w:sz w:val="24"/>
          <w:lang w:val="cs-CZ"/>
        </w:rPr>
        <w:t>.</w:t>
      </w:r>
    </w:p>
  </w:footnote>
  <w:footnote w:id="3">
    <w:p w:rsidR="00B57919" w:rsidRPr="00DB0958" w:rsidP="00DB0958" w14:paraId="51B3CE39" w14:textId="4951E315">
      <w:pPr>
        <w:pStyle w:val="FootnoteText"/>
        <w:ind w:left="567" w:hanging="567"/>
        <w:rPr>
          <w:sz w:val="24"/>
          <w:lang w:val="cs-CZ"/>
        </w:rPr>
      </w:pPr>
      <w:r>
        <w:rPr>
          <w:rStyle w:val="FootnoteReference"/>
        </w:rPr>
        <w:footnoteRef/>
      </w:r>
      <w:r w:rsidRPr="00DB0958">
        <w:rPr>
          <w:sz w:val="24"/>
          <w:lang w:val="cs-CZ"/>
        </w:rPr>
        <w:t xml:space="preserve"> </w:t>
      </w:r>
      <w:r w:rsidRPr="00DB0958">
        <w:rPr>
          <w:sz w:val="24"/>
          <w:lang w:val="cs-CZ"/>
        </w:rPr>
        <w:tab/>
      </w:r>
      <w:r w:rsidRPr="00DB0958">
        <w:rPr>
          <w:sz w:val="24"/>
          <w:lang w:val="cs-CZ"/>
        </w:rPr>
        <w:t>Úř</w:t>
      </w:r>
      <w:r w:rsidRPr="00DB0958">
        <w:rPr>
          <w:sz w:val="24"/>
          <w:lang w:val="cs-CZ"/>
        </w:rPr>
        <w:t xml:space="preserve">. </w:t>
      </w:r>
      <w:r w:rsidRPr="00DB0958">
        <w:rPr>
          <w:sz w:val="24"/>
          <w:lang w:val="cs-CZ"/>
        </w:rPr>
        <w:t>věst</w:t>
      </w:r>
      <w:r w:rsidRPr="00DB0958">
        <w:rPr>
          <w:sz w:val="24"/>
          <w:lang w:val="cs-CZ"/>
        </w:rPr>
        <w:t xml:space="preserve">. L 330, 20.9.2021, s. 1, ELI: </w:t>
      </w:r>
      <w:hyperlink r:id="rId2" w:tgtFrame="http://data.europa.eu/eli/reg/2021/1529/oj" w:history="1">
        <w:r w:rsidRPr="00DB0958">
          <w:rPr>
            <w:rStyle w:val="Hyperlink"/>
            <w:sz w:val="24"/>
            <w:lang w:val="cs-CZ"/>
          </w:rPr>
          <w:t>http://data.europa.eu/eli/reg/2021/1529/oj</w:t>
        </w:r>
      </w:hyperlink>
      <w:r w:rsidRPr="00DB0958">
        <w:rPr>
          <w:sz w:val="24"/>
          <w:lang w:val="cs-CZ"/>
        </w:rPr>
        <w:t>.</w:t>
      </w:r>
    </w:p>
  </w:footnote>
  <w:footnote w:id="4">
    <w:p w:rsidR="00B57919" w:rsidRPr="00DB0958" w:rsidP="00DB0958" w14:paraId="12CB18F1" w14:textId="20EED9F2">
      <w:pPr>
        <w:pStyle w:val="FootnoteText"/>
        <w:ind w:left="567" w:hanging="567"/>
        <w:rPr>
          <w:sz w:val="24"/>
          <w:lang w:val="cs-CZ"/>
        </w:rPr>
      </w:pPr>
      <w:r>
        <w:rPr>
          <w:rStyle w:val="FootnoteReference"/>
        </w:rPr>
        <w:footnoteRef/>
      </w:r>
      <w:r w:rsidRPr="00DB0958">
        <w:rPr>
          <w:sz w:val="24"/>
          <w:lang w:val="cs-CZ"/>
        </w:rPr>
        <w:t xml:space="preserve"> </w:t>
      </w:r>
      <w:r w:rsidRPr="00DB0958">
        <w:rPr>
          <w:sz w:val="24"/>
          <w:lang w:val="cs-CZ"/>
        </w:rPr>
        <w:tab/>
      </w:r>
      <w:r w:rsidRPr="00DB0958">
        <w:rPr>
          <w:sz w:val="24"/>
          <w:lang w:val="cs-CZ"/>
        </w:rPr>
        <w:t>Úř</w:t>
      </w:r>
      <w:r w:rsidRPr="00DB0958">
        <w:rPr>
          <w:sz w:val="24"/>
          <w:lang w:val="cs-CZ"/>
        </w:rPr>
        <w:t xml:space="preserve">. </w:t>
      </w:r>
      <w:r w:rsidRPr="00DB0958">
        <w:rPr>
          <w:sz w:val="24"/>
          <w:lang w:val="cs-CZ"/>
        </w:rPr>
        <w:t>věst</w:t>
      </w:r>
      <w:r w:rsidRPr="00DB0958">
        <w:rPr>
          <w:sz w:val="24"/>
          <w:lang w:val="cs-CZ"/>
        </w:rPr>
        <w:t xml:space="preserve">. L, 2024/1449, 24.5.2024, ELI: </w:t>
      </w:r>
      <w:hyperlink r:id="rId3" w:tgtFrame="http://data.europa.eu/eli/reg/2024/1449/oj" w:history="1">
        <w:r w:rsidRPr="00DB0958">
          <w:rPr>
            <w:rStyle w:val="Hyperlink"/>
            <w:sz w:val="24"/>
            <w:lang w:val="cs-CZ"/>
          </w:rPr>
          <w:t>http://data.europa.eu/eli/reg/2024/1449/oj</w:t>
        </w:r>
      </w:hyperlink>
      <w:r w:rsidRPr="00DB0958">
        <w:rPr>
          <w:sz w:val="24"/>
          <w:lang w:val="cs-CZ"/>
        </w:rPr>
        <w:t>.</w:t>
      </w:r>
    </w:p>
  </w:footnote>
  <w:footnote w:id="5">
    <w:p w:rsidR="00B57919" w:rsidRPr="00DB0958" w:rsidP="00DB0958" w14:paraId="62344216" w14:textId="68EE10B3">
      <w:pPr>
        <w:pStyle w:val="FootnoteText"/>
        <w:ind w:left="567" w:hanging="567"/>
        <w:rPr>
          <w:sz w:val="24"/>
          <w:lang w:val="cs-CZ"/>
        </w:rPr>
      </w:pPr>
      <w:r>
        <w:rPr>
          <w:rStyle w:val="FootnoteReference"/>
        </w:rPr>
        <w:footnoteRef/>
      </w:r>
      <w:r w:rsidRPr="00DB0958">
        <w:rPr>
          <w:sz w:val="24"/>
          <w:lang w:val="cs-CZ"/>
        </w:rPr>
        <w:t xml:space="preserve"> </w:t>
      </w:r>
      <w:r w:rsidRPr="00DB0958">
        <w:rPr>
          <w:sz w:val="24"/>
          <w:lang w:val="cs-CZ"/>
        </w:rPr>
        <w:tab/>
        <w:t>Nařízení Evropského parlamentu a Rady (EU) 2024/1083 ze dne 11. dubna 2024, kterým se stanoví společný rámec pro mediální služby na vnitřním trhu a mění směrnice 2010/13/EU (Evropský akt o svobodě médií) (</w:t>
      </w:r>
      <w:r w:rsidRPr="00DB0958">
        <w:rPr>
          <w:sz w:val="24"/>
          <w:lang w:val="cs-CZ"/>
        </w:rPr>
        <w:t>Úř</w:t>
      </w:r>
      <w:r w:rsidRPr="00DB0958">
        <w:rPr>
          <w:sz w:val="24"/>
          <w:lang w:val="cs-CZ"/>
        </w:rPr>
        <w:t xml:space="preserve">. </w:t>
      </w:r>
      <w:r w:rsidRPr="00DB0958">
        <w:rPr>
          <w:sz w:val="24"/>
          <w:lang w:val="cs-CZ"/>
        </w:rPr>
        <w:t>věst</w:t>
      </w:r>
      <w:r w:rsidRPr="00DB0958">
        <w:rPr>
          <w:sz w:val="24"/>
          <w:lang w:val="cs-CZ"/>
        </w:rPr>
        <w:t xml:space="preserve">. L, 2024/1083, 17.4.2024, ELI: </w:t>
      </w:r>
      <w:hyperlink r:id="rId4" w:tgtFrame="http://data.europa.eu/eli/reg/2024/1083/oj" w:history="1">
        <w:r w:rsidRPr="00DB0958">
          <w:rPr>
            <w:rStyle w:val="Hyperlink"/>
            <w:sz w:val="24"/>
            <w:lang w:val="cs-CZ"/>
          </w:rPr>
          <w:t>http://data.europa.eu/eli/reg/2024/1083/oj</w:t>
        </w:r>
      </w:hyperlink>
      <w:r w:rsidRPr="00DB0958">
        <w:rPr>
          <w:sz w:val="24"/>
          <w:lang w:val="cs-CZ"/>
        </w:rPr>
        <w:t>).</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064002" w:rsidRPr="00DB0958" w14:paraId="47688658" w14:textId="77777777"/>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064002" w:rsidRPr="00DB0958" w14:paraId="07F9063C" w14:textId="77777777"/>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064002" w:rsidRPr="00DB0958" w14:paraId="44818DDF" w14:textId="77777777"/>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abstractNum w:abstractNumId="0">
    <w:nsid w:val="FFFFFF7C"/>
    <w:multiLevelType w:val="singleLevel"/>
    <w:tmpl w:val="5B22A8A2"/>
    <w:lvl w:ilvl="0">
      <w:start w:val="1"/>
      <w:numFmt w:val="decimal"/>
      <w:lvlText w:val="%1."/>
      <w:lvlJc w:val="left"/>
      <w:pPr>
        <w:tabs>
          <w:tab w:val="num" w:pos="1492"/>
        </w:tabs>
        <w:ind w:left="1492" w:hanging="360"/>
      </w:pPr>
    </w:lvl>
  </w:abstractNum>
  <w:abstractNum w:abstractNumId="1">
    <w:nsid w:val="FFFFFF7D"/>
    <w:multiLevelType w:val="singleLevel"/>
    <w:tmpl w:val="D0C0EE6C"/>
    <w:lvl w:ilvl="0">
      <w:start w:val="1"/>
      <w:numFmt w:val="decimal"/>
      <w:lvlText w:val="%1."/>
      <w:lvlJc w:val="left"/>
      <w:pPr>
        <w:tabs>
          <w:tab w:val="num" w:pos="1209"/>
        </w:tabs>
        <w:ind w:left="1209" w:hanging="360"/>
      </w:pPr>
    </w:lvl>
  </w:abstractNum>
  <w:abstractNum w:abstractNumId="2">
    <w:nsid w:val="FFFFFF7E"/>
    <w:multiLevelType w:val="singleLevel"/>
    <w:tmpl w:val="BFB40F5E"/>
    <w:lvl w:ilvl="0">
      <w:start w:val="1"/>
      <w:numFmt w:val="decimal"/>
      <w:lvlText w:val="%1."/>
      <w:lvlJc w:val="left"/>
      <w:pPr>
        <w:tabs>
          <w:tab w:val="num" w:pos="926"/>
        </w:tabs>
        <w:ind w:left="926" w:hanging="360"/>
      </w:pPr>
    </w:lvl>
  </w:abstractNum>
  <w:abstractNum w:abstractNumId="3">
    <w:nsid w:val="FFFFFF7F"/>
    <w:multiLevelType w:val="singleLevel"/>
    <w:tmpl w:val="BF525DAA"/>
    <w:lvl w:ilvl="0">
      <w:start w:val="1"/>
      <w:numFmt w:val="decimal"/>
      <w:lvlText w:val="%1."/>
      <w:lvlJc w:val="left"/>
      <w:pPr>
        <w:tabs>
          <w:tab w:val="num" w:pos="643"/>
        </w:tabs>
        <w:ind w:left="643" w:hanging="360"/>
      </w:pPr>
    </w:lvl>
  </w:abstractNum>
  <w:abstractNum w:abstractNumId="4">
    <w:nsid w:val="FFFFFF80"/>
    <w:multiLevelType w:val="singleLevel"/>
    <w:tmpl w:val="97309190"/>
    <w:lvl w:ilvl="0">
      <w:start w:val="1"/>
      <w:numFmt w:val="bullet"/>
      <w:lvlText w:val=""/>
      <w:lvlJc w:val="left"/>
      <w:pPr>
        <w:tabs>
          <w:tab w:val="num" w:pos="1492"/>
        </w:tabs>
        <w:ind w:left="1492" w:hanging="360"/>
      </w:pPr>
      <w:rPr>
        <w:rFonts w:ascii="Symbol" w:hAnsi="Symbol" w:hint="default"/>
      </w:rPr>
    </w:lvl>
  </w:abstractNum>
  <w:abstractNum w:abstractNumId="5">
    <w:nsid w:val="FFFFFF81"/>
    <w:multiLevelType w:val="singleLevel"/>
    <w:tmpl w:val="8026A280"/>
    <w:lvl w:ilvl="0">
      <w:start w:val="1"/>
      <w:numFmt w:val="bullet"/>
      <w:lvlText w:val=""/>
      <w:lvlJc w:val="left"/>
      <w:pPr>
        <w:tabs>
          <w:tab w:val="num" w:pos="1209"/>
        </w:tabs>
        <w:ind w:left="1209" w:hanging="360"/>
      </w:pPr>
      <w:rPr>
        <w:rFonts w:ascii="Symbol" w:hAnsi="Symbol" w:hint="default"/>
      </w:rPr>
    </w:lvl>
  </w:abstractNum>
  <w:abstractNum w:abstractNumId="6">
    <w:nsid w:val="FFFFFF82"/>
    <w:multiLevelType w:val="singleLevel"/>
    <w:tmpl w:val="1CDC9AF0"/>
    <w:lvl w:ilvl="0">
      <w:start w:val="1"/>
      <w:numFmt w:val="bullet"/>
      <w:lvlText w:val=""/>
      <w:lvlJc w:val="left"/>
      <w:pPr>
        <w:tabs>
          <w:tab w:val="num" w:pos="926"/>
        </w:tabs>
        <w:ind w:left="926" w:hanging="360"/>
      </w:pPr>
      <w:rPr>
        <w:rFonts w:ascii="Symbol" w:hAnsi="Symbol" w:hint="default"/>
      </w:rPr>
    </w:lvl>
  </w:abstractNum>
  <w:abstractNum w:abstractNumId="7">
    <w:nsid w:val="FFFFFF83"/>
    <w:multiLevelType w:val="singleLevel"/>
    <w:tmpl w:val="1E120C2A"/>
    <w:lvl w:ilvl="0">
      <w:start w:val="1"/>
      <w:numFmt w:val="bullet"/>
      <w:lvlText w:val=""/>
      <w:lvlJc w:val="left"/>
      <w:pPr>
        <w:tabs>
          <w:tab w:val="num" w:pos="643"/>
        </w:tabs>
        <w:ind w:left="643" w:hanging="360"/>
      </w:pPr>
      <w:rPr>
        <w:rFonts w:ascii="Symbol" w:hAnsi="Symbol" w:hint="default"/>
      </w:rPr>
    </w:lvl>
  </w:abstractNum>
  <w:abstractNum w:abstractNumId="8">
    <w:nsid w:val="FFFFFF88"/>
    <w:multiLevelType w:val="singleLevel"/>
    <w:tmpl w:val="D92AAA74"/>
    <w:lvl w:ilvl="0">
      <w:start w:val="1"/>
      <w:numFmt w:val="decimal"/>
      <w:lvlText w:val="%1."/>
      <w:lvlJc w:val="left"/>
      <w:pPr>
        <w:tabs>
          <w:tab w:val="num" w:pos="360"/>
        </w:tabs>
        <w:ind w:left="360" w:hanging="360"/>
      </w:pPr>
    </w:lvl>
  </w:abstractNum>
  <w:abstractNum w:abstractNumId="9">
    <w:nsid w:val="FFFFFF89"/>
    <w:multiLevelType w:val="singleLevel"/>
    <w:tmpl w:val="AB4278A6"/>
    <w:lvl w:ilvl="0">
      <w:start w:val="1"/>
      <w:numFmt w:val="bullet"/>
      <w:lvlText w:val=""/>
      <w:lvlJc w:val="left"/>
      <w:pPr>
        <w:tabs>
          <w:tab w:val="num" w:pos="360"/>
        </w:tabs>
        <w:ind w:left="360" w:hanging="360"/>
      </w:pPr>
      <w:rPr>
        <w:rFonts w:ascii="Symbol" w:hAnsi="Symbol" w:hint="default"/>
      </w:rPr>
    </w:lvl>
  </w:abstractNum>
  <w:abstractNum w:abstractNumId="10">
    <w:nsid w:val="093C6E60"/>
    <w:multiLevelType w:val="multilevel"/>
    <w:tmpl w:val="BC64E536"/>
    <w:lvl w:ilvl="0">
      <w:start w:val="1"/>
      <w:numFmt w:val="decimal"/>
      <w:lvlText w:val="%1."/>
      <w:lvlJc w:val="left"/>
      <w:pPr>
        <w:tabs>
          <w:tab w:val="num" w:pos="360"/>
        </w:tabs>
        <w:ind w:left="360" w:hanging="360"/>
      </w:pPr>
    </w:lvl>
    <w:lvl w:ilvl="1">
      <w:start w:val="1"/>
      <w:numFmt w:val="decimal"/>
      <w:pStyle w:val="Heading2"/>
      <w:lvlText w:val="%1.%2."/>
      <w:lvlJc w:val="left"/>
      <w:pPr>
        <w:tabs>
          <w:tab w:val="num" w:pos="792"/>
        </w:tabs>
        <w:ind w:left="792" w:hanging="792"/>
      </w:pPr>
    </w:lvl>
    <w:lvl w:ilvl="2">
      <w:start w:val="1"/>
      <w:numFmt w:val="decimal"/>
      <w:pStyle w:val="Heading3"/>
      <w:lvlText w:val="%1.%2.%3."/>
      <w:lvlJc w:val="left"/>
      <w:pPr>
        <w:tabs>
          <w:tab w:val="num" w:pos="1224"/>
        </w:tabs>
        <w:ind w:left="1224" w:hanging="1224"/>
      </w:pPr>
    </w:lvl>
    <w:lvl w:ilvl="3">
      <w:start w:val="1"/>
      <w:numFmt w:val="decimal"/>
      <w:pStyle w:val="Heading4"/>
      <w:lvlText w:val="%1.%2.%3.%4."/>
      <w:lvlJc w:val="left"/>
      <w:pPr>
        <w:tabs>
          <w:tab w:val="num" w:pos="1728"/>
        </w:tabs>
        <w:ind w:left="1728" w:hanging="1728"/>
      </w:pPr>
    </w:lvl>
    <w:lvl w:ilvl="4">
      <w:start w:val="1"/>
      <w:numFmt w:val="decimal"/>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abstractNum w:abstractNumId="11">
    <w:nsid w:val="39692AE2"/>
    <w:multiLevelType w:val="multilevel"/>
    <w:tmpl w:val="975EA0B4"/>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792"/>
      </w:pPr>
    </w:lvl>
    <w:lvl w:ilvl="2">
      <w:start w:val="1"/>
      <w:numFmt w:val="decimal"/>
      <w:lvlText w:val="%1.%2.%3."/>
      <w:lvlJc w:val="left"/>
      <w:pPr>
        <w:tabs>
          <w:tab w:val="num" w:pos="1224"/>
        </w:tabs>
        <w:ind w:left="1224" w:hanging="1224"/>
      </w:pPr>
    </w:lvl>
    <w:lvl w:ilvl="3">
      <w:start w:val="1"/>
      <w:numFmt w:val="decimal"/>
      <w:lvlText w:val="%1.%2.%3.%4."/>
      <w:lvlJc w:val="left"/>
      <w:pPr>
        <w:tabs>
          <w:tab w:val="num" w:pos="1728"/>
        </w:tabs>
        <w:ind w:left="1728" w:hanging="1728"/>
      </w:pPr>
    </w:lvl>
    <w:lvl w:ilvl="4">
      <w:start w:val="1"/>
      <w:numFmt w:val="decimal"/>
      <w:pStyle w:val="Heading5"/>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num w:numId="1" w16cid:durableId="561914132">
    <w:abstractNumId w:val="9"/>
  </w:num>
  <w:num w:numId="2" w16cid:durableId="1867519859">
    <w:abstractNumId w:val="9"/>
  </w:num>
  <w:num w:numId="3" w16cid:durableId="1615290587">
    <w:abstractNumId w:val="7"/>
  </w:num>
  <w:num w:numId="4" w16cid:durableId="1324621496">
    <w:abstractNumId w:val="7"/>
  </w:num>
  <w:num w:numId="5" w16cid:durableId="806625424">
    <w:abstractNumId w:val="6"/>
  </w:num>
  <w:num w:numId="6" w16cid:durableId="1116481243">
    <w:abstractNumId w:val="6"/>
  </w:num>
  <w:num w:numId="7" w16cid:durableId="1661621229">
    <w:abstractNumId w:val="5"/>
  </w:num>
  <w:num w:numId="8" w16cid:durableId="250554347">
    <w:abstractNumId w:val="5"/>
  </w:num>
  <w:num w:numId="9" w16cid:durableId="1868639832">
    <w:abstractNumId w:val="4"/>
  </w:num>
  <w:num w:numId="10" w16cid:durableId="1116290430">
    <w:abstractNumId w:val="4"/>
  </w:num>
  <w:num w:numId="11" w16cid:durableId="1803233354">
    <w:abstractNumId w:val="8"/>
  </w:num>
  <w:num w:numId="12" w16cid:durableId="233660903">
    <w:abstractNumId w:val="8"/>
  </w:num>
  <w:num w:numId="13" w16cid:durableId="1468888956">
    <w:abstractNumId w:val="3"/>
  </w:num>
  <w:num w:numId="14" w16cid:durableId="1254583593">
    <w:abstractNumId w:val="3"/>
  </w:num>
  <w:num w:numId="15" w16cid:durableId="1745033051">
    <w:abstractNumId w:val="2"/>
  </w:num>
  <w:num w:numId="16" w16cid:durableId="863831410">
    <w:abstractNumId w:val="2"/>
  </w:num>
  <w:num w:numId="17" w16cid:durableId="233198100">
    <w:abstractNumId w:val="1"/>
  </w:num>
  <w:num w:numId="18" w16cid:durableId="967661973">
    <w:abstractNumId w:val="1"/>
  </w:num>
  <w:num w:numId="19" w16cid:durableId="424545725">
    <w:abstractNumId w:val="0"/>
  </w:num>
  <w:num w:numId="20" w16cid:durableId="594675882">
    <w:abstractNumId w:val="0"/>
  </w:num>
  <w:num w:numId="21" w16cid:durableId="495149050">
    <w:abstractNumId w:val="9"/>
  </w:num>
  <w:num w:numId="22" w16cid:durableId="274217318">
    <w:abstractNumId w:val="7"/>
  </w:num>
  <w:num w:numId="23" w16cid:durableId="367336352">
    <w:abstractNumId w:val="6"/>
  </w:num>
  <w:num w:numId="24" w16cid:durableId="484662009">
    <w:abstractNumId w:val="5"/>
  </w:num>
  <w:num w:numId="25" w16cid:durableId="403376906">
    <w:abstractNumId w:val="4"/>
  </w:num>
  <w:num w:numId="26" w16cid:durableId="1130587515">
    <w:abstractNumId w:val="8"/>
  </w:num>
  <w:num w:numId="27" w16cid:durableId="1134257757">
    <w:abstractNumId w:val="3"/>
  </w:num>
  <w:num w:numId="28" w16cid:durableId="71122274">
    <w:abstractNumId w:val="2"/>
  </w:num>
  <w:num w:numId="29" w16cid:durableId="71243697">
    <w:abstractNumId w:val="1"/>
  </w:num>
  <w:num w:numId="30" w16cid:durableId="815148814">
    <w:abstractNumId w:val="0"/>
  </w:num>
  <w:num w:numId="31" w16cid:durableId="1889873581">
    <w:abstractNumId w:val="9"/>
  </w:num>
  <w:num w:numId="32" w16cid:durableId="741559641">
    <w:abstractNumId w:val="7"/>
  </w:num>
  <w:num w:numId="33" w16cid:durableId="287980655">
    <w:abstractNumId w:val="6"/>
  </w:num>
  <w:num w:numId="34" w16cid:durableId="1020011902">
    <w:abstractNumId w:val="5"/>
  </w:num>
  <w:num w:numId="35" w16cid:durableId="303856103">
    <w:abstractNumId w:val="4"/>
  </w:num>
  <w:num w:numId="36" w16cid:durableId="1947302466">
    <w:abstractNumId w:val="8"/>
  </w:num>
  <w:num w:numId="37" w16cid:durableId="163325099">
    <w:abstractNumId w:val="3"/>
  </w:num>
  <w:num w:numId="38" w16cid:durableId="97532980">
    <w:abstractNumId w:val="2"/>
  </w:num>
  <w:num w:numId="39" w16cid:durableId="980383664">
    <w:abstractNumId w:val="1"/>
  </w:num>
  <w:num w:numId="40" w16cid:durableId="2087650344">
    <w:abstractNumId w:val="0"/>
  </w:num>
  <w:num w:numId="41" w16cid:durableId="284897559">
    <w:abstractNumId w:val="10"/>
  </w:num>
  <w:num w:numId="42" w16cid:durableId="1084034162">
    <w:abstractNumId w:val="10"/>
  </w:num>
  <w:num w:numId="43" w16cid:durableId="2112164847">
    <w:abstractNumId w:val="10"/>
  </w:num>
  <w:num w:numId="44" w16cid:durableId="1751348881">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mirrorMargins/>
  <w:bordersDoNotSurroundHeader/>
  <w:bordersDoNotSurroundFooter/>
  <w:proofState w:spelling="clean" w:grammar="clean"/>
  <w:stylePaneFormatFilter w:val="3F01" w:allStyles="1" w:alternateStyleNames="0" w:clearFormatting="1" w:customStyles="0" w:directFormattingOnNumbering="1" w:directFormattingOnParagraphs="1" w:directFormattingOnRuns="1" w:directFormattingOnTables="1" w:headingStyles="0" w:latentStyles="0" w:numberingStyles="0" w:stylesInUse="0" w:tableStyles="0" w:top3HeadingStyles="1" w:visibleStyles="0"/>
  <w:defaultTabStop w:val="720"/>
  <w:hyphenationZone w:val="396"/>
  <w:doNotHyphenateCaps/>
  <w:drawingGridHorizontalSpacing w:val="0"/>
  <w:drawingGridVerticalSpacing w:val="0"/>
  <w:displayHorizontalDrawingGridEvery w:val="0"/>
  <w:displayVerticalDrawingGridEvery w:val="0"/>
  <w:doNotUseMarginsForDrawingGridOrigin/>
  <w:drawingGridHorizontalOrigin w:val="0"/>
  <w:drawingGridVerticalOrigin w:val="0"/>
  <w:doNotShadeFormData/>
  <w:noPunctuationKerning/>
  <w:characterSpacingControl w:val="doNotCompress"/>
  <w:footnotePr>
    <w:footnote w:id="0"/>
    <w:footnote w:id="1"/>
  </w:footnotePr>
  <w:endnotePr>
    <w:numFmt w:val="decimal"/>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867F48"/>
    <w:rsid w:val="00002272"/>
    <w:rsid w:val="00064002"/>
    <w:rsid w:val="000677B9"/>
    <w:rsid w:val="000831BA"/>
    <w:rsid w:val="000A42CC"/>
    <w:rsid w:val="000E7DD9"/>
    <w:rsid w:val="0010095E"/>
    <w:rsid w:val="00125B37"/>
    <w:rsid w:val="00187494"/>
    <w:rsid w:val="001F32AE"/>
    <w:rsid w:val="002767FF"/>
    <w:rsid w:val="002B18FE"/>
    <w:rsid w:val="002B5493"/>
    <w:rsid w:val="00343214"/>
    <w:rsid w:val="00361C00"/>
    <w:rsid w:val="00395FA1"/>
    <w:rsid w:val="003E15D4"/>
    <w:rsid w:val="00411CCE"/>
    <w:rsid w:val="0041666E"/>
    <w:rsid w:val="00421060"/>
    <w:rsid w:val="00471C19"/>
    <w:rsid w:val="004867E3"/>
    <w:rsid w:val="00494A28"/>
    <w:rsid w:val="004957AD"/>
    <w:rsid w:val="004C0004"/>
    <w:rsid w:val="004C5D52"/>
    <w:rsid w:val="0050519A"/>
    <w:rsid w:val="005072A1"/>
    <w:rsid w:val="00514517"/>
    <w:rsid w:val="00534857"/>
    <w:rsid w:val="00545827"/>
    <w:rsid w:val="00560270"/>
    <w:rsid w:val="005C2568"/>
    <w:rsid w:val="005F1B17"/>
    <w:rsid w:val="006037C0"/>
    <w:rsid w:val="006631B6"/>
    <w:rsid w:val="00680577"/>
    <w:rsid w:val="006915B5"/>
    <w:rsid w:val="006F74FA"/>
    <w:rsid w:val="00717772"/>
    <w:rsid w:val="00731ADD"/>
    <w:rsid w:val="00734777"/>
    <w:rsid w:val="00747932"/>
    <w:rsid w:val="00751A4A"/>
    <w:rsid w:val="00756632"/>
    <w:rsid w:val="007606A1"/>
    <w:rsid w:val="00762C74"/>
    <w:rsid w:val="00786EC0"/>
    <w:rsid w:val="007D1690"/>
    <w:rsid w:val="007E0BC0"/>
    <w:rsid w:val="007E22AD"/>
    <w:rsid w:val="00801B37"/>
    <w:rsid w:val="00817416"/>
    <w:rsid w:val="00842779"/>
    <w:rsid w:val="00865F67"/>
    <w:rsid w:val="00867F48"/>
    <w:rsid w:val="00881A7B"/>
    <w:rsid w:val="008840E5"/>
    <w:rsid w:val="00887B3E"/>
    <w:rsid w:val="008C2AC6"/>
    <w:rsid w:val="00930C23"/>
    <w:rsid w:val="0093193B"/>
    <w:rsid w:val="009509D8"/>
    <w:rsid w:val="00950B64"/>
    <w:rsid w:val="00981893"/>
    <w:rsid w:val="00A1687D"/>
    <w:rsid w:val="00A4002B"/>
    <w:rsid w:val="00A43E52"/>
    <w:rsid w:val="00A4678D"/>
    <w:rsid w:val="00A778C7"/>
    <w:rsid w:val="00AB441E"/>
    <w:rsid w:val="00AB6293"/>
    <w:rsid w:val="00AE0928"/>
    <w:rsid w:val="00AF3B82"/>
    <w:rsid w:val="00B12E95"/>
    <w:rsid w:val="00B22876"/>
    <w:rsid w:val="00B33DE1"/>
    <w:rsid w:val="00B558F0"/>
    <w:rsid w:val="00B57919"/>
    <w:rsid w:val="00BD48FE"/>
    <w:rsid w:val="00BD7BD8"/>
    <w:rsid w:val="00BE6ADC"/>
    <w:rsid w:val="00C05BFE"/>
    <w:rsid w:val="00C23CD4"/>
    <w:rsid w:val="00C61C0C"/>
    <w:rsid w:val="00C941CB"/>
    <w:rsid w:val="00CC2357"/>
    <w:rsid w:val="00CF071A"/>
    <w:rsid w:val="00D058B8"/>
    <w:rsid w:val="00D43BD8"/>
    <w:rsid w:val="00D56C11"/>
    <w:rsid w:val="00D834A0"/>
    <w:rsid w:val="00D872DF"/>
    <w:rsid w:val="00D91E21"/>
    <w:rsid w:val="00DA7FCD"/>
    <w:rsid w:val="00DB0958"/>
    <w:rsid w:val="00E365E1"/>
    <w:rsid w:val="00E820A4"/>
    <w:rsid w:val="00E968B2"/>
    <w:rsid w:val="00EB006A"/>
    <w:rsid w:val="00EB4772"/>
    <w:rsid w:val="00ED169E"/>
    <w:rsid w:val="00ED4235"/>
    <w:rsid w:val="00F04346"/>
    <w:rsid w:val="00F075DC"/>
    <w:rsid w:val="00F149E9"/>
    <w:rsid w:val="00F5134D"/>
    <w:rsid w:val="00F74202"/>
    <w:rsid w:val="00F84C89"/>
    <w:rsid w:val="00F87713"/>
    <w:rsid w:val="00FB4360"/>
    <w:rsid w:val="00FD0C70"/>
  </w:rsids>
  <w:docVars>
    <w:docVar w:name="dvdocse" w:val="A10-0143/2026"/>
    <w:docVar w:name="dvlangue" w:val="CS"/>
    <w:docVar w:name="dvnumam" w:val="0"/>
    <w:docVar w:name="dvpe" w:val="784.340"/>
    <w:docVar w:name="dvrapporteur" w:val="Zpravodaj: "/>
    <w:docVar w:name="dvtitre" w:val="Usnesení Evropského parlamentu ze dne 17. června 2026 o zprávě Komise o Černé Hoře za rok 2025(2025/2253(INI))"/>
  </w:docVars>
  <m:mathPr>
    <m:mathFont m:val="Cambria Math"/>
  </m:mathPr>
  <w:themeFontLang w:val="en-GB" w:eastAsia="ja-JP" w:bidi="lo-LA"/>
  <w:clrSchemeMapping w:bg1="light1" w:t1="dark1" w:bg2="light2" w:t2="dark2" w:accent1="accent1" w:accent2="accent2" w:accent3="accent3" w:accent4="accent4" w:accent5="accent5" w:accent6="accent6" w:hyperlink="hyperlink" w:followedHyperlink="followedHyperlink"/>
  <w:doNotIncludeSubdocsInStats/>
  <w14:docId w14:val="5F942D3F"/>
  <w15:chartTrackingRefBased/>
  <w15:docId w15:val="{C3EFFCE7-13B0-4CC9-B79A-8FA3C968517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caption" w:semiHidden="1" w:unhideWhenUsed="1" w:qFormat="1"/>
    <w:lsdException w:name="Title" w:qFormat="1"/>
    <w:lsdException w:name="Subtitle" w:qFormat="1"/>
    <w:lsdException w:name="Strong" w:qFormat="1"/>
    <w:lsdException w:name="Emphasis" w:qFormat="1"/>
    <w:lsdException w:name="Normal Table" w:semiHidden="1" w:unhideWhenUsed="1"/>
    <w:lsdException w:name="No List" w:uiPriority="99"/>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uiPriority="39"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Smart Link" w:semiHidden="1" w:uiPriority="99" w:unhideWhenUsed="1"/>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atentStyles>
  <w:style w:type="paragraph" w:default="1" w:styleId="Normal">
    <w:name w:val="Normal"/>
    <w:qFormat/>
    <w:rsid w:val="00DA7FCD"/>
    <w:pPr>
      <w:widowControl w:val="0"/>
    </w:pPr>
    <w:rPr>
      <w:sz w:val="24"/>
      <w:lang w:val="cs-CZ"/>
    </w:rPr>
  </w:style>
  <w:style w:type="paragraph" w:styleId="Heading1">
    <w:name w:val="heading 1"/>
    <w:basedOn w:val="Normal"/>
    <w:next w:val="Normal"/>
    <w:semiHidden/>
    <w:qFormat/>
    <w:rsid w:val="00395FA1"/>
    <w:pPr>
      <w:keepNext/>
      <w:keepLines/>
      <w:widowControl/>
      <w:spacing w:after="120"/>
      <w:ind w:left="510" w:hanging="510"/>
      <w:outlineLvl w:val="0"/>
    </w:pPr>
    <w:rPr>
      <w:b/>
      <w:kern w:val="28"/>
      <w:sz w:val="28"/>
      <w:lang w:val="fr-FR" w:eastAsia="fr-FR"/>
    </w:rPr>
  </w:style>
  <w:style w:type="paragraph" w:styleId="Heading2">
    <w:name w:val="heading 2"/>
    <w:basedOn w:val="Normal"/>
    <w:next w:val="Normal"/>
    <w:semiHidden/>
    <w:qFormat/>
    <w:rsid w:val="00395FA1"/>
    <w:pPr>
      <w:keepNext/>
      <w:widowControl/>
      <w:numPr>
        <w:ilvl w:val="1"/>
        <w:numId w:val="43"/>
      </w:numPr>
      <w:spacing w:before="240" w:after="60"/>
      <w:outlineLvl w:val="1"/>
    </w:pPr>
    <w:rPr>
      <w:lang w:val="fr-FR" w:eastAsia="fr-FR"/>
    </w:rPr>
  </w:style>
  <w:style w:type="paragraph" w:styleId="Heading3">
    <w:name w:val="heading 3"/>
    <w:basedOn w:val="Normal"/>
    <w:next w:val="Normal"/>
    <w:semiHidden/>
    <w:qFormat/>
    <w:rsid w:val="00395FA1"/>
    <w:pPr>
      <w:keepNext/>
      <w:widowControl/>
      <w:numPr>
        <w:ilvl w:val="2"/>
        <w:numId w:val="43"/>
      </w:numPr>
      <w:spacing w:before="240" w:after="60"/>
      <w:outlineLvl w:val="2"/>
    </w:pPr>
    <w:rPr>
      <w:rFonts w:ascii="Arial" w:hAnsi="Arial"/>
      <w:lang w:val="fr-FR" w:eastAsia="fr-FR"/>
    </w:rPr>
  </w:style>
  <w:style w:type="paragraph" w:styleId="Heading4">
    <w:name w:val="heading 4"/>
    <w:basedOn w:val="Normal"/>
    <w:next w:val="Normal"/>
    <w:semiHidden/>
    <w:qFormat/>
    <w:rsid w:val="00395FA1"/>
    <w:pPr>
      <w:keepNext/>
      <w:widowControl/>
      <w:numPr>
        <w:ilvl w:val="3"/>
        <w:numId w:val="43"/>
      </w:numPr>
      <w:spacing w:before="240" w:after="60"/>
      <w:outlineLvl w:val="3"/>
    </w:pPr>
    <w:rPr>
      <w:lang w:val="en-US" w:eastAsia="fr-FR"/>
    </w:rPr>
  </w:style>
  <w:style w:type="paragraph" w:styleId="Heading5">
    <w:name w:val="heading 5"/>
    <w:basedOn w:val="Normal"/>
    <w:next w:val="Normal"/>
    <w:semiHidden/>
    <w:qFormat/>
    <w:rsid w:val="00395FA1"/>
    <w:pPr>
      <w:widowControl/>
      <w:numPr>
        <w:ilvl w:val="4"/>
        <w:numId w:val="44"/>
      </w:numPr>
      <w:spacing w:before="240" w:after="60"/>
      <w:outlineLvl w:val="4"/>
    </w:pPr>
    <w:rPr>
      <w:lang w:val="en-US" w:eastAsia="fr-FR"/>
    </w:rPr>
  </w:style>
  <w:style w:type="paragraph" w:styleId="Heading6">
    <w:name w:val="heading 6"/>
    <w:basedOn w:val="Normal"/>
    <w:next w:val="Normal"/>
    <w:semiHidden/>
    <w:qFormat/>
    <w:pPr>
      <w:spacing w:before="240" w:after="60"/>
      <w:outlineLvl w:val="5"/>
    </w:pPr>
    <w:rPr>
      <w:i/>
      <w:sz w:val="22"/>
    </w:rPr>
  </w:style>
  <w:style w:type="paragraph" w:styleId="Heading7">
    <w:name w:val="heading 7"/>
    <w:basedOn w:val="Normal"/>
    <w:next w:val="Normal"/>
    <w:semiHidden/>
    <w:qFormat/>
    <w:pPr>
      <w:spacing w:before="240" w:after="60"/>
      <w:outlineLvl w:val="6"/>
    </w:pPr>
    <w:rPr>
      <w:rFonts w:ascii="Arial" w:hAnsi="Arial"/>
    </w:rPr>
  </w:style>
  <w:style w:type="paragraph" w:styleId="Heading8">
    <w:name w:val="heading 8"/>
    <w:basedOn w:val="Normal"/>
    <w:next w:val="Normal"/>
    <w:semiHidden/>
    <w:qFormat/>
    <w:pPr>
      <w:spacing w:before="240" w:after="60"/>
      <w:outlineLvl w:val="7"/>
    </w:pPr>
    <w:rPr>
      <w:rFonts w:ascii="Arial" w:hAnsi="Arial"/>
      <w:i/>
    </w:rPr>
  </w:style>
  <w:style w:type="paragraph" w:styleId="Heading9">
    <w:name w:val="heading 9"/>
    <w:basedOn w:val="Normal"/>
    <w:next w:val="Normal"/>
    <w:semiHidden/>
    <w:qFormat/>
    <w:pPr>
      <w:spacing w:before="240" w:after="60"/>
      <w:outlineLvl w:val="8"/>
    </w:pPr>
    <w:rPr>
      <w:rFonts w:ascii="Arial" w:hAnsi="Arial"/>
      <w:b/>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ideTWBExt">
    <w:name w:val="HideTWBExt"/>
    <w:rPr>
      <w:rFonts w:ascii="Arial" w:hAnsi="Arial"/>
      <w:noProof/>
      <w:vanish/>
      <w:color w:val="000080"/>
      <w:sz w:val="20"/>
    </w:rPr>
  </w:style>
  <w:style w:type="paragraph" w:styleId="TOC1">
    <w:name w:val="toc 1"/>
    <w:basedOn w:val="Normal"/>
    <w:next w:val="Normal"/>
    <w:autoRedefine/>
    <w:semiHidden/>
    <w:rsid w:val="00395FA1"/>
    <w:pPr>
      <w:keepNext/>
      <w:keepLines/>
      <w:widowControl/>
      <w:spacing w:before="200"/>
    </w:pPr>
    <w:rPr>
      <w:b/>
      <w:noProof/>
      <w:lang w:val="fr-FR" w:eastAsia="fr-FR"/>
    </w:rPr>
  </w:style>
  <w:style w:type="character" w:customStyle="1" w:styleId="HideTWBInt">
    <w:name w:val="HideTWBInt"/>
    <w:rPr>
      <w:rFonts w:ascii="Arial" w:hAnsi="Arial" w:cs="Arial"/>
      <w:vanish/>
      <w:color w:val="808080"/>
      <w:sz w:val="20"/>
    </w:rPr>
  </w:style>
  <w:style w:type="paragraph" w:customStyle="1" w:styleId="EPBodyTA2">
    <w:name w:val="EPBodyTA2"/>
    <w:basedOn w:val="Normal"/>
    <w:rsid w:val="00AE0928"/>
    <w:pPr>
      <w:jc w:val="center"/>
    </w:pPr>
    <w:rPr>
      <w:rFonts w:ascii="Arial" w:hAnsi="Arial"/>
      <w:bCs/>
      <w:i/>
      <w:sz w:val="20"/>
    </w:rPr>
  </w:style>
  <w:style w:type="table" w:styleId="TableGrid">
    <w:name w:val="Table Grid"/>
    <w:basedOn w:val="TableNormal"/>
    <w:rsid w:val="00D058B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EPBodyTA1">
    <w:name w:val="EPBodyTA1"/>
    <w:basedOn w:val="Normal"/>
    <w:rsid w:val="00AE0928"/>
    <w:pPr>
      <w:jc w:val="center"/>
    </w:pPr>
    <w:rPr>
      <w:rFonts w:ascii="Arial" w:hAnsi="Arial" w:cs="Arial"/>
      <w:b/>
      <w:sz w:val="22"/>
      <w:szCs w:val="22"/>
    </w:rPr>
  </w:style>
  <w:style w:type="paragraph" w:customStyle="1" w:styleId="LineTop">
    <w:name w:val="LineTop"/>
    <w:basedOn w:val="Normal"/>
    <w:next w:val="Normal"/>
    <w:rsid w:val="00D058B8"/>
    <w:pPr>
      <w:pBdr>
        <w:top w:val="single" w:sz="4" w:space="1" w:color="auto"/>
      </w:pBdr>
      <w:jc w:val="center"/>
    </w:pPr>
    <w:rPr>
      <w:rFonts w:ascii="Arial" w:hAnsi="Arial" w:cs="Arial"/>
      <w:sz w:val="16"/>
      <w:szCs w:val="16"/>
    </w:rPr>
  </w:style>
  <w:style w:type="paragraph" w:customStyle="1" w:styleId="LineBottom">
    <w:name w:val="LineBottom"/>
    <w:basedOn w:val="Normal"/>
    <w:next w:val="Normal"/>
    <w:rsid w:val="00A1687D"/>
    <w:pPr>
      <w:pBdr>
        <w:bottom w:val="single" w:sz="4" w:space="1" w:color="auto"/>
      </w:pBdr>
      <w:spacing w:after="240"/>
      <w:jc w:val="center"/>
    </w:pPr>
    <w:rPr>
      <w:rFonts w:ascii="Arial" w:hAnsi="Arial" w:cs="Arial"/>
      <w:sz w:val="16"/>
      <w:szCs w:val="16"/>
    </w:rPr>
  </w:style>
  <w:style w:type="paragraph" w:customStyle="1" w:styleId="ATHeading1">
    <w:name w:val="AT Heading 1"/>
    <w:basedOn w:val="Normal"/>
    <w:next w:val="Normal"/>
    <w:rsid w:val="00F5134D"/>
    <w:pPr>
      <w:keepNext/>
      <w:keepLines/>
      <w:widowControl/>
      <w:spacing w:before="480" w:after="120"/>
      <w:outlineLvl w:val="0"/>
    </w:pPr>
    <w:rPr>
      <w:b/>
      <w:sz w:val="28"/>
      <w:lang w:eastAsia="fr-FR"/>
    </w:rPr>
  </w:style>
  <w:style w:type="paragraph" w:customStyle="1" w:styleId="ATHeading2">
    <w:name w:val="AT Heading 2"/>
    <w:basedOn w:val="Normal"/>
    <w:next w:val="Normal"/>
    <w:rsid w:val="00395FA1"/>
    <w:pPr>
      <w:widowControl/>
      <w:spacing w:before="120" w:after="120"/>
      <w:outlineLvl w:val="1"/>
    </w:pPr>
    <w:rPr>
      <w:b/>
      <w:sz w:val="28"/>
      <w:lang w:eastAsia="fr-FR"/>
    </w:rPr>
  </w:style>
  <w:style w:type="paragraph" w:customStyle="1" w:styleId="ATHeading3">
    <w:name w:val="AT Heading 3"/>
    <w:basedOn w:val="Normal"/>
    <w:next w:val="Normal"/>
    <w:rsid w:val="00395FA1"/>
    <w:pPr>
      <w:keepNext/>
      <w:keepLines/>
      <w:widowControl/>
      <w:spacing w:before="120" w:after="120"/>
      <w:outlineLvl w:val="2"/>
    </w:pPr>
    <w:rPr>
      <w:b/>
      <w:lang w:eastAsia="fr-FR"/>
    </w:rPr>
  </w:style>
  <w:style w:type="paragraph" w:customStyle="1" w:styleId="ATHeadingMotiv">
    <w:name w:val="AT Heading Motiv"/>
    <w:basedOn w:val="Normal"/>
    <w:next w:val="Normal"/>
    <w:rsid w:val="00395FA1"/>
    <w:pPr>
      <w:keepNext/>
      <w:widowControl/>
      <w:spacing w:before="60" w:after="60"/>
      <w:jc w:val="center"/>
    </w:pPr>
    <w:rPr>
      <w:i/>
      <w:lang w:eastAsia="fr-FR"/>
    </w:rPr>
  </w:style>
  <w:style w:type="character" w:styleId="FootnoteReference">
    <w:name w:val="footnote reference"/>
    <w:rsid w:val="00395FA1"/>
    <w:rPr>
      <w:b w:val="0"/>
      <w:vertAlign w:val="superscript"/>
    </w:rPr>
  </w:style>
  <w:style w:type="paragraph" w:styleId="FootnoteText">
    <w:name w:val="footnote text"/>
    <w:basedOn w:val="Normal"/>
    <w:link w:val="FootnoteTextChar"/>
    <w:rsid w:val="00395FA1"/>
    <w:pPr>
      <w:keepLines/>
      <w:widowControl/>
      <w:spacing w:line="260" w:lineRule="exact"/>
      <w:ind w:left="425" w:hanging="425"/>
    </w:pPr>
    <w:rPr>
      <w:sz w:val="22"/>
      <w:lang w:val="fr-FR" w:eastAsia="fr-FR"/>
    </w:rPr>
  </w:style>
  <w:style w:type="character" w:customStyle="1" w:styleId="FootnoteTextChar">
    <w:name w:val="Footnote Text Char"/>
    <w:link w:val="FootnoteText"/>
    <w:rsid w:val="00762C74"/>
    <w:rPr>
      <w:sz w:val="22"/>
      <w:lang w:val="fr-FR" w:eastAsia="fr-FR"/>
    </w:rPr>
  </w:style>
  <w:style w:type="character" w:styleId="PageNumber">
    <w:name w:val="page number"/>
    <w:semiHidden/>
    <w:rsid w:val="00395FA1"/>
  </w:style>
  <w:style w:type="paragraph" w:styleId="TOC2">
    <w:name w:val="toc 2"/>
    <w:basedOn w:val="Normal"/>
    <w:next w:val="Normal"/>
    <w:autoRedefine/>
    <w:semiHidden/>
    <w:rsid w:val="00395FA1"/>
    <w:pPr>
      <w:keepNext/>
      <w:keepLines/>
      <w:widowControl/>
    </w:pPr>
    <w:rPr>
      <w:b/>
      <w:noProof/>
      <w:lang w:val="fr-FR" w:eastAsia="fr-FR"/>
    </w:rPr>
  </w:style>
  <w:style w:type="paragraph" w:styleId="TOC3">
    <w:name w:val="toc 3"/>
    <w:basedOn w:val="Normal"/>
    <w:next w:val="Normal"/>
    <w:autoRedefine/>
    <w:semiHidden/>
    <w:rsid w:val="00395FA1"/>
    <w:pPr>
      <w:keepLines/>
      <w:widowControl/>
      <w:ind w:right="510"/>
    </w:pPr>
    <w:rPr>
      <w:noProof/>
      <w:lang w:val="fr-FR" w:eastAsia="fr-FR"/>
    </w:rPr>
  </w:style>
  <w:style w:type="paragraph" w:customStyle="1" w:styleId="EPName">
    <w:name w:val="EPName"/>
    <w:basedOn w:val="Normal"/>
    <w:rsid w:val="00751A4A"/>
    <w:pPr>
      <w:spacing w:before="80" w:after="80"/>
    </w:pPr>
    <w:rPr>
      <w:rFonts w:ascii="Arial Narrow" w:hAnsi="Arial Narrow" w:cs="Arial"/>
      <w:b/>
      <w:sz w:val="32"/>
      <w:szCs w:val="22"/>
    </w:rPr>
  </w:style>
  <w:style w:type="paragraph" w:customStyle="1" w:styleId="EPTerm">
    <w:name w:val="EPTerm"/>
    <w:basedOn w:val="Normal"/>
    <w:next w:val="Normal"/>
    <w:rsid w:val="00751A4A"/>
    <w:pPr>
      <w:spacing w:after="80"/>
    </w:pPr>
    <w:rPr>
      <w:rFonts w:ascii="Arial" w:hAnsi="Arial" w:cs="Arial"/>
      <w:sz w:val="20"/>
      <w:szCs w:val="22"/>
    </w:rPr>
  </w:style>
  <w:style w:type="paragraph" w:customStyle="1" w:styleId="EPLogo">
    <w:name w:val="EPLogo"/>
    <w:basedOn w:val="Normal"/>
    <w:qFormat/>
    <w:rsid w:val="00751A4A"/>
    <w:pPr>
      <w:jc w:val="right"/>
    </w:pPr>
  </w:style>
  <w:style w:type="paragraph" w:customStyle="1" w:styleId="Normal12a">
    <w:name w:val="Normal12a"/>
    <w:basedOn w:val="Normal"/>
    <w:rsid w:val="00A4002B"/>
    <w:pPr>
      <w:widowControl/>
      <w:spacing w:after="240"/>
    </w:pPr>
    <w:rPr>
      <w:szCs w:val="24"/>
      <w:lang w:eastAsia="en-US"/>
    </w:rPr>
  </w:style>
  <w:style w:type="paragraph" w:customStyle="1" w:styleId="NormalHanging12a">
    <w:name w:val="NormalHanging12a"/>
    <w:basedOn w:val="Normal"/>
    <w:rsid w:val="00A4002B"/>
    <w:pPr>
      <w:widowControl/>
      <w:spacing w:after="240"/>
      <w:ind w:left="566" w:hanging="566"/>
    </w:pPr>
    <w:rPr>
      <w:szCs w:val="24"/>
      <w:lang w:eastAsia="en-US"/>
    </w:rPr>
  </w:style>
  <w:style w:type="paragraph" w:customStyle="1" w:styleId="Normal12">
    <w:name w:val="Normal12"/>
    <w:basedOn w:val="Normal"/>
    <w:rsid w:val="00A4002B"/>
    <w:pPr>
      <w:spacing w:after="240"/>
    </w:pPr>
    <w:rPr>
      <w:szCs w:val="24"/>
      <w:lang w:eastAsia="en-US"/>
    </w:rPr>
  </w:style>
  <w:style w:type="paragraph" w:customStyle="1" w:styleId="NormalHanging">
    <w:name w:val="NormalHanging"/>
    <w:basedOn w:val="Normal"/>
    <w:rsid w:val="00A4002B"/>
    <w:pPr>
      <w:spacing w:after="240"/>
      <w:ind w:left="566" w:hanging="566"/>
    </w:pPr>
    <w:rPr>
      <w:szCs w:val="24"/>
      <w:lang w:eastAsia="en-US"/>
    </w:rPr>
  </w:style>
  <w:style w:type="paragraph" w:customStyle="1" w:styleId="NormalCenter12a">
    <w:name w:val="NormalCenter12a"/>
    <w:basedOn w:val="Normal"/>
    <w:rsid w:val="00A4002B"/>
    <w:pPr>
      <w:widowControl/>
      <w:spacing w:after="240"/>
      <w:jc w:val="center"/>
    </w:pPr>
    <w:rPr>
      <w:szCs w:val="24"/>
      <w:lang w:eastAsia="en-US"/>
    </w:rPr>
  </w:style>
  <w:style w:type="character" w:styleId="Hyperlink">
    <w:name w:val="Hyperlink"/>
    <w:basedOn w:val="DefaultParagraphFont"/>
    <w:rsid w:val="00A4002B"/>
    <w:rPr>
      <w:color w:val="0000FF"/>
      <w:u w:val="single"/>
    </w:rPr>
  </w:style>
  <w:style w:type="paragraph" w:styleId="Revision">
    <w:name w:val="Revision"/>
    <w:hidden/>
    <w:uiPriority w:val="99"/>
    <w:semiHidden/>
    <w:rsid w:val="006915B5"/>
    <w:rPr>
      <w:sz w:val="24"/>
      <w:lang w:val="cs-CZ"/>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webSettings>
</file>

<file path=word/_rels/document.xml.rels><?xml version="1.0" encoding="utf-8" standalone="yes"?><Relationships xmlns="http://schemas.openxmlformats.org/package/2006/relationships"><Relationship Id="rId1" Type="http://schemas.openxmlformats.org/officeDocument/2006/relationships/footnotes" Target="footnotes.xml" /><Relationship Id="rId10" Type="http://schemas.openxmlformats.org/officeDocument/2006/relationships/footer" Target="footer2.xml" /><Relationship Id="rId11" Type="http://schemas.openxmlformats.org/officeDocument/2006/relationships/header" Target="header3.xml" /><Relationship Id="rId12" Type="http://schemas.openxmlformats.org/officeDocument/2006/relationships/footer" Target="footer3.xml" /><Relationship Id="rId13" Type="http://schemas.openxmlformats.org/officeDocument/2006/relationships/theme" Target="theme/theme1.xml" /><Relationship Id="rId14" Type="http://schemas.openxmlformats.org/officeDocument/2006/relationships/numbering" Target="numbering.xml" /><Relationship Id="rId15"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webSettings" Target="webSettings.xml" /><Relationship Id="rId4" Type="http://schemas.openxmlformats.org/officeDocument/2006/relationships/fontTable" Target="fontTable.xml" /><Relationship Id="rId5" Type="http://schemas.openxmlformats.org/officeDocument/2006/relationships/customXml" Target="../customXml/item1.xml" /><Relationship Id="rId6" Type="http://schemas.openxmlformats.org/officeDocument/2006/relationships/image" Target="media/image1.png" /><Relationship Id="rId7" Type="http://schemas.openxmlformats.org/officeDocument/2006/relationships/header" Target="header1.xml" /><Relationship Id="rId8" Type="http://schemas.openxmlformats.org/officeDocument/2006/relationships/header" Target="header2.xml" /><Relationship Id="rId9" Type="http://schemas.openxmlformats.org/officeDocument/2006/relationships/footer" Target="footer1.xml" /></Relationships>
</file>

<file path=word/_rels/footnotes.xml.rels><?xml version="1.0" encoding="utf-8" standalone="yes"?><Relationships xmlns="http://schemas.openxmlformats.org/package/2006/relationships"><Relationship Id="rId1" Type="http://schemas.openxmlformats.org/officeDocument/2006/relationships/hyperlink" Target="http://data.europa.eu/eli/agree_internation/2010/224/oj" TargetMode="External" /><Relationship Id="rId2" Type="http://schemas.openxmlformats.org/officeDocument/2006/relationships/hyperlink" Target="http://data.europa.eu/eli/reg/2021/1529/oj" TargetMode="External" /><Relationship Id="rId3" Type="http://schemas.openxmlformats.org/officeDocument/2006/relationships/hyperlink" Target="http://data.europa.eu/eli/reg/2024/1449/oj" TargetMode="External" /><Relationship Id="rId4" Type="http://schemas.openxmlformats.org/officeDocument/2006/relationships/hyperlink" Target="http://data.europa.eu/eli/reg/2024/1083/oj"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Relationships xmlns="http://schemas.openxmlformats.org/package/2006/relationships"><Relationship Id="rId1" Type="http://schemas.openxmlformats.org/officeDocument/2006/relationships/customXmlProps" Target="itemProps1.xml" /></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0C03638B-3BDB-408A-AEAA-BCE6197A2C3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TotalTime>
  <Pages>14</Pages>
  <Words>6297</Words>
  <Characters>35893</Characters>
  <Application>Microsoft Office Word</Application>
  <DocSecurity>0</DocSecurity>
  <Lines>299</Lines>
  <Paragraphs>84</Paragraphs>
  <ScaleCrop>false</ScaleCrop>
  <HeadingPairs>
    <vt:vector size="2" baseType="variant">
      <vt:variant>
        <vt:lpstr>Title</vt:lpstr>
      </vt:variant>
      <vt:variant>
        <vt:i4>1</vt:i4>
      </vt:variant>
    </vt:vector>
  </HeadingPairs>
  <TitlesOfParts>
    <vt:vector size="1" baseType="lpstr">
      <vt:lpstr>TA</vt:lpstr>
    </vt:vector>
  </TitlesOfParts>
  <Company/>
  <LinksUpToDate>false</LinksUpToDate>
  <CharactersWithSpaces>42106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TA</dc:title>
  <dc:creator>European Parliament</dc:creator>
  <cp:lastModifiedBy>European Parliament</cp:lastModifiedBy>
  <cp:revision>2</cp:revision>
  <cp:lastPrinted>2004-11-19T15:42:00Z</cp:lastPrinted>
  <dcterms:created xsi:type="dcterms:W3CDTF">2026-06-17T14:19:00Z</dcterms:created>
  <dcterms:modified xsi:type="dcterms:W3CDTF">2026-06-17T14:19:00Z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t;Extension&gt;">
    <vt:lpwstr>CS</vt:lpwstr>
  </property>
  <property fmtid="{D5CDD505-2E9C-101B-9397-08002B2CF9AE}" pid="3" name="&lt;FdR&gt;">
    <vt:lpwstr>A10-0143/2026</vt:lpwstr>
  </property>
  <property fmtid="{D5CDD505-2E9C-101B-9397-08002B2CF9AE}" pid="4" name="&lt;Type&gt;">
    <vt:lpwstr>RR</vt:lpwstr>
  </property>
</Properties>
</file>