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AABF59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123D" w:rsidP="0010095E" w14:paraId="0BA7D8CF" w14:textId="77777777">
            <w:pPr>
              <w:pStyle w:val="EPName"/>
            </w:pPr>
            <w:r w:rsidRPr="004C123D">
              <w:t>Europski parlament</w:t>
            </w:r>
          </w:p>
          <w:p w:rsidR="00751A4A" w:rsidRPr="004C123D" w:rsidP="005F1B17" w14:paraId="4135272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123D">
              <w:t>2024</w:t>
            </w:r>
            <w:r w:rsidRPr="004C123D" w:rsidR="00817416">
              <w:t>-202</w:t>
            </w:r>
            <w:r w:rsidRPr="004C12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C123D" w:rsidP="0010095E" w14:paraId="2F2C1EF2" w14:textId="77777777">
            <w:pPr>
              <w:pStyle w:val="EPLogo"/>
            </w:pPr>
            <w:r w:rsidRPr="004C123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123D" w:rsidP="004C5D52" w14:paraId="41F98D3A" w14:textId="77777777">
      <w:pPr>
        <w:pStyle w:val="LineTop"/>
      </w:pPr>
    </w:p>
    <w:p w:rsidR="00680577" w:rsidRPr="004C123D" w:rsidP="00680577" w14:paraId="1DABCF13" w14:textId="77777777">
      <w:pPr>
        <w:pStyle w:val="EPBodyTA1"/>
      </w:pPr>
      <w:r w:rsidRPr="004C123D">
        <w:t>USVOJENI TEKSTOVI</w:t>
      </w:r>
    </w:p>
    <w:p w:rsidR="00D058B8" w:rsidRPr="004C123D" w:rsidP="00D058B8" w14:paraId="6333E00C" w14:textId="77777777">
      <w:pPr>
        <w:pStyle w:val="LineBottom"/>
      </w:pPr>
    </w:p>
    <w:p w:rsidR="00203E48" w:rsidRPr="004C123D" w:rsidP="00203E48" w14:paraId="58270586" w14:textId="209973D4">
      <w:pPr>
        <w:pStyle w:val="ATHeading1"/>
      </w:pPr>
      <w:bookmarkStart w:id="0" w:name="TANumber"/>
      <w:r w:rsidRPr="004C123D">
        <w:t>P10_TA(2026)0</w:t>
      </w:r>
      <w:r w:rsidR="00851B49">
        <w:t>216</w:t>
      </w:r>
      <w:bookmarkEnd w:id="0"/>
    </w:p>
    <w:p w:rsidR="00203E48" w:rsidRPr="004C123D" w:rsidP="00203E48" w14:paraId="6C0BC55C" w14:textId="77777777">
      <w:pPr>
        <w:pStyle w:val="ATHeading2"/>
      </w:pPr>
      <w:bookmarkStart w:id="1" w:name="title"/>
      <w:r w:rsidRPr="004C123D">
        <w:t>Izvješće Komisije o Crnoj Gori za 2025.</w:t>
      </w:r>
      <w:bookmarkEnd w:id="1"/>
    </w:p>
    <w:p w:rsidR="00203E48" w:rsidRPr="004C123D" w:rsidP="00203E48" w14:paraId="1A9F58E7" w14:textId="77777777">
      <w:pPr>
        <w:rPr>
          <w:i/>
          <w:vanish/>
        </w:rPr>
      </w:pPr>
      <w:r>
        <w:rPr>
          <w:i/>
        </w:rPr>
        <w:fldChar w:fldCharType="begin"/>
      </w:r>
      <w:r w:rsidRPr="004C123D">
        <w:rPr>
          <w:i/>
        </w:rPr>
        <w:instrText xml:space="preserve"> TC"(</w:instrText>
      </w:r>
      <w:bookmarkStart w:id="2" w:name="DocNumber"/>
      <w:r w:rsidRPr="004C123D">
        <w:rPr>
          <w:i/>
        </w:rPr>
        <w:instrText>A10-0143/2026</w:instrText>
      </w:r>
      <w:bookmarkEnd w:id="2"/>
      <w:r w:rsidRPr="004C123D">
        <w:rPr>
          <w:i/>
        </w:rPr>
        <w:instrText xml:space="preserve"> - Izvjestitelj: Marjan Šarec)"\l3 \n&gt; \* MERGEFORMAT </w:instrText>
      </w:r>
      <w:r>
        <w:rPr>
          <w:i/>
        </w:rPr>
        <w:fldChar w:fldCharType="end"/>
      </w:r>
    </w:p>
    <w:p w:rsidR="00203E48" w:rsidRPr="004C123D" w:rsidP="00203E48" w14:paraId="6E2260C5" w14:textId="77777777">
      <w:pPr>
        <w:rPr>
          <w:vanish/>
        </w:rPr>
      </w:pPr>
      <w:bookmarkStart w:id="3" w:name="Commission"/>
      <w:r w:rsidRPr="004C123D">
        <w:rPr>
          <w:vanish/>
        </w:rPr>
        <w:t>Odbor za vanjske poslove</w:t>
      </w:r>
      <w:bookmarkEnd w:id="3"/>
    </w:p>
    <w:p w:rsidR="00203E48" w:rsidRPr="004C123D" w:rsidP="00203E48" w14:paraId="37E75104" w14:textId="77777777">
      <w:pPr>
        <w:rPr>
          <w:vanish/>
        </w:rPr>
      </w:pPr>
      <w:bookmarkStart w:id="4" w:name="PE"/>
      <w:r w:rsidRPr="004C123D">
        <w:rPr>
          <w:vanish/>
        </w:rPr>
        <w:t>PE784.340</w:t>
      </w:r>
      <w:bookmarkEnd w:id="4"/>
    </w:p>
    <w:p w:rsidR="00203E48" w:rsidRPr="004C123D" w:rsidP="00203E48" w14:paraId="401BCC36" w14:textId="57552047">
      <w:pPr>
        <w:pStyle w:val="ATHeading3"/>
      </w:pPr>
      <w:bookmarkStart w:id="5" w:name="Sujet"/>
      <w:r w:rsidRPr="004C123D">
        <w:t xml:space="preserve">Rezolucija Europskog parlamenta od </w:t>
      </w:r>
      <w:r w:rsidR="00E85A0C">
        <w:t>17. lipnja</w:t>
      </w:r>
      <w:r w:rsidRPr="004C123D">
        <w:t xml:space="preserve"> 2026. o Izvješću Komisije o Crnoj Gori za 2025.</w:t>
      </w:r>
      <w:bookmarkEnd w:id="5"/>
      <w:r w:rsidRPr="004C123D">
        <w:t xml:space="preserve"> </w:t>
      </w:r>
      <w:bookmarkStart w:id="6" w:name="References"/>
      <w:r w:rsidRPr="004C123D">
        <w:t>(2025/2253(INI))</w:t>
      </w:r>
      <w:bookmarkEnd w:id="6"/>
    </w:p>
    <w:p w:rsidR="00625BB6" w:rsidRPr="004C123D" w:rsidP="009F21D5" w14:paraId="5B68EAF8" w14:textId="77777777">
      <w:pPr>
        <w:pStyle w:val="Normal12"/>
        <w:spacing w:before="240"/>
      </w:pPr>
      <w:r w:rsidRPr="004C123D">
        <w:rPr>
          <w:i/>
        </w:rPr>
        <w:t>Europski parlament</w:t>
      </w:r>
      <w:r w:rsidRPr="004C123D">
        <w:t>,</w:t>
      </w:r>
    </w:p>
    <w:p w:rsidR="00625BB6" w:rsidRPr="004C123D" w:rsidP="00625BB6" w14:paraId="630B06AE" w14:textId="4DD8DF09">
      <w:pPr>
        <w:pStyle w:val="NormalHanging"/>
      </w:pPr>
      <w:r w:rsidRPr="004C123D">
        <w:t>–</w:t>
      </w:r>
      <w:r w:rsidRPr="004C123D">
        <w:tab/>
        <w:t>uzimajući u obzir Sporazum o stabilizaciji i pridruživanju između Europskih zajednica i njihovih država članica, s jedne strane, i Republike Crne Gore, s druge strane</w:t>
      </w:r>
      <w:r>
        <w:rPr>
          <w:rStyle w:val="FootnoteReference"/>
        </w:rPr>
        <w:footnoteReference w:id="2"/>
      </w:r>
      <w:r w:rsidRPr="004C123D">
        <w:t>, koji je stupio na snagu 1. svibnja 2010.,</w:t>
      </w:r>
    </w:p>
    <w:p w:rsidR="00625BB6" w:rsidRPr="004C123D" w:rsidP="00625BB6" w14:paraId="390C3234" w14:textId="77777777">
      <w:pPr>
        <w:pStyle w:val="NormalHanging"/>
      </w:pPr>
      <w:r w:rsidRPr="004C123D">
        <w:t>–</w:t>
      </w:r>
      <w:r w:rsidRPr="004C123D">
        <w:tab/>
        <w:t>uzimajući u obzir zahtjev Crne Gore za članstvo u Europskoj uniji od 15. prosinca 2008.,</w:t>
      </w:r>
    </w:p>
    <w:p w:rsidR="00625BB6" w:rsidRPr="004C123D" w:rsidP="00625BB6" w14:paraId="23EECB6F" w14:textId="3B2D1074">
      <w:pPr>
        <w:pStyle w:val="NormalHanging"/>
      </w:pPr>
      <w:r w:rsidRPr="004C123D">
        <w:t>–</w:t>
      </w:r>
      <w:r w:rsidRPr="004C123D">
        <w:tab/>
        <w:t>uzimajući u obzir Mišljenje Komisije od 9. studenoga 2010. o zahtjevu Crne Gore za članstvo u Europskoj uniji (</w:t>
      </w:r>
      <w:r w:rsidRPr="00E85A0C">
        <w:t>COM(2010)0670</w:t>
      </w:r>
      <w:r w:rsidRPr="004C123D">
        <w:t>), odluku Europskog vijeća od 17. prosinca 2010. o dodjeli statusa zemlje kandidatkinje Crnoj Gori te odluku Europskog vijeća od 29. lipnja 2012. o otvaranju pregovora o pristupanju EU-u s Crnom Gorom,</w:t>
      </w:r>
    </w:p>
    <w:p w:rsidR="00625BB6" w:rsidRPr="004C123D" w:rsidP="00625BB6" w14:paraId="1AFF334C" w14:textId="082E4153">
      <w:pPr>
        <w:pStyle w:val="NormalHanging"/>
      </w:pPr>
      <w:r w:rsidRPr="004C123D">
        <w:t>–</w:t>
      </w:r>
      <w:r w:rsidRPr="004C123D">
        <w:tab/>
        <w:t>uzimajući u obzir Uredbu (EU) 2021/1529 Europskog parlamenta i Vijeća od 15. rujna 2021. o uspostavi Instrumenta pretpristupne pomoći (IPA III)</w:t>
      </w:r>
      <w:r>
        <w:rPr>
          <w:rStyle w:val="FootnoteReference"/>
        </w:rPr>
        <w:footnoteReference w:id="3"/>
      </w:r>
      <w:r w:rsidRPr="004C123D">
        <w:t>,</w:t>
      </w:r>
    </w:p>
    <w:p w:rsidR="00625BB6" w:rsidRPr="004C123D" w:rsidP="00625BB6" w14:paraId="4B5FB982" w14:textId="52B13955">
      <w:pPr>
        <w:pStyle w:val="NormalHanging"/>
      </w:pPr>
      <w:r w:rsidRPr="004C123D">
        <w:t>–</w:t>
      </w:r>
      <w:r w:rsidRPr="004C123D">
        <w:tab/>
        <w:t>uzimajući u obzir Uredbu (EU) 2024/1449 Europskog parlamenta i Vijeća od 14. svibnja 2024. o uspostavi Instrumenta za reforme i rast za zapadni Balkan</w:t>
      </w:r>
      <w:r>
        <w:rPr>
          <w:rStyle w:val="FootnoteReference"/>
        </w:rPr>
        <w:footnoteReference w:id="4"/>
      </w:r>
      <w:r w:rsidRPr="004C123D">
        <w:t>,</w:t>
      </w:r>
    </w:p>
    <w:p w:rsidR="00625BB6" w:rsidRPr="004C123D" w:rsidP="00625BB6" w14:paraId="325C9455" w14:textId="77777777">
      <w:pPr>
        <w:pStyle w:val="NormalHanging"/>
      </w:pPr>
      <w:r w:rsidRPr="004C123D">
        <w:t>–</w:t>
      </w:r>
      <w:r w:rsidRPr="004C123D">
        <w:tab/>
        <w:t>uzimajući u obzir zaključke predsjedništva sa sastanka Europskog vijeća održanog 19. i 20. lipnja 2003. u Solunu,</w:t>
      </w:r>
    </w:p>
    <w:p w:rsidR="00625BB6" w:rsidRPr="004C123D" w:rsidP="00625BB6" w14:paraId="24B34E22" w14:textId="77777777">
      <w:pPr>
        <w:pStyle w:val="NormalHanging"/>
      </w:pPr>
      <w:r w:rsidRPr="004C123D">
        <w:t>–</w:t>
      </w:r>
      <w:r w:rsidRPr="004C123D">
        <w:tab/>
        <w:t>uzimajući u obzir izjave sa sastanaka na vrhu EU-a i zapadnog Balkana održanih u Sofiji (Bugarska), Zagrebu (Hrvatska) i Brdu pri Kranju (Slovenija) 2018., 2020. i 2021.,</w:t>
      </w:r>
    </w:p>
    <w:p w:rsidR="00625BB6" w:rsidRPr="004C123D" w:rsidP="00625BB6" w14:paraId="0DC92C3F" w14:textId="77777777">
      <w:pPr>
        <w:pStyle w:val="NormalHanging"/>
      </w:pPr>
      <w:r w:rsidRPr="004C123D">
        <w:t>–</w:t>
      </w:r>
      <w:r w:rsidRPr="004C123D">
        <w:tab/>
        <w:t>uzimajući u obzir sastanak čelnika zemalja zapadnog Balkana održan 1. srpnja 2025. u Skopju (Sjeverna Makedonija) o planu rasta za zapadni Balkan,</w:t>
      </w:r>
    </w:p>
    <w:p w:rsidR="00625BB6" w:rsidRPr="004C123D" w:rsidP="00625BB6" w14:paraId="79B321B5" w14:textId="77777777">
      <w:pPr>
        <w:pStyle w:val="NormalHanging"/>
      </w:pPr>
      <w:r w:rsidRPr="004C123D">
        <w:t>–</w:t>
      </w:r>
      <w:r w:rsidRPr="004C123D">
        <w:tab/>
        <w:t>uzimajući u obzir izjavu donesenu na sastanku na vrhu EU-a i zapadnog Balkana održanom 17. prosinca 2025.,</w:t>
      </w:r>
    </w:p>
    <w:p w:rsidR="00625BB6" w:rsidRPr="004C123D" w:rsidP="00625BB6" w14:paraId="68211F21" w14:textId="77777777">
      <w:pPr>
        <w:pStyle w:val="NormalHanging"/>
      </w:pPr>
      <w:r w:rsidRPr="004C123D">
        <w:t>–</w:t>
      </w:r>
      <w:r w:rsidRPr="004C123D">
        <w:tab/>
        <w:t>uzimajući u obzir zaključke predsjedništva o proširenju od 16. prosinca 2025.,</w:t>
      </w:r>
    </w:p>
    <w:p w:rsidR="00625BB6" w:rsidRPr="004C123D" w:rsidP="00625BB6" w14:paraId="59B410ED" w14:textId="77777777">
      <w:pPr>
        <w:pStyle w:val="NormalHanging"/>
      </w:pPr>
      <w:r w:rsidRPr="004C123D">
        <w:t>–</w:t>
      </w:r>
      <w:r w:rsidRPr="004C123D">
        <w:tab/>
        <w:t>uzimajući u obzir Berlinski proces, pokrenut 28. kolovoza 2014.,</w:t>
      </w:r>
    </w:p>
    <w:p w:rsidR="00625BB6" w:rsidRPr="004C123D" w:rsidP="00625BB6" w14:paraId="6BFA2910" w14:textId="77777777">
      <w:pPr>
        <w:pStyle w:val="NormalHanging"/>
      </w:pPr>
      <w:r w:rsidRPr="004C123D">
        <w:t>–</w:t>
      </w:r>
      <w:r w:rsidRPr="004C123D">
        <w:tab/>
        <w:t>uzimajući u obzir zaključke predsjedatelja sa sastanka na vrhu o Berlinskom procesu održanog 22. listopada 2025.,</w:t>
      </w:r>
    </w:p>
    <w:p w:rsidR="00625BB6" w:rsidRPr="004C123D" w:rsidP="00625BB6" w14:paraId="77064A43" w14:textId="1C0D7A46">
      <w:pPr>
        <w:pStyle w:val="NormalHanging"/>
      </w:pPr>
      <w:r w:rsidRPr="004C123D">
        <w:t>–</w:t>
      </w:r>
      <w:r w:rsidRPr="004C123D">
        <w:tab/>
        <w:t>uzimajući u obzir komunikaciju Komisije od 6. listopada 2020. naslovljenu „Gospodarski i investicijski plan za zapadni Balkan” (</w:t>
      </w:r>
      <w:r w:rsidRPr="00E85A0C">
        <w:t>COM(2020)0641</w:t>
      </w:r>
      <w:r w:rsidRPr="004C123D">
        <w:t>),</w:t>
      </w:r>
    </w:p>
    <w:p w:rsidR="00625BB6" w:rsidRPr="004C123D" w:rsidP="00625BB6" w14:paraId="475BEB7E" w14:textId="651D7C09">
      <w:pPr>
        <w:pStyle w:val="NormalHanging"/>
      </w:pPr>
      <w:r w:rsidRPr="004C123D">
        <w:t>–</w:t>
      </w:r>
      <w:r w:rsidRPr="004C123D">
        <w:tab/>
        <w:t>uzimajući u obzir komunikaciju Komisije od 8. studenoga 2023. naslovljenu „Novi plan rasta za zapadni Balkan” (</w:t>
      </w:r>
      <w:r w:rsidRPr="00E85A0C">
        <w:t>COM(2023)0691</w:t>
      </w:r>
      <w:r w:rsidRPr="004C123D">
        <w:t>),</w:t>
      </w:r>
    </w:p>
    <w:p w:rsidR="00625BB6" w:rsidRPr="004C123D" w:rsidP="00625BB6" w14:paraId="2C66240E" w14:textId="3A0D495C">
      <w:pPr>
        <w:pStyle w:val="NormalHanging"/>
      </w:pPr>
      <w:r w:rsidRPr="004C123D">
        <w:t>–</w:t>
      </w:r>
      <w:r w:rsidRPr="004C123D">
        <w:tab/>
        <w:t>uzimajući u obzir Komunikaciju Komisije od 20. ožujka 2024. o reformama i preispitivanjima politika prije proširenja (</w:t>
      </w:r>
      <w:r w:rsidRPr="00E85A0C">
        <w:t>COM(2024)0146</w:t>
      </w:r>
      <w:r w:rsidRPr="004C123D">
        <w:t>),</w:t>
      </w:r>
    </w:p>
    <w:p w:rsidR="00625BB6" w:rsidRPr="004C123D" w:rsidP="00625BB6" w14:paraId="6581FA69" w14:textId="3F63C561">
      <w:pPr>
        <w:pStyle w:val="NormalHanging"/>
      </w:pPr>
      <w:r w:rsidRPr="004C123D">
        <w:t>–</w:t>
      </w:r>
      <w:r w:rsidRPr="004C123D">
        <w:tab/>
        <w:t>uzimajući u obzir komunikaciju Komisije od 8. srpnja 2025. naslovljenu „Izvješće o vladavini prava za 2025. – Stanje vladavine prava u Europskoj uniji” (</w:t>
      </w:r>
      <w:r w:rsidRPr="00E85A0C">
        <w:t>COM(2025)0900</w:t>
      </w:r>
      <w:r w:rsidRPr="004C123D">
        <w:t>) i prateći radni dokument službi Komisije naslovljen „Izvješće o vladavini prava za 2025. – Poglavlje o stanju vladavine prava u Crnoj Gori” (SWD(2025)0929),</w:t>
      </w:r>
    </w:p>
    <w:p w:rsidR="00625BB6" w:rsidRPr="004C123D" w:rsidP="00625BB6" w14:paraId="4670795E" w14:textId="6BC68898">
      <w:pPr>
        <w:pStyle w:val="NormalHanging"/>
      </w:pPr>
      <w:r w:rsidRPr="004C123D">
        <w:t>–</w:t>
      </w:r>
      <w:r w:rsidRPr="004C123D">
        <w:tab/>
        <w:t>uzimajući u obzir komunikaciju Komisije od 4. studenoga 2025. naslovljenu „Komunikacija o politici proširenja EU-a za 2025.” (</w:t>
      </w:r>
      <w:r w:rsidRPr="00E85A0C">
        <w:t>COM(2025)0690</w:t>
      </w:r>
      <w:r w:rsidRPr="004C123D">
        <w:t>) i prateći radni dokument službi Komisije naslovljen „Izvješće o Crnoj Gori za 2025.” (SWD(2025)0754),</w:t>
      </w:r>
    </w:p>
    <w:p w:rsidR="00625BB6" w:rsidRPr="004C123D" w:rsidP="00625BB6" w14:paraId="63ECE237" w14:textId="77777777">
      <w:pPr>
        <w:pStyle w:val="NormalHanging"/>
      </w:pPr>
      <w:r w:rsidRPr="004C123D">
        <w:t>–</w:t>
      </w:r>
      <w:r w:rsidRPr="004C123D">
        <w:tab/>
        <w:t>uzimajući u obzir Komisijin pregled i procjenu zemalja od 2. lipnja 2025. koji se odnosio na program gospodarske reforme Crne Gore, kao i zajedničke zaključke ekonomskog i financijskog dijaloga s regionalnim partnerima od 13. svibnja 2025.,</w:t>
      </w:r>
    </w:p>
    <w:p w:rsidR="00625BB6" w:rsidRPr="004C123D" w:rsidP="00625BB6" w14:paraId="11AF345F" w14:textId="77777777">
      <w:pPr>
        <w:pStyle w:val="NormalHanging"/>
      </w:pPr>
      <w:r w:rsidRPr="004C123D">
        <w:t>–</w:t>
      </w:r>
      <w:r w:rsidRPr="004C123D">
        <w:tab/>
        <w:t>uzimajući u obzir ishod konferencija o pristupanju s Crnom Gorom od 22. lipnja 2021., 13. prosinca 2021., 29. siječnja 2024., 26. lipnja 2024., 16. prosinca 2024., 27. lipnja 2025., 16. prosinca 2025., 26. siječnja 2026. i 17. ožujka 2026.,</w:t>
      </w:r>
    </w:p>
    <w:p w:rsidR="00625BB6" w:rsidRPr="004C123D" w:rsidP="00625BB6" w14:paraId="0978D291" w14:textId="77777777">
      <w:pPr>
        <w:pStyle w:val="NormalHanging"/>
      </w:pPr>
      <w:r w:rsidRPr="004C123D">
        <w:t>–</w:t>
      </w:r>
      <w:r w:rsidRPr="004C123D">
        <w:tab/>
        <w:t>uzimajući u obzir ishod 11. sastanka Vijeća EU-a i Crne Gore za stabilizaciju i pridruživanje od 14. srpnja 2022.,</w:t>
      </w:r>
    </w:p>
    <w:p w:rsidR="00625BB6" w:rsidRPr="004C123D" w:rsidP="00625BB6" w14:paraId="7B32C509" w14:textId="77777777">
      <w:pPr>
        <w:pStyle w:val="NormalHanging"/>
      </w:pPr>
      <w:r w:rsidRPr="004C123D">
        <w:t>–</w:t>
      </w:r>
      <w:r w:rsidRPr="004C123D">
        <w:tab/>
        <w:t>uzimajući u obzir EU-ov popis nekooperativnih jurisdikcija u porezne svrhe,</w:t>
      </w:r>
    </w:p>
    <w:p w:rsidR="00625BB6" w:rsidRPr="004C123D" w:rsidP="00625BB6" w14:paraId="65BDEB98" w14:textId="77777777">
      <w:pPr>
        <w:pStyle w:val="NormalHanging"/>
      </w:pPr>
      <w:r w:rsidRPr="004C123D">
        <w:t>–</w:t>
      </w:r>
      <w:r w:rsidRPr="004C123D">
        <w:tab/>
        <w:t>uzimajući u obzir izjavu i preporuke s 23. i 24. sjednice Parlamentarnog odbora EU-a i Crne Gore za stabilizaciju i pridruživanje, koje su održane 2. i 3. travnja 2025. te 18. i 19. rujna 2025.,</w:t>
      </w:r>
    </w:p>
    <w:p w:rsidR="00625BB6" w:rsidRPr="004C123D" w:rsidP="00625BB6" w14:paraId="420413D7" w14:textId="77777777">
      <w:pPr>
        <w:pStyle w:val="NormalHanging"/>
      </w:pPr>
      <w:r w:rsidRPr="004C123D">
        <w:t>–</w:t>
      </w:r>
      <w:r w:rsidRPr="004C123D">
        <w:tab/>
        <w:t>uzimajući u obzir pristupanje Crne Gore NATO-u 5. lipnja 2017.,</w:t>
      </w:r>
    </w:p>
    <w:p w:rsidR="00625BB6" w:rsidRPr="004C123D" w:rsidP="00625BB6" w14:paraId="3179EEFB" w14:textId="77777777">
      <w:pPr>
        <w:pStyle w:val="NormalHanging"/>
      </w:pPr>
      <w:r w:rsidRPr="004C123D">
        <w:t>–</w:t>
      </w:r>
      <w:r w:rsidRPr="004C123D">
        <w:tab/>
        <w:t>uzimajući u obzir svoje prethodne rezolucije o Crnoj Gori,</w:t>
      </w:r>
    </w:p>
    <w:p w:rsidR="00625BB6" w:rsidRPr="004C123D" w:rsidP="00625BB6" w14:paraId="2DD1DECA" w14:textId="77777777">
      <w:pPr>
        <w:pStyle w:val="NormalHanging"/>
      </w:pPr>
      <w:r w:rsidRPr="004C123D">
        <w:t>–</w:t>
      </w:r>
      <w:r w:rsidRPr="004C123D">
        <w:tab/>
        <w:t>uzimajući u obzir članak 55. Poslovnika,</w:t>
      </w:r>
    </w:p>
    <w:p w:rsidR="00625BB6" w:rsidRPr="004C123D" w:rsidP="00625BB6" w14:paraId="675CA96C" w14:textId="77777777">
      <w:pPr>
        <w:pStyle w:val="NormalHanging"/>
      </w:pPr>
      <w:r w:rsidRPr="004C123D">
        <w:t>–</w:t>
      </w:r>
      <w:r w:rsidRPr="004C123D">
        <w:tab/>
        <w:t>uzimajući u obzir izvješće Odbora za vanjske poslove (A10-0143/2026),</w:t>
      </w:r>
    </w:p>
    <w:p w:rsidR="00625BB6" w:rsidRPr="004C123D" w:rsidP="00625BB6" w14:paraId="68DC7D5B" w14:textId="77777777">
      <w:pPr>
        <w:pStyle w:val="NormalHanging"/>
      </w:pPr>
      <w:r w:rsidRPr="004C123D">
        <w:t>A.</w:t>
      </w:r>
      <w:r w:rsidRPr="004C123D">
        <w:tab/>
        <w:t>budući da je proširenje ključan instrument vanjske politike EU-a i strateško ulaganje u mir, sigurnost i blagostanje europskog kontinenta, osobito u kontekstu promijenjenog geopolitičkog okruženja i sigurnosnih izazova u Europi;</w:t>
      </w:r>
    </w:p>
    <w:p w:rsidR="00625BB6" w:rsidRPr="004C123D" w:rsidP="00625BB6" w14:paraId="6DC20630" w14:textId="77777777">
      <w:pPr>
        <w:pStyle w:val="NormalHanging"/>
      </w:pPr>
      <w:r w:rsidRPr="004C123D">
        <w:t>B.</w:t>
      </w:r>
      <w:r w:rsidRPr="004C123D">
        <w:tab/>
        <w:t xml:space="preserve">budući da se svaka zemlja kandidatkinja ocjenjuje na temelju vlastitih postignuća u ispunjavanju </w:t>
      </w:r>
      <w:r w:rsidRPr="004C123D">
        <w:t>Kopenhaških</w:t>
      </w:r>
      <w:r w:rsidRPr="004C123D">
        <w:t xml:space="preserve"> kriterija, uz strogu, ali pravednu uvjetovanost i mjerljive rezultate, osobito u područjima vladavine prava i usklađenosti s vrijednostima EU-a te sa zajedničkom vanjskom i sigurnosnom politikom;</w:t>
      </w:r>
    </w:p>
    <w:p w:rsidR="00625BB6" w:rsidRPr="004C123D" w:rsidP="00625BB6" w14:paraId="4774627D" w14:textId="77777777">
      <w:pPr>
        <w:pStyle w:val="NormalHanging"/>
      </w:pPr>
      <w:r w:rsidRPr="004C123D">
        <w:t>C.</w:t>
      </w:r>
      <w:r w:rsidRPr="004C123D">
        <w:tab/>
        <w:t>budući da je Crna Gora 2008. podnijela zahtjev za članstvo u EU-u; budući da joj je 2010. dodijeljen status zemlje kandidatkinje; budući da su pregovori započeli 2012.; budući da je Vlada Crne Gore iznijela ambiciju da postane 28. država članica EU-a do 2028.;</w:t>
      </w:r>
    </w:p>
    <w:p w:rsidR="00625BB6" w:rsidRPr="004C123D" w:rsidP="00625BB6" w14:paraId="56F32369" w14:textId="77777777">
      <w:pPr>
        <w:pStyle w:val="NormalHanging"/>
      </w:pPr>
      <w:r w:rsidRPr="004C123D">
        <w:t>D.</w:t>
      </w:r>
      <w:r w:rsidRPr="004C123D">
        <w:tab/>
        <w:t>budući da je Crna Gora zemlja kandidatkinja koja je ostvarila najveći napredak prema pristupanju EU-u; budući da je Crna Gora otvorila sva 33 pregovaračka poglavlja, od kojih su neka već zatvorena; budući da daljnji napredak ovisi o održivim rezultatima u provedbi reformi, osobito u poglavljima 23. i 24.;</w:t>
      </w:r>
    </w:p>
    <w:p w:rsidR="00625BB6" w:rsidRPr="004C123D" w:rsidP="00625BB6" w14:paraId="48A2505B" w14:textId="77777777">
      <w:pPr>
        <w:pStyle w:val="NormalHanging"/>
      </w:pPr>
      <w:r w:rsidRPr="004C123D">
        <w:t>E.</w:t>
      </w:r>
      <w:r w:rsidRPr="004C123D">
        <w:tab/>
        <w:t>budući da je EU najpouzdaniji partner Crne Gore i da 69 % građana te zemlje ima povjerenje u EU, što je među najvišim razinama povjerenja u EU u toj regiji; budući da se time povećava obveza političkih aktera da provedu odgovorne, dosljedne i djelotvorne reforme;</w:t>
      </w:r>
    </w:p>
    <w:p w:rsidR="00625BB6" w:rsidRPr="004C123D" w:rsidP="00625BB6" w14:paraId="15F18B67" w14:textId="77777777">
      <w:pPr>
        <w:pStyle w:val="NormalHanging"/>
      </w:pPr>
      <w:r w:rsidRPr="004C123D">
        <w:t>F.</w:t>
      </w:r>
      <w:r w:rsidRPr="004C123D">
        <w:tab/>
        <w:t>budući da je kontinuirani politički angažman zemalja kandidatkinja i EU-a ključan za održavanje dosljednosti, vjerodostojnosti, transparentnosti i ukupne djelotvornosti procesa proširenja; budući da bi se bilateralna pitanja trebala rješavati bilateralno te se ne bi trebala koristiti za blokiranje ili daljnje politiziranje procesa proširenja;</w:t>
      </w:r>
    </w:p>
    <w:p w:rsidR="00625BB6" w:rsidRPr="004C123D" w:rsidP="00625BB6" w14:paraId="6E7DA7CF" w14:textId="77777777">
      <w:pPr>
        <w:pStyle w:val="NormalHanging"/>
      </w:pPr>
      <w:r w:rsidRPr="004C123D">
        <w:t>G.</w:t>
      </w:r>
      <w:r w:rsidRPr="004C123D">
        <w:tab/>
        <w:t>budući da je EU i dalje glavni gospodarski i financijski partner Crne Gore te njezin najveći trgovinski partner; budući da je neometano funkcioniranje trgovinskih i prometnih tokova između Crne Gore i EU-a ključno za gospodarsku stabilnost, otpornost lanca opskrbe i postupnu integraciju te zemlje u unutarnje tržište EU-a;</w:t>
      </w:r>
    </w:p>
    <w:p w:rsidR="00625BB6" w:rsidRPr="004C123D" w:rsidP="00625BB6" w14:paraId="659BB5A5" w14:textId="77777777">
      <w:pPr>
        <w:pStyle w:val="NormalHanging"/>
      </w:pPr>
      <w:r w:rsidRPr="004C123D">
        <w:t>H.</w:t>
      </w:r>
      <w:r w:rsidRPr="004C123D">
        <w:tab/>
        <w:t>budući da je stabilnost Crne Gore ključna za sigurnost zapadnog Balkana i EU-a; budući da bi vanjski politički projekti za ostvarivanje prekograničnog utjecaja na temelju etničke ili vjerske pripadnosti mogli ugroziti suverenitet i ustavni poredak zemalja u regiji; budući da je budućnost zapadnog Balkana u europskoj integraciji, a ne u konkurentnim geopolitičkim sferama utjecaja ni etnički uvjetovanim regionalnim vezama;</w:t>
      </w:r>
    </w:p>
    <w:p w:rsidR="00625BB6" w:rsidRPr="004C123D" w:rsidP="00625BB6" w14:paraId="2194681D" w14:textId="77777777">
      <w:pPr>
        <w:pStyle w:val="NormalHanging"/>
      </w:pPr>
      <w:r w:rsidRPr="004C123D">
        <w:t>I.</w:t>
      </w:r>
      <w:r w:rsidRPr="004C123D">
        <w:tab/>
        <w:t xml:space="preserve">budući da je Crna Gora i dalje ranjiva na inozemne i domaće pokušaje manipuliranja informacijskim prostorom; budući da je Komisija naglasila da je potrebno onemogućiti inozemno upletanje i manipulaciju informacijama, uključujući dezinformacije, te ojačati društvenu otpornost; budući da Rusija pokušava povećati svoj utjecaj na zapadnom Balkanu, među ostalim u Crnoj Gori, strateškim promicanjem vjerske, kulturne i tzv. </w:t>
      </w:r>
      <w:r w:rsidRPr="004C123D">
        <w:t>vrijednosne retorike u cilju oblikovanja javnog diskursa i podrivanja euroatlantske integracije;</w:t>
      </w:r>
    </w:p>
    <w:p w:rsidR="00625BB6" w:rsidRPr="004C123D" w:rsidP="00625BB6" w14:paraId="556AECF6" w14:textId="77777777">
      <w:pPr>
        <w:pStyle w:val="NormalHanging"/>
      </w:pPr>
      <w:r w:rsidRPr="004C123D">
        <w:t>J.</w:t>
      </w:r>
      <w:r w:rsidRPr="004C123D">
        <w:tab/>
        <w:t>budući da su, unatoč određenom institucijskom napretku, korupcija i organizirani kriminal i dalje prisutni u nekoliko sektora gospodarstva i javnih institucija Crne Gore;</w:t>
      </w:r>
    </w:p>
    <w:p w:rsidR="00625BB6" w:rsidRPr="004C123D" w:rsidP="00625BB6" w14:paraId="02117DB3" w14:textId="77777777">
      <w:pPr>
        <w:pStyle w:val="NormalHanging"/>
      </w:pPr>
      <w:r w:rsidRPr="004C123D">
        <w:t>K.</w:t>
      </w:r>
      <w:r w:rsidRPr="004C123D">
        <w:tab/>
        <w:t>budući da usklađivanje s pravnom stečevinom EU-a u području oporezivanja i dobrog poreznog upravljanja predstavlja važan element financijske stabilnosti i povjerenja u kontekstu pristupanja EU-u;</w:t>
      </w:r>
    </w:p>
    <w:p w:rsidR="00625BB6" w:rsidRPr="004C123D" w:rsidP="00625BB6" w14:paraId="740FF7D1" w14:textId="77777777">
      <w:pPr>
        <w:pStyle w:val="Normal12a"/>
      </w:pPr>
      <w:r w:rsidRPr="004C123D">
        <w:rPr>
          <w:b/>
          <w:i/>
        </w:rPr>
        <w:t>Predanost pristupanju EU-u</w:t>
      </w:r>
    </w:p>
    <w:p w:rsidR="00625BB6" w:rsidRPr="004C123D" w:rsidP="00625BB6" w14:paraId="23A30B2F" w14:textId="6C8F631A">
      <w:pPr>
        <w:pStyle w:val="NormalHanging12a"/>
      </w:pPr>
      <w:r w:rsidRPr="004C123D">
        <w:t>1.</w:t>
      </w:r>
      <w:r w:rsidRPr="004C123D">
        <w:tab/>
        <w:t xml:space="preserve">pozdravlja postojan napredak Crne Gore u reformama povezanima s EU-om, koji se temelji na širokom političkom angažmanu i ambiciji da se pregovori dovrše do kraja 2026.; pozdravlja privremeno zatvaranje još šest pregovaračkih poglavlja 2025. i </w:t>
      </w:r>
      <w:r w:rsidR="004E09BF">
        <w:t>četiri</w:t>
      </w:r>
      <w:r w:rsidRPr="004C123D">
        <w:t xml:space="preserve"> poglavlja 2026., čime je ukupni broj povećan na 1</w:t>
      </w:r>
      <w:r w:rsidR="004E09BF">
        <w:t>6</w:t>
      </w:r>
      <w:r w:rsidRPr="004C123D">
        <w:t>; ponavlja svoju punu potporu budućnosti Crne Gore u Europskoj uniji;</w:t>
      </w:r>
      <w:r w:rsidR="00851B49">
        <w:t xml:space="preserve"> </w:t>
      </w:r>
      <w:r w:rsidRPr="00851B49" w:rsidR="00851B49">
        <w:t xml:space="preserve">pozdravlja osnivanje ad </w:t>
      </w:r>
      <w:r w:rsidRPr="00851B49" w:rsidR="00851B49">
        <w:t>hoc</w:t>
      </w:r>
      <w:r w:rsidRPr="00851B49" w:rsidR="00851B49">
        <w:t xml:space="preserve"> radne skupine u Vijeću za izradu ugovora o pristupanju s Crnom Gorom kao važan i pravodoban korak u unapređenju završne faze procesa pristupanja Crne Gore EU-u i ponovnom potvrđivanju predanosti EU-a proširenju;</w:t>
      </w:r>
    </w:p>
    <w:p w:rsidR="00625BB6" w:rsidRPr="004C123D" w:rsidP="00625BB6" w14:paraId="40F0D707" w14:textId="77777777">
      <w:pPr>
        <w:pStyle w:val="NormalHanging12a"/>
      </w:pPr>
      <w:r w:rsidRPr="004C123D">
        <w:t>2.</w:t>
      </w:r>
      <w:r w:rsidRPr="004C123D">
        <w:tab/>
        <w:t>ponovno potvrđuje da je Crna Gora i dalje predvodnica u procesu pristupanja EU-u i naglašava da se tempo i redoslijed proširenja moraju i dalje temeljiti na načelu pojedinačnih zasluga; naglašava da napredak prema članstvu treba ocjenjivati isključivo na temelju objektivnog ispunjavanja utvrđenih mjerila; poziva na to da kontinuirani rad na reformama bude popraćen jednako vjerodostojnom, predvidljivom i pravodobnom europskom perspektivom; naglašava da se integritet politike proširenja temelji na dosljednosti, pravednosti i jednakom postupanju u skladu s dokazanom razinom spremnosti svakog kandidata;</w:t>
      </w:r>
    </w:p>
    <w:p w:rsidR="00625BB6" w:rsidRPr="004C123D" w:rsidP="00625BB6" w14:paraId="7275EFEC" w14:textId="77777777">
      <w:pPr>
        <w:pStyle w:val="NormalHanging12a"/>
      </w:pPr>
      <w:r w:rsidRPr="004C123D">
        <w:t>3.</w:t>
      </w:r>
      <w:r w:rsidRPr="004C123D">
        <w:tab/>
        <w:t>pozdravlja široku i dosljednu javnu potporu građana Crne Gore na njezinu europskom putu, pri čemu velika većina građana izražava povjerenje u budućnost Crne Gore u EU-u;</w:t>
      </w:r>
    </w:p>
    <w:p w:rsidR="00625BB6" w:rsidRPr="004C123D" w:rsidP="00625BB6" w14:paraId="31821C68" w14:textId="77777777">
      <w:pPr>
        <w:pStyle w:val="NormalHanging12a"/>
      </w:pPr>
      <w:r w:rsidRPr="004C123D">
        <w:t>4.</w:t>
      </w:r>
      <w:r w:rsidRPr="004C123D">
        <w:tab/>
        <w:t>potiče sve političke aktere da ostanu usredotočeni, zadrže zamah prema uspješnom zaključenju pristupnih pregovora i pojačaju napore za ostvarivanje potrebnih reformi; ističe potrebu za političkom stabilnošću i konstruktivnom međustranačkom suradnjom u tom pogledu; naglašava da istinski napredak ovisi o stvarnoj provedbi donesenih reformi i o trajnim mjerljivim rezultatima u području vladavine prava, uključujući donošenje pravomoćnih presuda u predmetima korupcije na visokoj razini i organiziranog kriminala; potiče Crnu Goru da dodatno unaprijedi provedbu mjerila za zatvaranje poglavlja, posebno za poglavlja 23. i 24.;</w:t>
      </w:r>
    </w:p>
    <w:p w:rsidR="00625BB6" w:rsidRPr="004C123D" w:rsidP="00625BB6" w14:paraId="67889C5E" w14:textId="77777777">
      <w:pPr>
        <w:pStyle w:val="NormalHanging12a"/>
      </w:pPr>
      <w:r w:rsidRPr="004C123D">
        <w:t>5.</w:t>
      </w:r>
      <w:r w:rsidRPr="004C123D">
        <w:tab/>
        <w:t>poziva sva državna tijela da djeluju u duhu institucionalne odgovornosti i osiguraju da političke razlike ne dovedu do odgađanja donošenja i provedbe reformi povezanih s EU-om; naglašava da očuvanje strateškog cilja članstva u EU-u mora ostati zajednički nacionalni prioritet koji je iznad interesa političkih stranaka; apelira na Skupštinu i Vladu Crne Gore da se pobrinu za to da se identitetskom politikom pozornost ne preusmjerava s programa EU-a i da se ne uvode napetosti u odnose sa susjedima kako bi se osiguralo da Crna Gora jasno ostane na putu prema Europskoj uniji;</w:t>
      </w:r>
    </w:p>
    <w:p w:rsidR="00625BB6" w:rsidRPr="004C123D" w:rsidP="00625BB6" w14:paraId="7EE3B323" w14:textId="77777777">
      <w:pPr>
        <w:pStyle w:val="NormalHanging12a"/>
      </w:pPr>
      <w:r w:rsidRPr="004C123D">
        <w:t>6.</w:t>
      </w:r>
      <w:r w:rsidRPr="004C123D">
        <w:tab/>
        <w:t>potiče Crnu Goru, kao najnapredniju zemlju kandidatkinju, da nastavi imati konstruktivnu i stabilizirajuću ulogu u regiji i da svojim vodstvom pokaže da se suverenitet, građanski identitet i europska integracija međusobno nadopunjuju;</w:t>
      </w:r>
    </w:p>
    <w:p w:rsidR="00625BB6" w:rsidRPr="004C123D" w:rsidP="00625BB6" w14:paraId="005C42A0" w14:textId="77777777">
      <w:pPr>
        <w:pStyle w:val="NormalHanging12a"/>
      </w:pPr>
      <w:r w:rsidRPr="004C123D">
        <w:t>7.</w:t>
      </w:r>
      <w:r w:rsidRPr="004C123D">
        <w:tab/>
        <w:t xml:space="preserve">pozdravlja odlučnost Crne Gore u potpunom usklađivanju sa zajedničkom vanjskom i sigurnosnom politikom EU-a, uključujući njegove mjere ograničavanja, posebno one koje se odnose na agresivni rat Rusije protiv Ukrajine, kao i njezin principijelan stav u Ujedinjenim narodima te sudjelovanje u misijama i operacijama EU-a za upravljanje krizama, kao i u misijama NATO-a i drugim međunarodnim multilateralnim misijama, uključujući pomorske snage EU-a </w:t>
      </w:r>
      <w:r w:rsidRPr="004C123D">
        <w:t>Atalanta</w:t>
      </w:r>
      <w:r w:rsidRPr="004C123D">
        <w:t xml:space="preserve">, Misiju Europske unije za vojnu pomoć za potporu Ukrajini (EUMAM </w:t>
      </w:r>
      <w:r w:rsidRPr="004C123D">
        <w:t>Ukraine</w:t>
      </w:r>
      <w:r w:rsidRPr="004C123D">
        <w:t xml:space="preserve">) i mirovne snage NATO-a na Kosovu; pohvaljuje odluku Skupštine Crne Gore da odobri sudjelovanje te zemlje u misiji EUMAM </w:t>
      </w:r>
      <w:r w:rsidRPr="004C123D">
        <w:t>Ukraine</w:t>
      </w:r>
      <w:r w:rsidRPr="004C123D">
        <w:t>; ponovno potvrđuje da je dosljedno usklađivanje Crne Gore sa zajedničkom vanjskom i sigurnosnom politikom EU-a, uključujući mjere ograničavanja protiv Rusije, ključan pokazatelj njezine strateške orijentacije; naglašava da taj pristup mora ostati nepromijenjen; naglašava da je nepokolebljiva predanost političkih predstavnika Crne Gore neovisnoj državnosti i strateškoj europskoj orijentaciji te zemlje i dalje ključni politički kriterij uz tehnička mjerila za reforme;</w:t>
      </w:r>
    </w:p>
    <w:p w:rsidR="00625BB6" w:rsidRPr="004C123D" w:rsidP="00625BB6" w14:paraId="6E749FCE" w14:textId="77777777">
      <w:pPr>
        <w:pStyle w:val="NormalHanging12a"/>
      </w:pPr>
      <w:r w:rsidRPr="004C123D">
        <w:t>8.</w:t>
      </w:r>
      <w:r w:rsidRPr="004C123D">
        <w:tab/>
        <w:t>pozdravlja dijalog o sigurnosti i obrani između EU-a i Crne Gore, uključujući strukturirane rasprave o suradnji u području sigurnosti i obrane, otpornosti na nove prijetnje i suradnji u pogledu potpore Ukrajini;</w:t>
      </w:r>
    </w:p>
    <w:p w:rsidR="00625BB6" w:rsidRPr="004C123D" w:rsidP="00625BB6" w14:paraId="0B239E12" w14:textId="77777777">
      <w:pPr>
        <w:pStyle w:val="NormalHanging12a"/>
      </w:pPr>
      <w:r w:rsidRPr="004C123D">
        <w:t>9.</w:t>
      </w:r>
      <w:r w:rsidRPr="004C123D">
        <w:tab/>
        <w:t xml:space="preserve">pozdravlja odluku Skupštine Crne Gore da pošalje pripadnike svojih oružanih snaga da sudjeluju u misiji EUMAM </w:t>
      </w:r>
      <w:r w:rsidRPr="004C123D">
        <w:t>Ukraine</w:t>
      </w:r>
      <w:r w:rsidRPr="004C123D">
        <w:t>, čime se jasno pokazuje nepokolebljiva predanost podupiranju sigurnosnih prioriteta EU-a i NATO-a; podsjeća da je Crna Gora jedan od ključnih saveznika EU-a u regiji; pozdravlja odluku crnogorske vlade da ispuni obvezu izdvajanja 2 % BDP-a za obranu;</w:t>
      </w:r>
    </w:p>
    <w:p w:rsidR="00625BB6" w:rsidP="00625BB6" w14:paraId="7073E08B" w14:textId="77777777">
      <w:pPr>
        <w:pStyle w:val="NormalHanging12a"/>
      </w:pPr>
      <w:r w:rsidRPr="004C123D">
        <w:t>10.</w:t>
      </w:r>
      <w:r w:rsidRPr="004C123D">
        <w:tab/>
        <w:t>i dalje izražava duboku zabrinutost zbog stalnog i sve većeg inozemnog upletanja, aktivnosti destabilizacije, hibridnih prijetnji i kampanja dezinformiranja koje u Crnoj Gori provode akteri trećih zemalja u cilju podrivanja crnogorskih demokratskih institucija, društvene kohezije i strateške orijentacije prema članstvu u EU-u i NATO-u; naglašava da takvo upletanje izravno ugrožava vladavinu prava, demokratsko upravljanje i nacionalni suverenitet; posebno prima na znanje zlonamjerni utjecaj Kine, Rusije i Srbije;</w:t>
      </w:r>
    </w:p>
    <w:p w:rsidR="00851B49" w:rsidRPr="004C123D" w:rsidP="00625BB6" w14:paraId="2F29C2CE" w14:textId="3F307393">
      <w:pPr>
        <w:pStyle w:val="NormalHanging12a"/>
      </w:pPr>
      <w:r>
        <w:t>11</w:t>
      </w:r>
      <w:r w:rsidRPr="00851B49">
        <w:t>.</w:t>
      </w:r>
      <w:r w:rsidRPr="00851B49">
        <w:tab/>
        <w:t>s ozbiljnom zabrinutošću prima na znanje izvješća da su pristaše srbijanskog predsjednika Vučića otputovale u Tivat 3. lipnja 2026. u pokušaju destabilizacije Crne Gore i ometanja sastanka na vrhu EU-a i zapadnog Balkana; nadalje napominje da su neki od uključenih pojedinaca prethodno identificirani u provladinim mobilizacijama, da su bili uključeni u naporima za suzbijanje studentskih prosvjeda u Srbiji i da su imali evidenciju nasilnih kaznenih djela ili prekršaja; oštro osuđuje djelovanje struktura povezanih sa srpskom vladajućom strankom s ciljem destabilizacije Crne Gore i ugrožavanja njezina napretka prema pristupanju EU-u;</w:t>
      </w:r>
    </w:p>
    <w:p w:rsidR="00625BB6" w:rsidRPr="004C123D" w:rsidP="00625BB6" w14:paraId="287A23B1" w14:textId="53D9C379">
      <w:pPr>
        <w:pStyle w:val="NormalHanging12a"/>
      </w:pPr>
      <w:r>
        <w:t>12</w:t>
      </w:r>
      <w:r w:rsidRPr="004C123D">
        <w:t>.</w:t>
      </w:r>
      <w:r w:rsidRPr="004C123D">
        <w:tab/>
        <w:t xml:space="preserve">poziva na razvoj prilagođene potpore EU-a i NATO-a i njihovu pojačanu suradnju s Crnom Gorom kako bi se uspostavile snažnije mjere za suzbijanje takvih hibridnih prijetnji, inozemne manipulacije informacijama i prikrivenog političkog financiranja te kako bi se povećala društvena i institucionalna otpornost, uključujući jačanje kibernetičke sigurnosti, poboljšanje medijske pismenosti na svim razinama obrazovanja, </w:t>
      </w:r>
      <w:r w:rsidRPr="004C123D">
        <w:t>osiguravanje odgovarajućeg osposobljavanja nastavnika i modernih nastavnih resursa, jačanje strateške komunikacije, poboljšanje kapaciteta za borbu protiv dezinformacija i jačanje transparentnosti vlasništva nad medijima; potiče Komisiju da osigura da Crna Gora može u potpunosti ostvariti korist od Europskog štita za zaštitu demokracije; poziva na snažnije mehanizme provjere i integriteta u sigurnosnim i obavještajnim službama Crne Gore;</w:t>
      </w:r>
    </w:p>
    <w:p w:rsidR="00625BB6" w:rsidRPr="004C123D" w:rsidP="00625BB6" w14:paraId="70B8060E" w14:textId="642CC981">
      <w:pPr>
        <w:pStyle w:val="NormalHanging12a"/>
      </w:pPr>
      <w:r>
        <w:t>13</w:t>
      </w:r>
      <w:r w:rsidRPr="004C123D">
        <w:t>.</w:t>
      </w:r>
      <w:r w:rsidRPr="004C123D">
        <w:tab/>
        <w:t xml:space="preserve">izražava zabrinutost zbog političke </w:t>
      </w:r>
      <w:r w:rsidRPr="004C123D">
        <w:t>instrumentalizacije</w:t>
      </w:r>
      <w:r w:rsidRPr="004C123D">
        <w:t xml:space="preserve"> vjerskih institucija koju provode vanjski akteri; naglašava da vjerske organizacije moraju djelovati transparentno i neovisno o inozemnom političkom utjecaju, uz potpuno poštovanje ustavnog i sekularnog okvira Crne Gore;</w:t>
      </w:r>
    </w:p>
    <w:p w:rsidR="00625BB6" w:rsidRPr="004C123D" w:rsidP="00625BB6" w14:paraId="5ECD2F3C" w14:textId="253B3DD2">
      <w:pPr>
        <w:pStyle w:val="NormalHanging12a"/>
      </w:pPr>
      <w:r>
        <w:t>14</w:t>
      </w:r>
      <w:r w:rsidRPr="004C123D">
        <w:t>.</w:t>
      </w:r>
      <w:r w:rsidRPr="004C123D">
        <w:tab/>
        <w:t xml:space="preserve">poziva EU i Crnu Goru da nastave provoditi i da znatno ojačaju ciljanu stratešku komunikaciju o koristima proširenja i članstva u EU-u usvajanjem </w:t>
      </w:r>
      <w:r w:rsidRPr="004C123D">
        <w:t>proaktivnijeg</w:t>
      </w:r>
      <w:r w:rsidRPr="004C123D">
        <w:t xml:space="preserve"> pristupa prilagođenog lokalnim uvjetima u bliskoj suradnji s nacionalnim institucijama i civilnim društvom; sa zabrinutošću prima na znanje da je u najnovijem posebnom istraživanju </w:t>
      </w:r>
      <w:r w:rsidRPr="004C123D">
        <w:t>Eurobarometra</w:t>
      </w:r>
      <w:r w:rsidRPr="004C123D">
        <w:t xml:space="preserve"> samo 39 % građana Crne Gore navelo da se smatraju dobro ili vrlo dobro informiranima o EU-u;</w:t>
      </w:r>
    </w:p>
    <w:p w:rsidR="00625BB6" w:rsidRPr="004C123D" w:rsidP="00625BB6" w14:paraId="0099FD39" w14:textId="6CBF609A">
      <w:pPr>
        <w:pStyle w:val="NormalHanging12a"/>
      </w:pPr>
      <w:r>
        <w:t>15</w:t>
      </w:r>
      <w:r w:rsidRPr="004C123D">
        <w:t>.</w:t>
      </w:r>
      <w:r w:rsidRPr="004C123D">
        <w:tab/>
        <w:t>pozdravlja aktivni angažman Skupštine Crne Gore u Parlamentarnom odboru EU-a i Crne Gore za stabilizaciju i pridruživanje;</w:t>
      </w:r>
    </w:p>
    <w:p w:rsidR="00625BB6" w:rsidRPr="004C123D" w:rsidP="00625BB6" w14:paraId="2E9420D1" w14:textId="04E9E072">
      <w:pPr>
        <w:pStyle w:val="NormalHanging12a"/>
      </w:pPr>
      <w:r>
        <w:t>16</w:t>
      </w:r>
      <w:r w:rsidRPr="004C123D">
        <w:t>.</w:t>
      </w:r>
      <w:r w:rsidRPr="004C123D">
        <w:tab/>
        <w:t>pozdravlja održavanje foruma građana naslovljenog „Građani i građanke u srcu proširenja Europske unije” 20. i 21. rujna 2025. u Podgorici (Crna Gora);</w:t>
      </w:r>
    </w:p>
    <w:p w:rsidR="00625BB6" w:rsidRPr="004C123D" w:rsidP="00625BB6" w14:paraId="03BBB2BE" w14:textId="1B54297E">
      <w:pPr>
        <w:pStyle w:val="NormalHanging12a"/>
      </w:pPr>
      <w:r>
        <w:t>17</w:t>
      </w:r>
      <w:r w:rsidRPr="004C123D">
        <w:t>.</w:t>
      </w:r>
      <w:r w:rsidRPr="004C123D">
        <w:tab/>
        <w:t>pozdravlja proglašenje Nikšića Europskom prijestolnicom kulture 2030. i Podgorice Europskom prijestolnicom mladih 2028., čime je istaknuta uloga tih gradova u poticanju angažmana mladih, inovacija, kulturnih razmjena i jačanja veza između Crne Gore i EU-a;</w:t>
      </w:r>
    </w:p>
    <w:p w:rsidR="00625BB6" w:rsidRPr="004C123D" w:rsidP="00625BB6" w14:paraId="52C4E692" w14:textId="77777777">
      <w:pPr>
        <w:pStyle w:val="Normal12a"/>
      </w:pPr>
      <w:r w:rsidRPr="004C123D">
        <w:rPr>
          <w:b/>
          <w:i/>
        </w:rPr>
        <w:t>Demokracija i vladavina prava</w:t>
      </w:r>
    </w:p>
    <w:p w:rsidR="00625BB6" w:rsidRPr="004C123D" w:rsidP="00625BB6" w14:paraId="66CE526E" w14:textId="06C88378">
      <w:pPr>
        <w:pStyle w:val="NormalHanging12a"/>
      </w:pPr>
      <w:r>
        <w:t>18</w:t>
      </w:r>
      <w:r w:rsidRPr="004C123D">
        <w:t>.</w:t>
      </w:r>
      <w:r w:rsidRPr="004C123D">
        <w:tab/>
        <w:t>ističe važnost Skupštine Crne Gore u procesu pristupanja te naglašava njezinu ključnu ulogu u osiguravanju demokratske odgovornosti, parlamentarnog nadzora i transparentnosti zakonodavnog postupka; potiče konstruktivan dijalog i suradnju u cijelom političkom spektru s ciljem donošenja visokokvalitetnog zakonodavstva kojim se rješavaju ili znatno ublažavaju strukturni problemi i omogućuje napredak Crne Gore na njezinu pristupnom putu; naglašava da je bliska suradnja između Vlade i Skupštine Crne Gore ključna za pravodobnu i djelotvornu provedbu reformi; naglašava da ubrzanje zakonodavnog postupka ne bi trebalo ograničiti smislenu parlamentarnu raspravu ni ulogu oporbe te poziva na odgovarajuću ravnotežu između tempa reformi i kvalitete zakonodavnog nadzora;</w:t>
      </w:r>
    </w:p>
    <w:p w:rsidR="00625BB6" w:rsidRPr="004C123D" w:rsidP="00625BB6" w14:paraId="143D30F6" w14:textId="55684B04">
      <w:pPr>
        <w:pStyle w:val="NormalHanging12a"/>
      </w:pPr>
      <w:r>
        <w:t>19</w:t>
      </w:r>
      <w:r w:rsidRPr="004C123D">
        <w:t>.</w:t>
      </w:r>
      <w:r w:rsidRPr="004C123D">
        <w:tab/>
        <w:t xml:space="preserve">pozdravlja izmjene izbornog zakona Crne Gore, posebno one koje se odnose na nadzor financiranja kampanja i medija, izborni integritet, rodne kvote na izbornim listama i uvođenje jedinstvenog izbornog dana za lokalne izbore; potiče Crnu Goru da se u potpunosti uskladi sa standardima EU-a i da u potpunosti provede sve preostale preporuke koje su izdali Ured za demokratske institucije i ljudska prava Organizacije za europsku sigurnost i suradnju i Skupina država protiv korupcije, posebno one u vezi s transparentnošću rashoda političkih stranaka, uključujući potrošnju sredstava namijenjenih ženskim organizacijama u političkim strankama, te političkim </w:t>
      </w:r>
      <w:r w:rsidRPr="004C123D">
        <w:t xml:space="preserve">oglašavanjem na internetu, uključujući objavljivanje sponzora i kriterija za ciljanje publike, kao i one u vezi sa sprečavanjem zlouporabe državnih sredstava, ažuriranjem registra birača i rješavanjem pitanja prijave prebivališta; podsjeća da bi se to trebalo postići transparentnim i </w:t>
      </w:r>
      <w:r w:rsidRPr="004C123D">
        <w:t>uključivim</w:t>
      </w:r>
      <w:r w:rsidRPr="004C123D">
        <w:t xml:space="preserve"> postupkom savjetovanja sa svim relevantnim dionicima; poziva crnogorske vlasti da uoči izbora sustavno štite izborno informacijsko okruženje uspostavom kanala za brzu suradnju između izborne administracije, regulatornog tijela za medije i nadležnih tijela kako bi se otkrilo koordinirano dezinformiranje i nezakonito upletanje te odgovorilo na njih, uz potpuno poštovanje slobode izražavanja;</w:t>
      </w:r>
    </w:p>
    <w:p w:rsidR="00625BB6" w:rsidRPr="004C123D" w:rsidP="00625BB6" w14:paraId="0A8C0F88" w14:textId="1D12A9AE">
      <w:pPr>
        <w:pStyle w:val="NormalHanging12a"/>
      </w:pPr>
      <w:r>
        <w:t>20</w:t>
      </w:r>
      <w:r w:rsidRPr="004C123D">
        <w:t>.</w:t>
      </w:r>
      <w:r w:rsidRPr="004C123D">
        <w:tab/>
        <w:t>pozdravlja uključivanje Crne Gore u Izvješće Komisije o vladavini prava za 2025.;</w:t>
      </w:r>
    </w:p>
    <w:p w:rsidR="00625BB6" w:rsidRPr="004C123D" w:rsidP="00625BB6" w14:paraId="3A3C96CB" w14:textId="700427CA">
      <w:pPr>
        <w:pStyle w:val="NormalHanging12a"/>
      </w:pPr>
      <w:r>
        <w:t>21</w:t>
      </w:r>
      <w:r w:rsidRPr="004C123D">
        <w:t>.</w:t>
      </w:r>
      <w:r w:rsidRPr="004C123D">
        <w:tab/>
        <w:t>poziva na brža imenovanja sudaca primjenom transparentnih postupaka koji se temelje na zaslugama, stručnosti i integritetu te koji su lišeni političkog utjecaja i kašnjenja u vremenu obrade, uključujući imenovanja u Ustavni sud te sudbena i tužiteljska vijeća, u potpunosti u skladu sa zahtjevima u pogledu mjerila za zatvaranje; ističe ključnu ulogu potpuno funkcionalnog Ustavnog suda za stabilnost pravnog poretka i izbornog okvira; izražava ozbiljnu zabrinutost zbog stalnih kašnjenja u imenovanju suca Ustavnog suda, čime se stvara rizik od ugrožavanja potpunog funkcioniranja jedne od ključnih institucija za zaštitu vladavine prava i integraciju u EU;</w:t>
      </w:r>
    </w:p>
    <w:p w:rsidR="00625BB6" w:rsidRPr="004C123D" w:rsidP="00625BB6" w14:paraId="4171C10A" w14:textId="6A775755">
      <w:pPr>
        <w:pStyle w:val="NormalHanging12a"/>
      </w:pPr>
      <w:r>
        <w:t>22</w:t>
      </w:r>
      <w:r w:rsidRPr="004C123D">
        <w:t>.</w:t>
      </w:r>
      <w:r w:rsidRPr="004C123D">
        <w:tab/>
        <w:t>apelira na Crnu Goru da dodatno uskladi svoj pravni okvir s pravnom stečevinom EU-a i europskim standardima o neovisnosti, odgovornosti, nepristranosti, integritetu i profesionalnosti pravosuđa te da provede preostale preporuke; poziva na veću učinkovitost pravosudnog sustava, uključujući smanjenje broja neriješenih predmeta, posebno u predmetima povezanima s korupcijom i organiziranim kriminalom, što je ključno za jačanje povjerenja javnosti i ispunjavanje uvjeta za članstvo u EU-u; podsjeća da su za ispunjavanje mjerila za zatvaranje poglavlja potrebni dokazani rezultati u praksi, uključujući poboljšanje radnih uvjeta, dovoljan broj osoblja i djelotvorno upravljanje predmetima s obzirom na to da trajni strukturni nedostaci i dalje utječu na učinkovitost pravosuđa; pozdravlja mjere za povećanje privlačnosti karijera u pravosuđu; poziva na donošenje Zakona o plaćama i drugim pravima u vezi s obnašanjem pravosudne i ustavnosudske funkcije kako bi se osigurale primjerene, stabilne i predvidljive plaće i radni uvjeti sudaca i državnih odvjetnika, koji su ključni za zaštitu njihove neovisnosti i pravilnog funkcioniranja pravosudnog sustava;</w:t>
      </w:r>
    </w:p>
    <w:p w:rsidR="00625BB6" w:rsidRPr="004C123D" w:rsidP="00625BB6" w14:paraId="44076790" w14:textId="7F5E47E5">
      <w:pPr>
        <w:pStyle w:val="NormalHanging12a"/>
      </w:pPr>
      <w:r>
        <w:t>23</w:t>
      </w:r>
      <w:r w:rsidRPr="004C123D">
        <w:t>.</w:t>
      </w:r>
      <w:r w:rsidRPr="004C123D">
        <w:tab/>
        <w:t>napominje da su stručnjaci iz civilnog društva izrazili ozbiljnu zabrinutost u pogledu sadržaja vladinih nacrta izmjena koje se odnose na Tužiteljsko vijeće jer smatraju da se njima ne povećava njegova neovisnost i da bi se čak moglo otežati osiguravanje istinski neovisnog članstva u tom vijeću; sa zabrinutošću prima na znanje donošenje izmjena Zakona o unutarnjim poslovima i Zakona o Agenciji za nacionalnu sigurnost unatoč snažnim kritikama oporbe i civilnog društva; poziva na transparentne postupke te na istinsku suradnju i savjetovanje, posebno o svim zakonima koji se odnose na proces integracije u EU, sa svim relevantnim dionicima, uključujući oporbu, pravne stručnjake i Komisiju;</w:t>
      </w:r>
    </w:p>
    <w:p w:rsidR="00625BB6" w:rsidRPr="004C123D" w:rsidP="00625BB6" w14:paraId="6B1CCB5D" w14:textId="5EF90B3C">
      <w:pPr>
        <w:pStyle w:val="NormalHanging12a"/>
      </w:pPr>
      <w:r>
        <w:t>24</w:t>
      </w:r>
      <w:r w:rsidRPr="004C123D">
        <w:t>.</w:t>
      </w:r>
      <w:r w:rsidRPr="004C123D">
        <w:tab/>
        <w:t>oštro osuđuje česti politički i javni pritisak na suce i državne odvjetnike te poziva nadležne institucije da brzo i djelotvorno reagiraju kako bi zaštitile njihovu neovisnost i integritet;</w:t>
      </w:r>
    </w:p>
    <w:p w:rsidR="00625BB6" w:rsidRPr="004C123D" w:rsidP="00625BB6" w14:paraId="4AB296A3" w14:textId="1330DE22">
      <w:pPr>
        <w:pStyle w:val="NormalHanging12a"/>
      </w:pPr>
      <w:r>
        <w:t>25</w:t>
      </w:r>
      <w:r w:rsidRPr="004C123D">
        <w:t>.</w:t>
      </w:r>
      <w:r w:rsidRPr="004C123D">
        <w:tab/>
        <w:t>poziva na daljnje poboljšanje rezultata u istragama i kaznenom progonu u predmetima korupcije na visokoj razini, uključujući oduzimanje imovine; potiče Crnu Goru da intenzivira proaktivnu istragu i kazneni progon korupcije na visokoj razini te da ojača kapacitete i uspješnost pravosudnih tijela i tijela za borbu protiv korupcije; napominje da Agencija za sprečavanje korupcije i dalje ima nedostatke u vodstvu, ograničen broj osoblja i nedovoljnu financijsku neovisnost, što ograničava njezin ukupni učinak, te poziva na poduzimanje mjera kako bi se osigurala njezina potpuna operativna, financijska i funkcionalna neovisnost u skladu s europskim standardima; poziva na daljnje usklađivanje s pravnom stečevinom EU-a i standardima EU-a u borbi protiv korupcije te potiče Crnu Goru da provede sve preostale preporuke u tom području;</w:t>
      </w:r>
    </w:p>
    <w:p w:rsidR="00625BB6" w:rsidRPr="004C123D" w:rsidP="00625BB6" w14:paraId="4049BBC3" w14:textId="54C66FF4">
      <w:pPr>
        <w:pStyle w:val="NormalHanging12a"/>
      </w:pPr>
      <w:r>
        <w:t>26</w:t>
      </w:r>
      <w:r w:rsidRPr="004C123D">
        <w:t>.</w:t>
      </w:r>
      <w:r w:rsidRPr="004C123D">
        <w:tab/>
        <w:t>poziva na sveobuhvatne politike integriteta kako bi se agencije za izvršavanje zakonodavstva i pravosuđe zaštitili od korupcije i organiziranog kriminala; poziva na uspostavu disciplinskih mehanizama te jačanje i povećanje učinkovitosti mehanizama etičke odgovornosti, posebno u predmetima koji uključuju neprijavljivanje imovine, kako bi se osigurala smislena i djelotvorna odgovornost u praksi; pozdravlja napredak postignut u područjima kao što su propisi o lobiranju, zaštita zviždača i transparentnost javne nabave, koji pokazuje da ciljane i pravilno provedene reforme mogu donijeti konkretne rezultate;</w:t>
      </w:r>
    </w:p>
    <w:p w:rsidR="00625BB6" w:rsidRPr="004C123D" w:rsidP="00625BB6" w14:paraId="67B50BCB" w14:textId="5BC1C6EB">
      <w:pPr>
        <w:pStyle w:val="NormalHanging12a"/>
      </w:pPr>
      <w:r>
        <w:t>27</w:t>
      </w:r>
      <w:r w:rsidRPr="004C123D">
        <w:t>.</w:t>
      </w:r>
      <w:r w:rsidRPr="004C123D">
        <w:tab/>
        <w:t>potiče Crnu Goru da poveća učinkovitost kaznenog progona i sudskih postupaka za teški i organizirani kriminal kako bi se ostvarili dobri rezultati u pravomoćnim presudama i oduzimanju imovine; napominje da je Crna Gora ostvarila znatan napredak u poboljšanju okvira za sprečavanje pranja novca i financiranja terorizma, kao i u provedbi sankcija EU-a;</w:t>
      </w:r>
    </w:p>
    <w:p w:rsidR="00625BB6" w:rsidRPr="004C123D" w:rsidP="00625BB6" w14:paraId="2792506D" w14:textId="33F91910">
      <w:pPr>
        <w:pStyle w:val="NormalHanging12a"/>
      </w:pPr>
      <w:r>
        <w:t>28</w:t>
      </w:r>
      <w:r w:rsidRPr="004C123D">
        <w:t>.</w:t>
      </w:r>
      <w:r w:rsidRPr="004C123D">
        <w:tab/>
        <w:t xml:space="preserve">pozdravlja aktualnu suradnju Crne Gore s </w:t>
      </w:r>
      <w:r w:rsidRPr="004C123D">
        <w:t>Frontexom</w:t>
      </w:r>
      <w:r w:rsidRPr="004C123D">
        <w:t xml:space="preserve">, </w:t>
      </w:r>
      <w:r w:rsidRPr="004C123D">
        <w:t>Europolom</w:t>
      </w:r>
      <w:r w:rsidRPr="004C123D">
        <w:t xml:space="preserve">, </w:t>
      </w:r>
      <w:r w:rsidRPr="004C123D">
        <w:t>Eurojustom</w:t>
      </w:r>
      <w:r w:rsidRPr="004C123D">
        <w:t xml:space="preserve"> i Agencijom Europske unije za osposobljavanje u području izvršavanja zakonodavstva u borbi protiv prekograničnog kriminala, uključujući trgovinu oružjem, drogom i ljudima, te u borbi protiv terorizma i ekstremizma; ističe potrebu za jačanjem suradnje u području borbe protiv droga;</w:t>
      </w:r>
    </w:p>
    <w:p w:rsidR="00625BB6" w:rsidRPr="004C123D" w:rsidP="00625BB6" w14:paraId="33242BBB" w14:textId="76433FAB">
      <w:pPr>
        <w:pStyle w:val="NormalHanging12a"/>
      </w:pPr>
      <w:r>
        <w:t>29</w:t>
      </w:r>
      <w:r w:rsidRPr="004C123D">
        <w:t>.</w:t>
      </w:r>
      <w:r w:rsidRPr="004C123D">
        <w:tab/>
        <w:t>ponovno poziva Crnu Goru da svoju viznu politiku u potpunosti uskladi s viznom politikom EU-a, posebno u pogledu zemalja koje predstavljaju sigurnosni rizik; prima na znanje odluku crnogorske vlade iz 2025. da ukloni nekoliko zemalja sa svojeg popisa zemalja čijim državljanima nisu potrebne vize; podsjeća da je to zahtjev u pogledu mjerila za zatvaranje poglavlja 24.;</w:t>
      </w:r>
    </w:p>
    <w:p w:rsidR="00625BB6" w:rsidRPr="004C123D" w:rsidP="00625BB6" w14:paraId="0DAE7F60" w14:textId="0CEE808E">
      <w:pPr>
        <w:pStyle w:val="NormalHanging12a"/>
      </w:pPr>
      <w:r>
        <w:t>30</w:t>
      </w:r>
      <w:r w:rsidRPr="004C123D">
        <w:t>.</w:t>
      </w:r>
      <w:r w:rsidRPr="004C123D">
        <w:tab/>
        <w:t>naglašava važnost transparentne i odgovorne javne uprave, jačih administrativnih kapaciteta i profesionalne javne službe koja se temelji na zaslugama; sa zabrinutošću napominje da kontinuirano masovno zapošljavanje u javnoj upravi bez transparentnih kriterija i jasnih procjena potreba potkopava načela zapošljavanja na temelju zasluga i profesionalizacije; poziva na daljnju depolitizaciju imenovanja viših državnih službenika, uvođenje jasnih mehanizama ocjenjivanja koji se temelje na uspješnosti i kontinuitet stručnosti;</w:t>
      </w:r>
    </w:p>
    <w:p w:rsidR="00625BB6" w:rsidRPr="004C123D" w:rsidP="00625BB6" w14:paraId="7A594290" w14:textId="77777777">
      <w:pPr>
        <w:pStyle w:val="Normal12a"/>
      </w:pPr>
      <w:r w:rsidRPr="004C123D">
        <w:rPr>
          <w:b/>
          <w:i/>
        </w:rPr>
        <w:t>Temeljne slobode i ljudska prava</w:t>
      </w:r>
    </w:p>
    <w:p w:rsidR="00625BB6" w:rsidRPr="004C123D" w:rsidP="00625BB6" w14:paraId="4D5B9376" w14:textId="34C67DC3">
      <w:pPr>
        <w:pStyle w:val="NormalHanging12a"/>
      </w:pPr>
      <w:r>
        <w:t>31</w:t>
      </w:r>
      <w:r w:rsidRPr="004C123D">
        <w:t>.</w:t>
      </w:r>
      <w:r w:rsidRPr="004C123D">
        <w:tab/>
        <w:t xml:space="preserve">izražava žaljenje zbog toga što su nacionalne manjine i ranjive skupine, uključujući Rome i Egipćane, osobe s invaliditetom i pripadnike zajednice LGBTIQ+, u Crnoj Gori još uvijek izložene diskriminaciji, govoru mržnje, osobito na internetu, i zločinima iz </w:t>
      </w:r>
      <w:r w:rsidRPr="004C123D">
        <w:t xml:space="preserve">mržnje; pozdravlja nedavno donošenje Zakona o zaštiti jednakosti i zabrani diskriminacije; poziva na bolju primjenu jednakog postupanja prema etničkim zajednicama kako bi se svim etničkim, vjerskim i društvenim skupinama zajamčila jednaka prava i mogućnosti te omogućilo da u potpunosti i učinkovito sudjeluju u društvenom, političkom i gospodarskom životu; uviđa da je zaštita prava manjina ključna za poticanje socijalne kohezije, demokratskog upravljanja i poštovanja europskih vrijednosti; potiče Crnu Goru da donese i provede sveobuhvatno zakonodavstvo i politike kojima se sprečava diskriminacija te promiče </w:t>
      </w:r>
      <w:r w:rsidRPr="004C123D">
        <w:t>uključivosta</w:t>
      </w:r>
      <w:r w:rsidRPr="004C123D">
        <w:t>;</w:t>
      </w:r>
    </w:p>
    <w:p w:rsidR="00625BB6" w:rsidRPr="004C123D" w:rsidP="00625BB6" w14:paraId="4D34E72A" w14:textId="3DD361D4">
      <w:pPr>
        <w:pStyle w:val="NormalHanging12a"/>
      </w:pPr>
      <w:r>
        <w:t>32</w:t>
      </w:r>
      <w:r w:rsidRPr="004C123D">
        <w:t>.</w:t>
      </w:r>
      <w:r w:rsidRPr="004C123D">
        <w:tab/>
        <w:t>poziva Crnu Goru da u potpunosti provede Zakon o životnom partnerstvu lica istog pola;</w:t>
      </w:r>
    </w:p>
    <w:p w:rsidR="00625BB6" w:rsidRPr="004C123D" w:rsidP="00625BB6" w14:paraId="0195132C" w14:textId="715CE07F">
      <w:pPr>
        <w:pStyle w:val="NormalHanging12a"/>
      </w:pPr>
      <w:r>
        <w:t>33</w:t>
      </w:r>
      <w:r w:rsidRPr="004C123D">
        <w:t>.</w:t>
      </w:r>
      <w:r w:rsidRPr="004C123D">
        <w:tab/>
        <w:t xml:space="preserve">poziva Crnu Goru da provede strategiju </w:t>
      </w:r>
      <w:r w:rsidRPr="004C123D">
        <w:t>deinstitucionalizacije</w:t>
      </w:r>
      <w:r w:rsidRPr="004C123D">
        <w:t xml:space="preserve"> za osobe s invaliditetom, kao i snažan sustav zaštite djece utemeljen na skrbi u zajednici;</w:t>
      </w:r>
    </w:p>
    <w:p w:rsidR="00625BB6" w:rsidRPr="004C123D" w:rsidP="00625BB6" w14:paraId="4F0D3B73" w14:textId="131D6A37">
      <w:pPr>
        <w:pStyle w:val="NormalHanging12a"/>
      </w:pPr>
      <w:r>
        <w:t>34</w:t>
      </w:r>
      <w:r w:rsidRPr="004C123D">
        <w:t>.</w:t>
      </w:r>
      <w:r w:rsidRPr="004C123D">
        <w:tab/>
        <w:t xml:space="preserve">prepoznaje multietnički karakter crnogorskog društva i poziva na veće poštovanje svih jezika, tradicija i kulturne baštine lokalnih zajednica i nacionalnih manjina; poziva Crnu Goru da uloži više napora u cilju </w:t>
      </w:r>
      <w:r w:rsidRPr="004C123D">
        <w:t>nediskriminirajuće</w:t>
      </w:r>
      <w:r w:rsidRPr="004C123D">
        <w:t xml:space="preserve"> uporabe manjinskih jezika u obrazovanju te u tome posvećenom medijskom prostoru u državi kao i u lokalnim medijima; poziva na poštovanje multietničkog identiteta Boke kotorske, posebno priznavanjem kulturne baštine autohtone zajednice; izražava duboku zabrinutost zbog golemih građevinskih radova koji su u tijeku na lokaciji UNESCO-a u Kotorskom zaljevu, što utječe na očuvanje baštine i zaštitu prirodnog lokaliteta, te poziva na finalizaciju pravne zaštite parka </w:t>
      </w:r>
      <w:r w:rsidRPr="004C123D">
        <w:t>Miločer</w:t>
      </w:r>
      <w:r w:rsidRPr="004C123D">
        <w:t>;</w:t>
      </w:r>
    </w:p>
    <w:p w:rsidR="00625BB6" w:rsidRPr="004C123D" w:rsidP="00625BB6" w14:paraId="49AE9B05" w14:textId="6A80800B">
      <w:pPr>
        <w:pStyle w:val="NormalHanging12a"/>
      </w:pPr>
      <w:r>
        <w:t>35</w:t>
      </w:r>
      <w:r w:rsidRPr="004C123D">
        <w:t>.</w:t>
      </w:r>
      <w:r w:rsidRPr="004C123D">
        <w:tab/>
        <w:t xml:space="preserve">ističe potrebu za osjetljivim i </w:t>
      </w:r>
      <w:r w:rsidRPr="004C123D">
        <w:t>uključivim</w:t>
      </w:r>
      <w:r w:rsidRPr="004C123D">
        <w:t xml:space="preserve"> rješavanjem rasprava povezanih s identitetom kako bi se spriječila polarizacija i postigao širok konsenzus o pitanjima od ključne važnosti za identitet, neovisnost, suverenitet i europski put Crne Gore; ponovno izražava zabrinutost zbog pokušaja izmjene zakona o crnogorskom državljanstvu u Skupštini, što bi moglo imati ozbiljne i dugoročne posljedice za proces donošenja odluka u zemlji i njezin identitet; potiče vlasti da se nastave savjetovati i koordinirati s EU-om o svim mogućim promjenama zakonodavstva kako bi se osigurala njegova potpuna usklađenost s pravnom stečevinom EU-a i međunarodnim standardima te poštovanje temeljnih prava;</w:t>
      </w:r>
    </w:p>
    <w:p w:rsidR="00625BB6" w:rsidRPr="004C123D" w:rsidP="00625BB6" w14:paraId="4A7DF7DE" w14:textId="5EBD0B73">
      <w:pPr>
        <w:pStyle w:val="NormalHanging12a"/>
      </w:pPr>
      <w:r>
        <w:t>36</w:t>
      </w:r>
      <w:r w:rsidRPr="004C123D">
        <w:t>.</w:t>
      </w:r>
      <w:r w:rsidRPr="004C123D">
        <w:tab/>
        <w:t>oštro osuđuje svaki govor mržnje, uključujući na internetu, i zločine iz mržnje; pozdravlja povećanje broja kaznenih progona zbog rasizma i govora mržnje, ali izražava zabrinutost zbog nedovoljnog djelovanja protiv govora, javnih izjava ili simboličnih djela kojima se veličaju ratni zločinci ili iskrivljuju povijesne činjenice; potiče Crnu Goru da pojača svoj institucijski odgovor na govor mržnje, osigura učinkovite istrage i kazneni progon i da se u potpunosti uskladi s pravnom stečevinom EU-a;</w:t>
      </w:r>
    </w:p>
    <w:p w:rsidR="00625BB6" w:rsidRPr="004C123D" w:rsidP="00625BB6" w14:paraId="5D9ACC73" w14:textId="156D125F">
      <w:pPr>
        <w:pStyle w:val="NormalHanging12a"/>
      </w:pPr>
      <w:r>
        <w:t>37</w:t>
      </w:r>
      <w:r w:rsidRPr="004C123D">
        <w:t>.</w:t>
      </w:r>
      <w:r w:rsidRPr="004C123D">
        <w:tab/>
        <w:t>potiče Crnu Goru da osigura djelotvornu primjenu svojih okvira za temeljna prava, uključujući pristup pravosuđu i zaštitu ranjivih osoba, te da provede sve preporuke međunarodnih nadzornih tijela;</w:t>
      </w:r>
    </w:p>
    <w:p w:rsidR="00625BB6" w:rsidRPr="004C123D" w:rsidP="00625BB6" w14:paraId="16A23896" w14:textId="146686F4">
      <w:pPr>
        <w:pStyle w:val="NormalHanging12a"/>
      </w:pPr>
      <w:r>
        <w:t>38</w:t>
      </w:r>
      <w:r w:rsidRPr="004C123D">
        <w:t>.</w:t>
      </w:r>
      <w:r w:rsidRPr="004C123D">
        <w:tab/>
        <w:t xml:space="preserve">naglašava potrebu za rješavanjem problema diskriminacije žena, posebno onih iz manjinskih skupina; izražava zabrinutost zbog dječjih brakova koji nerazmjerno pogađaju djevojčice iz romske i </w:t>
      </w:r>
      <w:r w:rsidRPr="004C123D">
        <w:t>egipćanske</w:t>
      </w:r>
      <w:r w:rsidRPr="004C123D">
        <w:t xml:space="preserve"> zajednice u Crnoj Gori; žali zbog raširene prirode rodno uvjetovanog nasilja i stavova kojima se okrivljuju žrtve, kao i zbog rodno uvjetovanog govora mržnje i dezinformacija, među ostalim na internetu, posebno prema </w:t>
      </w:r>
      <w:r w:rsidRPr="004C123D">
        <w:t>ženama u javnom i političkom životu; potiče Crnu Goru da na odgovarajući način financira, koordinira i provodi svoj okvir za rodnu ravnopravnost; poziva nadležna tijela na bolje praćenje i da uspostave sustave potpore za žrtve rodno uvjetovanog nasilja i nasilja u obitelji; poziva na bolje prikupljanje podataka o nasilju u kućanstvu i rodno uvjetovanom nasilju, prihodima i plaćama te zdravlju i socijalnoj sigurnosti; poziva crnogorske vlasti da osiguraju veće političko sudjelovanje žena:</w:t>
      </w:r>
    </w:p>
    <w:p w:rsidR="00625BB6" w:rsidRPr="004C123D" w:rsidP="00625BB6" w14:paraId="6861A00A" w14:textId="3C53FA36">
      <w:pPr>
        <w:pStyle w:val="NormalHanging12a"/>
      </w:pPr>
      <w:r>
        <w:t>39</w:t>
      </w:r>
      <w:r w:rsidRPr="004C123D">
        <w:t>.</w:t>
      </w:r>
      <w:r w:rsidRPr="004C123D">
        <w:tab/>
        <w:t xml:space="preserve">prima na znanje politiku nulte tolerancije Crne Gore prema nasilju nad novinarima i osuđuje zastrašivanje i sve slučajeve snažnih verbalnih napada javnih dužnosnika i političkih stranaka na medije i predstavnike civilnog društva, posebno žene koje rade u medijima i borce za ljudska prava; izražava zabrinutost zbog </w:t>
      </w:r>
      <w:r w:rsidRPr="004C123D">
        <w:t>instrumentalizacije</w:t>
      </w:r>
      <w:r w:rsidRPr="004C123D">
        <w:t xml:space="preserve"> neformalnih poziva i istražnih intervjua protiv novinara, kolumnista i aktera civilnog društva zbog njihova kritiziranja javnih dužnosnika; poziva na brzu i učinkovitu provedbu zakona i učinkovitu sudsku zaštitu, dajući prednost provođenju istraga te potpunom i učinkovitom daljnjem postupanju u vezi s neriješenim slučajevima, kao što je ubojstvo Duška Jovanovića, kao i na </w:t>
      </w:r>
      <w:r w:rsidRPr="004C123D">
        <w:t>odvraćajuće</w:t>
      </w:r>
      <w:r w:rsidRPr="004C123D">
        <w:t xml:space="preserve"> sankcije; napominje da crnogorski pravni sustav nema posebnu definiciju ili ubrzani postupak za utvrđivanje i odbacivanje strateških tužbi protiv javnog sudjelovanja te poziva na uspostavu takvih mehanizama;</w:t>
      </w:r>
    </w:p>
    <w:p w:rsidR="00625BB6" w:rsidRPr="004C123D" w:rsidP="00625BB6" w14:paraId="04459FC4" w14:textId="7CB2AC9A">
      <w:pPr>
        <w:pStyle w:val="NormalHanging12a"/>
      </w:pPr>
      <w:r>
        <w:t>40</w:t>
      </w:r>
      <w:r w:rsidRPr="004C123D">
        <w:t>.</w:t>
      </w:r>
      <w:r w:rsidRPr="004C123D">
        <w:tab/>
        <w:t>naglašava važnu ulogu slobodnih i pluralističkih medija kao temeljnog stupa demokratskog društva; podsjeća da je osiguravanje neovisnosti javne radiotelevizije i regulatornog tijela za medije i dalje mjerilo za zatvaranje poglavlja 23.; ističe važnost osiguravanja potpunog vlasništva nad medijima i transparentnosti financiranja, među ostalim za internetske medijske kuće; pozdravlja nedavno imenovanje članova u Vijeće Agencije za audiovizualne medijske usluge i naglašava da Agencija mora moći djelovati neovisno i bez političkog utjecaja; izražava zabrinutost zbog kontinuiranog političkog utjecaja na javnu radioteleviziju i poziva vlasti da poštuju sudske postupke, ponovno uspostave zakonitost i zajamče institucionalnu i uredničku neovisnost radiotelevizije; poziva Crnu Goru da uskladi svoje zakonodavstvo o medijima s Europskim aktom o slobodi medija</w:t>
      </w:r>
      <w:r>
        <w:rPr>
          <w:rStyle w:val="FootnoteReference"/>
        </w:rPr>
        <w:footnoteReference w:id="5"/>
      </w:r>
      <w:r w:rsidRPr="004C123D">
        <w:t xml:space="preserve"> i da poveća otpornost na strane utjecaje i dezinformacije; poziva na potpunu transparentnost struktura vlasništva nad medijima i stranih izvora financiranja, posebno kada su povezani s političkim akterima ili stranim državnim interesima, kako bi se spriječio prikriveni vanjski utjecaj na javni diskurs Crne Gore;</w:t>
      </w:r>
    </w:p>
    <w:p w:rsidR="00625BB6" w:rsidRPr="004C123D" w:rsidP="00625BB6" w14:paraId="7E0EC68A" w14:textId="6D94789E">
      <w:pPr>
        <w:pStyle w:val="NormalHanging12a"/>
      </w:pPr>
      <w:r>
        <w:t>41</w:t>
      </w:r>
      <w:r w:rsidRPr="004C123D">
        <w:t>.</w:t>
      </w:r>
      <w:r w:rsidRPr="004C123D">
        <w:tab/>
        <w:t>pozdravlja dinamično i konstruktivno civilno društvo Crne Gore koje ima ključnu i pozitivnu ulogu u procesu reformi; poziva na smisleno uključivanje civilnog društva u oblikovanje politika, među ostalim osiguravanjem sustavnijeg sudjelovanja i pravodobnog pristupa relevantnim informacijama; potiče vlasti da osiguraju da se pri izradi zakonodavstva povezanog s pristupanjem EU-u ne zaobilaze zahtjevi za javno savjetovanje i utvrđeni standardi participativnog upravljanja; poziva na nastavak rada Vijeća za suradnju između vlade i nevladinih organizacija nakon duge stanke u cilju izgradnje suradničkih odnosa i istinskog uključivanja civilnog društva u transparentan zakonodavni postupak od rane faze;</w:t>
      </w:r>
    </w:p>
    <w:p w:rsidR="00625BB6" w:rsidRPr="004C123D" w:rsidP="00625BB6" w14:paraId="17E3A002" w14:textId="73E43C28">
      <w:pPr>
        <w:pStyle w:val="NormalHanging12a"/>
      </w:pPr>
      <w:r>
        <w:t>42</w:t>
      </w:r>
      <w:r w:rsidRPr="004C123D">
        <w:t>.</w:t>
      </w:r>
      <w:r w:rsidRPr="004C123D">
        <w:tab/>
        <w:t xml:space="preserve">snažno potiče Crnu Goru da u potpunosti provede sve preporuke Europskog odbora za sprečavanje mučenja i neljudskog ili ponižavajućeg postupanja ili kažnjavanja. sa </w:t>
      </w:r>
      <w:r w:rsidRPr="004C123D">
        <w:t>zabrinutošću prima na znanje sve veći broj pritužbi na mučenje i prisiljavanje na izjave, broj neriješenih predmeta i ograničenu primjenu zaštitnih mjera kao što je audiovizualno snimanje ispitivanja; žali zbog nedosljednih suspenzija i stegovnih postupaka, kao i zbog blagih sankcija u slučajevima lošeg postupanja policije, te poziva na brze, učinkovite i nepristrane istrage;</w:t>
      </w:r>
    </w:p>
    <w:p w:rsidR="00625BB6" w:rsidRPr="004C123D" w:rsidP="00625BB6" w14:paraId="127E3A95" w14:textId="77777777">
      <w:pPr>
        <w:pStyle w:val="Normal12a"/>
      </w:pPr>
      <w:r w:rsidRPr="004C123D">
        <w:rPr>
          <w:b/>
          <w:i/>
        </w:rPr>
        <w:t xml:space="preserve">Pomirenje i dobrosusjedski odnosi </w:t>
      </w:r>
    </w:p>
    <w:p w:rsidR="00625BB6" w:rsidRPr="004C123D" w:rsidP="00625BB6" w14:paraId="0F9A0F0B" w14:textId="15E4C6FD">
      <w:pPr>
        <w:pStyle w:val="NormalHanging12a"/>
      </w:pPr>
      <w:r>
        <w:t>43</w:t>
      </w:r>
      <w:r w:rsidRPr="004C123D">
        <w:t>.</w:t>
      </w:r>
      <w:r w:rsidRPr="004C123D">
        <w:tab/>
        <w:t>pozdravlja činjenicu da je Crna Gora 5. lipnja 2026. u Tivtu bila domaćin sastanka na vrhu EU-a i zapadnog Balkana, koji nudi važnu platformu za jačanje regionalne suradnje, napredak u planu pristupanja, poboljšanje gospodarske integracije i svladavanje zajedničkih izazova;</w:t>
      </w:r>
    </w:p>
    <w:p w:rsidR="00625BB6" w:rsidRPr="004C123D" w:rsidP="00625BB6" w14:paraId="243FD338" w14:textId="04B2A684">
      <w:pPr>
        <w:pStyle w:val="NormalHanging12a"/>
      </w:pPr>
      <w:r>
        <w:t>44</w:t>
      </w:r>
      <w:r w:rsidRPr="004C123D">
        <w:t>.</w:t>
      </w:r>
      <w:r w:rsidRPr="004C123D">
        <w:tab/>
        <w:t>ističe ključnu ulogu dobrosusjedskih odnosa i regionalne suradnje u procesu proširenja; podsjeća da su dobrosusjedski odnosi jedan od ključnih kriterija za ocjenjivanje napretka u procesu pristupanja Crne Gore, u skladu s pregovaračkim okvirom EU-a; poziva na konstruktivna rješenja, u duhu uzajamnog poštovanja, za neriješena bilateralna pitanja, pri čemu su interesi građana prioritet; podsjeća da bi trebalo izbjegavati korištenje neriješenih bilateralnih i regionalnih sporova za blokiranje procesa pristupanja zemalja kandidatkinja; pozdravlja bilateralna savjetovanja između Hrvatske i Crne Gore kao konstruktivan mehanizam za rješavanje otvorenih pitanja i jačanje povjerenja;</w:t>
      </w:r>
    </w:p>
    <w:p w:rsidR="00625BB6" w:rsidRPr="004C123D" w:rsidP="00625BB6" w14:paraId="3F96C3FD" w14:textId="54AAB7D2">
      <w:pPr>
        <w:pStyle w:val="NormalHanging12a"/>
      </w:pPr>
      <w:r>
        <w:t>45</w:t>
      </w:r>
      <w:r w:rsidRPr="004C123D">
        <w:t>.</w:t>
      </w:r>
      <w:r w:rsidRPr="004C123D">
        <w:tab/>
        <w:t>pohvaljuje Crnu Goru za njezin dosljedan napredak u rješavanju predmeta ratnih zločina u zemlji; napominje, međutim, da od lipnja 2024. Ured posebnog državnog odvjetništva nije otvorio nikakve nove istrage niti podigao optužnice u slučajevima ratnih zločina te da nije postignut napredak u pogledu zapovjedne odgovornosti; ističe da je potrebno pojačati napore i nastaviti ostvarivati vjerodostojne i održive rezultate u pogledu djelotvornih istraga, kaznenog progona i suđenja u predmetima ratnih zločina, među ostalim u predmetima na visokoj razini, u skladu s međunarodnim pravom i standardima; u tom pogledu ističe važnost pristupa arhivima;</w:t>
      </w:r>
    </w:p>
    <w:p w:rsidR="00625BB6" w:rsidRPr="004C123D" w:rsidP="00625BB6" w14:paraId="15E9A70A" w14:textId="345AD107">
      <w:pPr>
        <w:pStyle w:val="NormalHanging12a"/>
      </w:pPr>
      <w:r>
        <w:t>46</w:t>
      </w:r>
      <w:r w:rsidRPr="004C123D">
        <w:t>.</w:t>
      </w:r>
      <w:r w:rsidRPr="004C123D">
        <w:tab/>
        <w:t xml:space="preserve">potiče Crnu Goru da nastavi primjenjivati </w:t>
      </w:r>
      <w:r w:rsidRPr="004C123D">
        <w:t>proaktivan</w:t>
      </w:r>
      <w:r w:rsidRPr="004C123D">
        <w:t xml:space="preserve"> pristup kako bi se žrtvama osigurao pristup pravosuđu i odšteti, uključujući institucionalnu potporu te odgovarajuću i pravednu naknadu za sve osobe koje su bile ratni zarobljenici u logorima u Crnoj Gori tijekom 1990-ih; pozdravlja regionalnu suradnju u tim pitanjima i poziva na potpunu suradnju u regiji i s državama članicama EU-a, uključujući razmjenu dokaza i pojašnjenje sudbine nestalih osoba; pozdravlja uhićenje osobe osuđene u odsutnosti za ratne zločine nad ratnim zarobljenicima, provedeno u Crnoj Gori na zahtjev Republike Hrvatske, i pohvaljuje suradnju između nadležnih tijela obiju zemalja u tom slučaju;</w:t>
      </w:r>
    </w:p>
    <w:p w:rsidR="00625BB6" w:rsidRPr="004C123D" w:rsidP="00625BB6" w14:paraId="3FB9F436" w14:textId="1B11B5F0">
      <w:pPr>
        <w:pStyle w:val="NormalHanging12a"/>
      </w:pPr>
      <w:r>
        <w:t>47</w:t>
      </w:r>
      <w:r w:rsidRPr="004C123D">
        <w:t>.</w:t>
      </w:r>
      <w:r w:rsidRPr="004C123D">
        <w:tab/>
        <w:t>ponovno izražava zabrinutost zbog toga što određeni politički akteri promiču politički revizionizam, kojim se potkopava odgovornost i produbljuju društvene podjele; oštro osuđuje svako veličanje ratnih zločinaca i javno negiranje ratnih zločina;</w:t>
      </w:r>
    </w:p>
    <w:p w:rsidR="00625BB6" w:rsidRPr="004C123D" w:rsidP="00625BB6" w14:paraId="5BDAA3B1" w14:textId="117D7B1A">
      <w:pPr>
        <w:pStyle w:val="NormalHanging12a"/>
      </w:pPr>
      <w:r>
        <w:t>48</w:t>
      </w:r>
      <w:r w:rsidRPr="004C123D">
        <w:t>.</w:t>
      </w:r>
      <w:r w:rsidRPr="004C123D">
        <w:tab/>
        <w:t xml:space="preserve">izražava zabrinutost zbog toga što se u regiji promiču političke ideje i retorika kojima se zagovara prekogranično ujedinjenje ili koordinacija na temelju etničkog identiteta, uključujući takozvani „srpski svijet”, i koje dovode u pitanje suverenitet i teritorijalnu cjelovitost susjednih država; poziva sve regionalne aktere da poštuju neovisnost Crne Gore i da se suzdrže od uplitanja u njezine unutarnje poslove; naglašava da je takva retorika nespojiva s načelima dobrosusjedskih odnosa i procesom pristupanja EU-u; </w:t>
      </w:r>
      <w:r w:rsidRPr="004C123D">
        <w:t>naglašava da budućnost zapadnog Balkana počiva na integraciji u EU, a ne konkurentnim geopolitičkim sferama utjecaja;</w:t>
      </w:r>
    </w:p>
    <w:p w:rsidR="00625BB6" w:rsidRPr="004C123D" w:rsidP="00625BB6" w14:paraId="6DC6A29A" w14:textId="15E84FCB">
      <w:pPr>
        <w:pStyle w:val="NormalHanging12a"/>
      </w:pPr>
      <w:r>
        <w:t>49</w:t>
      </w:r>
      <w:r w:rsidRPr="004C123D">
        <w:t>.</w:t>
      </w:r>
      <w:r w:rsidRPr="004C123D">
        <w:tab/>
        <w:t>ponovno poziva na to da se otvore arhivi bivših jugoslavenskih republika i da se omogući pristup dosjeima bivše jugoslavenske tajne službe (UDBA-e) i tajne službe Jugoslavenske narodne armije (KOS-a) kako bi se temeljito istražili i riješili zločini iz komunističkog razdoblja;</w:t>
      </w:r>
    </w:p>
    <w:p w:rsidR="00625BB6" w:rsidRPr="004C123D" w:rsidP="00625BB6" w14:paraId="7858DDF6" w14:textId="0C49CCD5">
      <w:pPr>
        <w:pStyle w:val="NormalHanging12a"/>
      </w:pPr>
      <w:r>
        <w:t>50</w:t>
      </w:r>
      <w:r w:rsidRPr="004C123D">
        <w:t>.</w:t>
      </w:r>
      <w:r w:rsidRPr="004C123D">
        <w:tab/>
        <w:t>poziva na rješavanje neriješenih imovinskih pitanja; naglašava da je rješavanje otvorenih pitanja vlasničkih prava, uključujući povrat imovine, od temeljne važnosti za ispunjavanje obveza Crne Gore iz poglavlja 23. te je i dalje ključno mjerilo za zaključenje pregovora u području temeljnih prava;</w:t>
      </w:r>
    </w:p>
    <w:p w:rsidR="00625BB6" w:rsidRPr="004C123D" w:rsidP="00625BB6" w14:paraId="0448157D" w14:textId="77777777">
      <w:pPr>
        <w:pStyle w:val="Normal12a"/>
      </w:pPr>
      <w:r w:rsidRPr="004C123D">
        <w:rPr>
          <w:b/>
          <w:i/>
        </w:rPr>
        <w:t>Socioekonomske reforme</w:t>
      </w:r>
    </w:p>
    <w:p w:rsidR="00625BB6" w:rsidRPr="004C123D" w:rsidP="00625BB6" w14:paraId="5C6D1E45" w14:textId="0643AFB2">
      <w:pPr>
        <w:pStyle w:val="NormalHanging12a"/>
      </w:pPr>
      <w:r>
        <w:t>51</w:t>
      </w:r>
      <w:r w:rsidRPr="004C123D">
        <w:t>.</w:t>
      </w:r>
      <w:r w:rsidRPr="004C123D">
        <w:tab/>
        <w:t>pozdravlja angažman Crne Gore u Planu rasta EU-a za zapadni Balkan; pohvaljuje njezin napredak u provedbi programa reformi, za koji je isplaćeno 18 milijuna EUR, te potiče daljnju provedbu mjera; naglašava važnost mjerljivih i održivih rezultata u provedbi reformi, osobito u području vladavine prava i upravljanja javnim financijama;</w:t>
      </w:r>
    </w:p>
    <w:p w:rsidR="00625BB6" w:rsidRPr="004C123D" w:rsidP="00625BB6" w14:paraId="612F304E" w14:textId="6DB7E87F">
      <w:pPr>
        <w:pStyle w:val="NormalHanging12a"/>
      </w:pPr>
      <w:r>
        <w:t>52</w:t>
      </w:r>
      <w:r w:rsidRPr="004C123D">
        <w:t>.</w:t>
      </w:r>
      <w:r w:rsidRPr="004C123D">
        <w:tab/>
        <w:t>i dalje potiče Crnu Goru da u potpunosti i učinkovito iskoristi sva sredstva EU-a koja su joj dodijeljena, među ostalim poboljšanjem administrativnih kapaciteta, ubrzavanjem programiranja i ugovaranja te poboljšanjem koordinacije; ističe važnost širokog i smislenog sudjelovanja dionika, uključujući lokalne vlasti, poslovna udruženja, socijalne partnere i civilno društvo, u svim fazama, među ostalim u osmišljavanju mjera reforme, provedbi projekata i praćenju rezultata; podsjeća na uvjetovanost financijske potpore EU-a, pri čemu financiranje ovisi o postizanju konkretnog napretka u reformama i poštovanju vladavine prava;</w:t>
      </w:r>
    </w:p>
    <w:p w:rsidR="00625BB6" w:rsidRPr="004C123D" w:rsidP="00625BB6" w14:paraId="6A5D081C" w14:textId="435F501D">
      <w:pPr>
        <w:pStyle w:val="NormalHanging12a"/>
      </w:pPr>
      <w:r>
        <w:t>53</w:t>
      </w:r>
      <w:r w:rsidRPr="004C123D">
        <w:t>.</w:t>
      </w:r>
      <w:r w:rsidRPr="004C123D">
        <w:tab/>
        <w:t>pozdravlja operativno sudjelovanje Crne Gore u jedinstvenom području plaćanja u eurima (SEPA), što je ključan korak prema dubljoj financijskoj integraciji s EU-om i nižim transakcijskim troškovima za građane i poduzeća; prima na znanje početne nalaze koji pokazuju znatne uštede u transakcijskim troškovima od početka primjene SEPA-e u listopadu 2025.;</w:t>
      </w:r>
    </w:p>
    <w:p w:rsidR="00625BB6" w:rsidRPr="004C123D" w:rsidP="00625BB6" w14:paraId="0E0D09F8" w14:textId="44F560B1">
      <w:pPr>
        <w:pStyle w:val="NormalHanging12a"/>
      </w:pPr>
      <w:r>
        <w:t>54</w:t>
      </w:r>
      <w:r w:rsidRPr="004C123D">
        <w:t>.</w:t>
      </w:r>
      <w:r w:rsidRPr="004C123D">
        <w:tab/>
        <w:t xml:space="preserve">pozdravlja prijedlog Komisije o otvaranju pregovora s partnerima sa zapadnog Balkana, uključujući Crnu Goru, radi proširenja EU-ova sustava „u roamingu kao kod kuće”, čime bi se građanima i poduzećima omogućilo da iskoriste prednosti neometane mobilne </w:t>
      </w:r>
      <w:r w:rsidRPr="004C123D">
        <w:t>povezivosti</w:t>
      </w:r>
      <w:r w:rsidRPr="004C123D">
        <w:t xml:space="preserve"> po domaćim cijenama u cijelom EU-u i na zapadnom Balkanu, čime bi se potaknuli međuljudski kontakti, ojačale gospodarske veze, poduprle obrazovne razmjene i potpomogao turizam; naglašava da je ta inicijativa konkretan korak prema dubljoj pretpristupnoj integraciji, da podupire prekogranične društvene i gospodarske veze te da donosi opipljive koristi za građane znatno prije punopravnog članstva u EU-u; </w:t>
      </w:r>
      <w:r w:rsidRPr="00851B49" w:rsidR="00851B49">
        <w:t>pozdravlja odobrenje Vijeća za otvaranje pregovora o proširenju režima „u roamingu kao kod kuće”</w:t>
      </w:r>
      <w:r w:rsidRPr="004C123D">
        <w:t xml:space="preserve"> na </w:t>
      </w:r>
      <w:r w:rsidRPr="00851B49" w:rsidR="00851B49">
        <w:t>partnere sa zapadnog Balkana te poziva na</w:t>
      </w:r>
      <w:r w:rsidRPr="004C123D">
        <w:t xml:space="preserve"> pravodobno sklapanje bilateralnih sporazuma s </w:t>
      </w:r>
      <w:r w:rsidRPr="00851B49" w:rsidR="00851B49">
        <w:t>tim partnerima</w:t>
      </w:r>
      <w:r w:rsidRPr="004C123D">
        <w:t>;</w:t>
      </w:r>
    </w:p>
    <w:p w:rsidR="00625BB6" w:rsidRPr="004C123D" w:rsidP="00625BB6" w14:paraId="254422DF" w14:textId="148B50B4">
      <w:pPr>
        <w:pStyle w:val="NormalHanging12a"/>
      </w:pPr>
      <w:r>
        <w:t>55</w:t>
      </w:r>
      <w:r w:rsidRPr="004C123D">
        <w:t>.</w:t>
      </w:r>
      <w:r w:rsidRPr="004C123D">
        <w:tab/>
        <w:t xml:space="preserve">prima na znanje gospodarski rast Crne Gore i potiče je da nastavi s fiskalnom disciplinom, strukturnim reformama, poboljšanim upravljanjem i mjerama za poticanje konkurentnosti, rasta privatnog sektora, stranih ulaganja te društvenog i gospodarskog razvoja; potiče Crnu Goru da uskladi carinske, socijalne i porezne politike sa </w:t>
      </w:r>
      <w:r w:rsidRPr="004C123D">
        <w:t>standardima EU-a, uključujući transparentnost i učinkovitu razmjenu poreznih informacija, kako bi se ostvario napredak u okviru poglavlja 16.; poziva Crnu Goru da se uskladi s okvirom EU-a za provjeru izravnih stranih ulaganja, posebno u strateškim sektorima kao što su energetika, telekomunikacije, kritična infrastruktura i mediji, kako bi se spriječile strateške ovisnosti i zaštitila kritična infrastruktura i ključni gospodarski sektori; pozdravlja organizaciju prve investicijske konferencije EU-a i Crne Gore kao snažnog pokazatelja produbljivanja gospodarskih veza;</w:t>
      </w:r>
    </w:p>
    <w:p w:rsidR="00625BB6" w:rsidRPr="004C123D" w:rsidP="00625BB6" w14:paraId="41FA8C32" w14:textId="3FA3BA2B">
      <w:pPr>
        <w:pStyle w:val="NormalHanging12a"/>
      </w:pPr>
      <w:r>
        <w:t>56</w:t>
      </w:r>
      <w:r w:rsidRPr="004C123D">
        <w:t>.</w:t>
      </w:r>
      <w:r w:rsidRPr="004C123D">
        <w:tab/>
        <w:t>poziva Crnu Goru da potiče digitalizaciju javnih usluga i poboljša strukovno osposobljavanje povezano s poslovanjem; naglašava da se mora osigurati zaštita osobnih i osjetljivih podataka građana u svim digitalnim sustavima; pozdravlja pozive na integraciju svih zemalja zapadnog Balkana u jedinstveno digitalno tržište EU-a prije članstva u EU-u;</w:t>
      </w:r>
    </w:p>
    <w:p w:rsidR="00625BB6" w:rsidRPr="004C123D" w:rsidP="00625BB6" w14:paraId="43E12312" w14:textId="0729E6FB">
      <w:pPr>
        <w:pStyle w:val="NormalHanging12a"/>
      </w:pPr>
      <w:r>
        <w:t>57</w:t>
      </w:r>
      <w:r w:rsidRPr="004C123D">
        <w:t>.</w:t>
      </w:r>
      <w:r w:rsidRPr="004C123D">
        <w:tab/>
        <w:t>potiče Crnu Goru da intenzivira borbu protiv korupcije u javnoj nabavi jačanjem pravnog okvira i poboljšanjem otkrivanja nepravilnosti te je poziva da osigura da svi međuvladini sporazumi budu u potpunosti u skladu s pravilima i načelima EU-a;</w:t>
      </w:r>
    </w:p>
    <w:p w:rsidR="00625BB6" w:rsidRPr="004C123D" w:rsidP="00625BB6" w14:paraId="2F0B3944" w14:textId="77777777">
      <w:pPr>
        <w:pStyle w:val="Normal12a"/>
      </w:pPr>
      <w:r w:rsidRPr="004C123D">
        <w:rPr>
          <w:b/>
          <w:i/>
        </w:rPr>
        <w:t>Energija, okoliš i povezanost</w:t>
      </w:r>
    </w:p>
    <w:p w:rsidR="00625BB6" w:rsidRPr="004C123D" w:rsidP="00625BB6" w14:paraId="5CA0A35E" w14:textId="6D8ED91D">
      <w:pPr>
        <w:pStyle w:val="NormalHanging12a"/>
      </w:pPr>
      <w:r>
        <w:t>58</w:t>
      </w:r>
      <w:r w:rsidRPr="004C123D">
        <w:t>.</w:t>
      </w:r>
      <w:r w:rsidRPr="004C123D">
        <w:tab/>
        <w:t>potiče Crnu Goru da pojača napore za održivu i zelenu tranziciju te da konačno donese i provede svoj nacionalni energetski i klimatski plan; naglašava važnost energetske sigurnosti, diverzifikacije izvora opskrbe, smanjenja strateške ovisnosti o vanjskim akterima i potpune integracije u regionalno i europsko energetsko tržište; poziva na potpuno usklađivanje s paketom mjera za integraciju sektora električne energije i na snažnije mjere energetske učinkovitosti; poziva na usklađivanje sa standardima sigurnosti opskrbe EU-a i na primjenu transparentnih postupaka nabave;</w:t>
      </w:r>
    </w:p>
    <w:p w:rsidR="00625BB6" w:rsidRPr="004C123D" w:rsidP="00625BB6" w14:paraId="19A839CC" w14:textId="1C2C14A4">
      <w:pPr>
        <w:pStyle w:val="NormalHanging12a"/>
      </w:pPr>
      <w:r>
        <w:t>59</w:t>
      </w:r>
      <w:r w:rsidRPr="004C123D">
        <w:t>.</w:t>
      </w:r>
      <w:r w:rsidRPr="004C123D">
        <w:tab/>
        <w:t>poziva Crnu Goru da uloži veće napore u ispunjavanje mjerila za zatvaranje poglavlja 27. i da ubrza usklađivanje s pravnom stečevinom EU-a i njezinu djelotvornu provedbu u svim relevantnim sektorima, među ostalim u pogledu kvalitete zraka, vode, zaštite prirode, gospodarenja otpadom i klimatskih promjena, te da donese strategije i akcijske planove za kvalitetu zraka i zaštitu prirode te lokalne planove gospodarenja otpadom; pozdravlja činjenicu da se Crna Gora pridružila programu EU-a LIFE; poziva sve strane da postignu dogovor o postrojenju za pročišćavanje otpadnih voda u općini Zeta na način kojim se uvažava potreba za njegovom izgradnjom i uzima u obzir zabrinutost lokalnog stanovništva;</w:t>
      </w:r>
    </w:p>
    <w:p w:rsidR="00625BB6" w:rsidRPr="004C123D" w:rsidP="00625BB6" w14:paraId="65BE091F" w14:textId="622088A8">
      <w:pPr>
        <w:pStyle w:val="NormalHanging12a"/>
      </w:pPr>
      <w:r>
        <w:t>60</w:t>
      </w:r>
      <w:r w:rsidRPr="004C123D">
        <w:t>.</w:t>
      </w:r>
      <w:r w:rsidRPr="004C123D">
        <w:tab/>
        <w:t>poziva Crnu Goru da zaštiti područja visoke vrijednosti u pogledu biološke raznolikosti, uključujući područja Smaragdne mreže i ona s budućom oznakom Natura 2000, osiguravajući njihovu pravnu zaštitu i usklađenost s relevantnim direktivama EU-a; poziva Crnu Goru da znatno ubrza uspostavu i provedbu mreže Natura 2000 u potpunosti u skladu s pravnom stečevinom EU-a i da osigura da se utvrđivanje, određivanje i upravljanje zaštićenim područjima temelji na znanstvenim kriterijima i na transparentnim postupcima javnog savjetovanja; poziva na snažniju provedbu zakonodavstva o dobrobiti životinja;</w:t>
      </w:r>
    </w:p>
    <w:p w:rsidR="00625BB6" w:rsidRPr="004C123D" w:rsidP="00625BB6" w14:paraId="4670C513" w14:textId="15276DE6">
      <w:pPr>
        <w:pStyle w:val="NormalHanging12a"/>
      </w:pPr>
      <w:r>
        <w:t>61</w:t>
      </w:r>
      <w:r w:rsidRPr="004C123D">
        <w:t>.</w:t>
      </w:r>
      <w:r w:rsidRPr="004C123D">
        <w:tab/>
        <w:t xml:space="preserve">poziva Crnu Goru da poveća svoje administrativne i inspekcijske kapacitete na nacionalnoj i lokalnoj razini te da poboljša </w:t>
      </w:r>
      <w:r w:rsidRPr="004C123D">
        <w:t>međuinstitucijsku</w:t>
      </w:r>
      <w:r w:rsidRPr="004C123D">
        <w:t xml:space="preserve"> koordinaciju i proces donošenja odluka o infrastrukturnim projektima, uključujući uspostavljanje djelotvorne koordinacije između strateških i drugih vrsta procjene utjecaja na okoliš i odgovarajućih </w:t>
      </w:r>
      <w:r w:rsidRPr="004C123D">
        <w:t>ocjena prihvatljivosti; poziva Crnu Goru da svoju prometnu politiku preusmjeri na održivu i pametnu mobilnost;</w:t>
      </w:r>
    </w:p>
    <w:p w:rsidR="00625BB6" w:rsidRPr="004C123D" w:rsidP="00625BB6" w14:paraId="6F45496F" w14:textId="24AFD45E">
      <w:pPr>
        <w:pStyle w:val="NormalHanging12a"/>
      </w:pPr>
      <w:r>
        <w:t>62</w:t>
      </w:r>
      <w:r w:rsidRPr="004C123D">
        <w:t>.</w:t>
      </w:r>
      <w:r w:rsidRPr="004C123D">
        <w:tab/>
        <w:t xml:space="preserve">naglašava važnost regionalne prometne i energetske povezanosti kao ključnog elementa gospodarskog razvoja i stabilnosti zapadnog Balkana te potiče projekte koji jačaju integraciju s državama članicama EU-a; zabrinut je zbog nedavnih blokada profesionalnih vozača iz zemalja zapadnog Balkana na graničnim prijelazima u </w:t>
      </w:r>
      <w:r w:rsidRPr="004C123D">
        <w:t>schengensko</w:t>
      </w:r>
      <w:r w:rsidRPr="004C123D">
        <w:t xml:space="preserve"> područje u vezi s provedbom sustava ulaska/izlaska EU-a od listopada 2025.; ističe da bi dugotrajni poremećaji mogli negativno utjecati na lance opskrbe, trgovinske tokove i gospodarske odnose između EU-a i Crne Gore; poziva Komisiju da u bliskoj suradnji s državama članicama procijeni moguća pragmatična i pravno utemeljena rješenja kojima se uspostavlja ravnoteža između operativne stvarnosti u prometnom sektoru i potrebe za očuvanjem cjelovitosti </w:t>
      </w:r>
      <w:r w:rsidRPr="004C123D">
        <w:t>schengenske</w:t>
      </w:r>
      <w:r w:rsidRPr="004C123D">
        <w:t xml:space="preserve"> pravne stečevine, osiguravajući odgovarajuće zaštitne mjere i sprečavajući svaku zlouporabu;</w:t>
      </w:r>
    </w:p>
    <w:p w:rsidR="009F21D5" w:rsidP="009F21D5" w14:paraId="68D8FD31" w14:textId="677627AD">
      <w:pPr>
        <w:pStyle w:val="NormalCenter12a"/>
      </w:pPr>
      <w:r>
        <w:t>°</w:t>
      </w:r>
    </w:p>
    <w:p w:rsidR="009F21D5" w:rsidP="009F21D5" w14:paraId="4B72849D" w14:textId="03566417">
      <w:pPr>
        <w:pStyle w:val="NormalCenter12a"/>
      </w:pPr>
      <w:r>
        <w:t>°     °</w:t>
      </w:r>
    </w:p>
    <w:p w:rsidR="004C123D" w:rsidRPr="004C123D" w:rsidP="004C123D" w14:paraId="57BB8D76" w14:textId="0872DC64">
      <w:pPr>
        <w:pStyle w:val="NormalHanging12a"/>
      </w:pPr>
      <w:r>
        <w:t>63</w:t>
      </w:r>
      <w:r w:rsidRPr="004C123D" w:rsidR="00625BB6">
        <w:t>.</w:t>
      </w:r>
      <w:r w:rsidRPr="004C123D" w:rsidR="00625BB6">
        <w:tab/>
        <w:t>nalaže svojoj predsjednici da ovu Rezoluciju proslijedi Vijeću, Komisiji, potpredsjednici Komisije / visokoj predstavnici Unije za vanjske poslove i sigurnosnu politiku te vladama i parlamentima država članica te da je prevede na crnogorski jezik i proslijedi predsjedniku, Vladi i Skupštini Crne Gore.</w:t>
      </w:r>
    </w:p>
    <w:p w:rsidR="00E365E1" w:rsidRPr="004C123D" w:rsidP="00203E48" w14:paraId="4BE03EB9" w14:textId="1E4D78DA"/>
    <w:sectPr w:rsidSect="004C123D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03E48" w:rsidRPr="004C123D" w14:paraId="4ACDFCD8" w14:textId="77777777">
      <w:r w:rsidRPr="004C123D">
        <w:separator/>
      </w:r>
    </w:p>
  </w:footnote>
  <w:footnote w:type="continuationSeparator" w:id="1">
    <w:p w:rsidR="00203E48" w:rsidRPr="004C123D" w14:paraId="01E7F008" w14:textId="77777777">
      <w:r w:rsidRPr="004C123D">
        <w:continuationSeparator/>
      </w:r>
    </w:p>
  </w:footnote>
  <w:footnote w:id="2">
    <w:p w:rsidR="00E85A0C" w:rsidRPr="004C123D" w:rsidP="004C123D" w14:paraId="58A85BDC" w14:textId="2B36797F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4C123D">
        <w:rPr>
          <w:sz w:val="24"/>
          <w:lang w:val="hr-HR"/>
        </w:rPr>
        <w:t xml:space="preserve"> </w:t>
      </w:r>
      <w:r w:rsidRPr="004C123D">
        <w:rPr>
          <w:sz w:val="24"/>
          <w:lang w:val="hr-HR"/>
        </w:rPr>
        <w:tab/>
        <w:t xml:space="preserve">SL L 108, 29.4.2010., str. 3., ELI: </w:t>
      </w:r>
      <w:hyperlink r:id="rId1" w:tgtFrame="http://data.europa.eu/eli/agree_internation/2010/224/oj" w:history="1">
        <w:r w:rsidRPr="004C123D">
          <w:rPr>
            <w:rStyle w:val="Hyperlink"/>
            <w:sz w:val="24"/>
            <w:lang w:val="hr-HR"/>
          </w:rPr>
          <w:t>http://data.europa.eu/eli/agree_internation/2010/224/oj</w:t>
        </w:r>
      </w:hyperlink>
      <w:r w:rsidRPr="004C123D">
        <w:rPr>
          <w:sz w:val="24"/>
          <w:lang w:val="hr-HR"/>
        </w:rPr>
        <w:t>.</w:t>
      </w:r>
    </w:p>
  </w:footnote>
  <w:footnote w:id="3">
    <w:p w:rsidR="00E85A0C" w:rsidRPr="004C123D" w:rsidP="004C123D" w14:paraId="171127BD" w14:textId="3FE650BD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4C123D">
        <w:rPr>
          <w:sz w:val="24"/>
          <w:lang w:val="hr-HR"/>
        </w:rPr>
        <w:t xml:space="preserve"> </w:t>
      </w:r>
      <w:r w:rsidRPr="004C123D">
        <w:rPr>
          <w:sz w:val="24"/>
          <w:lang w:val="hr-HR"/>
        </w:rPr>
        <w:tab/>
        <w:t xml:space="preserve">SL L 330, 20.9.2021., str. </w:t>
      </w:r>
      <w:r w:rsidRPr="004C123D">
        <w:rPr>
          <w:sz w:val="24"/>
          <w:lang w:val="hr-HR"/>
        </w:rPr>
        <w:t xml:space="preserve">1., ELI: </w:t>
      </w:r>
      <w:hyperlink r:id="rId2" w:tgtFrame="http://data.europa.eu/eli/reg/2021/1529/oj" w:history="1">
        <w:r w:rsidRPr="004C123D">
          <w:rPr>
            <w:rStyle w:val="Hyperlink"/>
            <w:sz w:val="24"/>
            <w:lang w:val="hr-HR"/>
          </w:rPr>
          <w:t>http://data.europa.eu/eli/reg/2021/1529/oj</w:t>
        </w:r>
      </w:hyperlink>
      <w:r w:rsidRPr="004C123D">
        <w:rPr>
          <w:sz w:val="24"/>
          <w:lang w:val="hr-HR"/>
        </w:rPr>
        <w:t>.</w:t>
      </w:r>
    </w:p>
  </w:footnote>
  <w:footnote w:id="4">
    <w:p w:rsidR="00E85A0C" w:rsidRPr="004C123D" w:rsidP="004C123D" w14:paraId="483FCD3B" w14:textId="0CA78FDD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4C123D">
        <w:rPr>
          <w:sz w:val="24"/>
          <w:lang w:val="hr-HR"/>
        </w:rPr>
        <w:t xml:space="preserve"> </w:t>
      </w:r>
      <w:r w:rsidRPr="004C123D">
        <w:rPr>
          <w:sz w:val="24"/>
          <w:lang w:val="hr-HR"/>
        </w:rPr>
        <w:tab/>
      </w:r>
      <w:r w:rsidRPr="004C123D">
        <w:rPr>
          <w:sz w:val="24"/>
          <w:lang w:val="hr-HR"/>
        </w:rPr>
        <w:t xml:space="preserve">SL L, 2024/1449, 24.5.2024., ELI: </w:t>
      </w:r>
      <w:hyperlink r:id="rId3" w:tgtFrame="http://data.europa.eu/eli/reg/2024/1449/oj" w:history="1">
        <w:r w:rsidRPr="004C123D">
          <w:rPr>
            <w:rStyle w:val="Hyperlink"/>
            <w:sz w:val="24"/>
            <w:lang w:val="hr-HR"/>
          </w:rPr>
          <w:t>http://data.europa.eu/eli/reg/2024/1449/oj</w:t>
        </w:r>
      </w:hyperlink>
      <w:r w:rsidRPr="004C123D">
        <w:rPr>
          <w:sz w:val="24"/>
          <w:lang w:val="hr-HR"/>
        </w:rPr>
        <w:t>.</w:t>
      </w:r>
    </w:p>
  </w:footnote>
  <w:footnote w:id="5">
    <w:p w:rsidR="00E85A0C" w:rsidRPr="004C123D" w:rsidP="004C123D" w14:paraId="19BA8889" w14:textId="78F894B8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4C123D">
        <w:rPr>
          <w:sz w:val="24"/>
          <w:lang w:val="hr-HR"/>
        </w:rPr>
        <w:t xml:space="preserve"> </w:t>
      </w:r>
      <w:r w:rsidRPr="004C123D">
        <w:rPr>
          <w:sz w:val="24"/>
          <w:lang w:val="hr-HR"/>
        </w:rPr>
        <w:tab/>
        <w:t xml:space="preserve">Uredba (EU) 2024/1083 Europskog parlamenta i Vijeća od 11. travnja 2024. </w:t>
      </w:r>
      <w:r w:rsidRPr="004C123D">
        <w:rPr>
          <w:sz w:val="24"/>
          <w:lang w:val="hr-HR"/>
        </w:rPr>
        <w:t xml:space="preserve">o uspostavi zajedničkog okvira za medijske usluge na unutarnjem tržištu i izmjeni Direktive 2010/13/EU (Europski akt o slobodi medija) (SL L, 2024/1083, 17.4.2024., ELI: </w:t>
      </w:r>
      <w:hyperlink r:id="rId4" w:tgtFrame="http://data.europa.eu/eli/reg/2024/1083/oj" w:history="1">
        <w:r w:rsidRPr="004C123D">
          <w:rPr>
            <w:rStyle w:val="Hyperlink"/>
            <w:sz w:val="24"/>
            <w:lang w:val="hr-HR"/>
          </w:rPr>
          <w:t>http://data.europa.eu/eli/reg/2024/1083/oj</w:t>
        </w:r>
      </w:hyperlink>
      <w:r w:rsidRPr="004C123D">
        <w:rPr>
          <w:sz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7101235">
    <w:abstractNumId w:val="9"/>
  </w:num>
  <w:num w:numId="2" w16cid:durableId="1724867068">
    <w:abstractNumId w:val="9"/>
  </w:num>
  <w:num w:numId="3" w16cid:durableId="6643326">
    <w:abstractNumId w:val="7"/>
  </w:num>
  <w:num w:numId="4" w16cid:durableId="506096339">
    <w:abstractNumId w:val="7"/>
  </w:num>
  <w:num w:numId="5" w16cid:durableId="1967278289">
    <w:abstractNumId w:val="6"/>
  </w:num>
  <w:num w:numId="6" w16cid:durableId="1554778055">
    <w:abstractNumId w:val="6"/>
  </w:num>
  <w:num w:numId="7" w16cid:durableId="1855999516">
    <w:abstractNumId w:val="5"/>
  </w:num>
  <w:num w:numId="8" w16cid:durableId="1223297702">
    <w:abstractNumId w:val="5"/>
  </w:num>
  <w:num w:numId="9" w16cid:durableId="1578704599">
    <w:abstractNumId w:val="4"/>
  </w:num>
  <w:num w:numId="10" w16cid:durableId="1782844496">
    <w:abstractNumId w:val="4"/>
  </w:num>
  <w:num w:numId="11" w16cid:durableId="1246961359">
    <w:abstractNumId w:val="8"/>
  </w:num>
  <w:num w:numId="12" w16cid:durableId="1071342505">
    <w:abstractNumId w:val="8"/>
  </w:num>
  <w:num w:numId="13" w16cid:durableId="689254950">
    <w:abstractNumId w:val="3"/>
  </w:num>
  <w:num w:numId="14" w16cid:durableId="359934659">
    <w:abstractNumId w:val="3"/>
  </w:num>
  <w:num w:numId="15" w16cid:durableId="1477140855">
    <w:abstractNumId w:val="2"/>
  </w:num>
  <w:num w:numId="16" w16cid:durableId="896628641">
    <w:abstractNumId w:val="2"/>
  </w:num>
  <w:num w:numId="17" w16cid:durableId="1033772927">
    <w:abstractNumId w:val="1"/>
  </w:num>
  <w:num w:numId="18" w16cid:durableId="1592540462">
    <w:abstractNumId w:val="1"/>
  </w:num>
  <w:num w:numId="19" w16cid:durableId="757289989">
    <w:abstractNumId w:val="0"/>
  </w:num>
  <w:num w:numId="20" w16cid:durableId="957488292">
    <w:abstractNumId w:val="0"/>
  </w:num>
  <w:num w:numId="21" w16cid:durableId="2123381444">
    <w:abstractNumId w:val="9"/>
  </w:num>
  <w:num w:numId="22" w16cid:durableId="1772971683">
    <w:abstractNumId w:val="7"/>
  </w:num>
  <w:num w:numId="23" w16cid:durableId="86774419">
    <w:abstractNumId w:val="6"/>
  </w:num>
  <w:num w:numId="24" w16cid:durableId="500505042">
    <w:abstractNumId w:val="5"/>
  </w:num>
  <w:num w:numId="25" w16cid:durableId="1158115853">
    <w:abstractNumId w:val="4"/>
  </w:num>
  <w:num w:numId="26" w16cid:durableId="931663327">
    <w:abstractNumId w:val="8"/>
  </w:num>
  <w:num w:numId="27" w16cid:durableId="1515652169">
    <w:abstractNumId w:val="3"/>
  </w:num>
  <w:num w:numId="28" w16cid:durableId="475413965">
    <w:abstractNumId w:val="2"/>
  </w:num>
  <w:num w:numId="29" w16cid:durableId="1491364365">
    <w:abstractNumId w:val="1"/>
  </w:num>
  <w:num w:numId="30" w16cid:durableId="1012801391">
    <w:abstractNumId w:val="0"/>
  </w:num>
  <w:num w:numId="31" w16cid:durableId="51075896">
    <w:abstractNumId w:val="9"/>
  </w:num>
  <w:num w:numId="32" w16cid:durableId="1760103073">
    <w:abstractNumId w:val="7"/>
  </w:num>
  <w:num w:numId="33" w16cid:durableId="814492207">
    <w:abstractNumId w:val="6"/>
  </w:num>
  <w:num w:numId="34" w16cid:durableId="1267035609">
    <w:abstractNumId w:val="5"/>
  </w:num>
  <w:num w:numId="35" w16cid:durableId="195773021">
    <w:abstractNumId w:val="4"/>
  </w:num>
  <w:num w:numId="36" w16cid:durableId="818159289">
    <w:abstractNumId w:val="8"/>
  </w:num>
  <w:num w:numId="37" w16cid:durableId="1993219366">
    <w:abstractNumId w:val="3"/>
  </w:num>
  <w:num w:numId="38" w16cid:durableId="217671007">
    <w:abstractNumId w:val="2"/>
  </w:num>
  <w:num w:numId="39" w16cid:durableId="1129124474">
    <w:abstractNumId w:val="1"/>
  </w:num>
  <w:num w:numId="40" w16cid:durableId="222374575">
    <w:abstractNumId w:val="0"/>
  </w:num>
  <w:num w:numId="41" w16cid:durableId="1226137599">
    <w:abstractNumId w:val="10"/>
  </w:num>
  <w:num w:numId="42" w16cid:durableId="601955644">
    <w:abstractNumId w:val="10"/>
  </w:num>
  <w:num w:numId="43" w16cid:durableId="87048616">
    <w:abstractNumId w:val="10"/>
  </w:num>
  <w:num w:numId="44" w16cid:durableId="751900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4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E48"/>
    <w:rsid w:val="002767FF"/>
    <w:rsid w:val="002B18FE"/>
    <w:rsid w:val="002B5493"/>
    <w:rsid w:val="00343214"/>
    <w:rsid w:val="00361C00"/>
    <w:rsid w:val="00395FA1"/>
    <w:rsid w:val="003E15D4"/>
    <w:rsid w:val="003F535E"/>
    <w:rsid w:val="00411CCE"/>
    <w:rsid w:val="0041666E"/>
    <w:rsid w:val="00421060"/>
    <w:rsid w:val="0044018F"/>
    <w:rsid w:val="00471C19"/>
    <w:rsid w:val="004867E3"/>
    <w:rsid w:val="00494A28"/>
    <w:rsid w:val="004C0004"/>
    <w:rsid w:val="004C123D"/>
    <w:rsid w:val="004C5D52"/>
    <w:rsid w:val="004E09BF"/>
    <w:rsid w:val="0050519A"/>
    <w:rsid w:val="005072A1"/>
    <w:rsid w:val="00514517"/>
    <w:rsid w:val="00545827"/>
    <w:rsid w:val="00560270"/>
    <w:rsid w:val="005A3E80"/>
    <w:rsid w:val="005C2568"/>
    <w:rsid w:val="005F1B17"/>
    <w:rsid w:val="006037C0"/>
    <w:rsid w:val="00625BB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B4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1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03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07C"/>
    <w:rsid w:val="00D058B8"/>
    <w:rsid w:val="00D56C11"/>
    <w:rsid w:val="00D834A0"/>
    <w:rsid w:val="00D872DF"/>
    <w:rsid w:val="00D91E21"/>
    <w:rsid w:val="00DA7FCD"/>
    <w:rsid w:val="00E365E1"/>
    <w:rsid w:val="00E820A4"/>
    <w:rsid w:val="00E85A0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F59"/>
    <w:rsid w:val="00FB4360"/>
    <w:rsid w:val="00FD0C70"/>
  </w:rsids>
  <w:docVars>
    <w:docVar w:name="dvdocse" w:val="A10-0143/2026"/>
    <w:docVar w:name="dvlangue" w:val="HR"/>
    <w:docVar w:name="dvnumam" w:val="0"/>
    <w:docVar w:name="dvpe" w:val="784.340"/>
    <w:docVar w:name="dvrapporteur" w:val="Izvjestitelj: "/>
    <w:docVar w:name="dvtitre" w:val="Rezolucija Europskog parlamenta od .... 2026. o Izvješću Komisije o Crnoj Gori za 2025.(2025/225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B547CA7"/>
  <w15:chartTrackingRefBased/>
  <w15:docId w15:val="{C0AE614F-EC6A-4D88-849A-1F5D679D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25BB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25BB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25BB6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25BB6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25BB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25BB6"/>
    <w:rPr>
      <w:color w:val="0000FF"/>
      <w:u w:val="single"/>
    </w:rPr>
  </w:style>
  <w:style w:type="character" w:styleId="FollowedHyperlink">
    <w:name w:val="FollowedHyperlink"/>
    <w:basedOn w:val="DefaultParagraphFont"/>
    <w:rsid w:val="009F21D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E09B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0/224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5850</Words>
  <Characters>36324</Characters>
  <Application>Microsoft Office Word</Application>
  <DocSecurity>0</DocSecurity>
  <Lines>672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2026-06-17T15:22:00Z</dcterms:created>
  <dcterms:modified xsi:type="dcterms:W3CDTF">2026-06-17T15:22:00Z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A10-0143/2026</vt:lpwstr>
  </property>
  <property fmtid="{D5CDD505-2E9C-101B-9397-08002B2CF9AE}" pid="4" name="&lt;Type&gt;">
    <vt:lpwstr>RR</vt:lpwstr>
  </property>
</Properties>
</file>