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23F42D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08BB" w:rsidP="0010095E" w14:paraId="403BB336" w14:textId="77777777">
            <w:pPr>
              <w:pStyle w:val="EPName"/>
            </w:pPr>
            <w:r w:rsidRPr="007408BB">
              <w:t>Európsky parlament</w:t>
            </w:r>
          </w:p>
          <w:p w:rsidR="00751A4A" w:rsidRPr="007408BB" w:rsidP="005F1B17" w14:paraId="4D5702A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08BB">
              <w:t>2024</w:t>
            </w:r>
            <w:r w:rsidRPr="007408BB" w:rsidR="00817416">
              <w:t>-202</w:t>
            </w:r>
            <w:r w:rsidRPr="007408B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408BB" w:rsidP="0010095E" w14:paraId="1E0D6097" w14:textId="77777777">
            <w:pPr>
              <w:pStyle w:val="EPLogo"/>
            </w:pPr>
            <w:r w:rsidRPr="007408B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08BB" w:rsidP="004C5D52" w14:paraId="4FF51976" w14:textId="77777777">
      <w:pPr>
        <w:pStyle w:val="LineTop"/>
      </w:pPr>
    </w:p>
    <w:p w:rsidR="00680577" w:rsidRPr="007408BB" w:rsidP="00680577" w14:paraId="08DEA368" w14:textId="77777777">
      <w:pPr>
        <w:pStyle w:val="EPBodyTA1"/>
      </w:pPr>
      <w:r w:rsidRPr="007408BB">
        <w:t>PRIJATÉ TEXTY</w:t>
      </w:r>
    </w:p>
    <w:p w:rsidR="00D058B8" w:rsidRPr="007408BB" w:rsidP="00D058B8" w14:paraId="602F8799" w14:textId="77777777">
      <w:pPr>
        <w:pStyle w:val="LineBottom"/>
      </w:pPr>
    </w:p>
    <w:p w:rsidR="007839E8" w:rsidRPr="007408BB" w:rsidP="007839E8" w14:paraId="1A71E8FA" w14:textId="0865D784">
      <w:pPr>
        <w:pStyle w:val="ATHeading1"/>
      </w:pPr>
      <w:bookmarkStart w:id="0" w:name="TANumber"/>
      <w:r w:rsidRPr="007408BB">
        <w:t>P10_TA(2026)0</w:t>
      </w:r>
      <w:r w:rsidRPr="007408BB" w:rsidR="00C64A44">
        <w:t>216</w:t>
      </w:r>
      <w:bookmarkEnd w:id="0"/>
    </w:p>
    <w:p w:rsidR="007839E8" w:rsidRPr="007408BB" w:rsidP="007839E8" w14:paraId="1F0383FB" w14:textId="77777777">
      <w:pPr>
        <w:pStyle w:val="ATHeading2"/>
      </w:pPr>
      <w:bookmarkStart w:id="1" w:name="title"/>
      <w:r w:rsidRPr="007408BB">
        <w:t>Správa Komisie o Čiernej Hore za rok 2025</w:t>
      </w:r>
      <w:bookmarkEnd w:id="1"/>
    </w:p>
    <w:p w:rsidR="007839E8" w:rsidRPr="007408BB" w:rsidP="007839E8" w14:paraId="64EB00C2" w14:textId="77777777">
      <w:pPr>
        <w:rPr>
          <w:i/>
          <w:vanish/>
        </w:rPr>
      </w:pPr>
      <w:r>
        <w:rPr>
          <w:i/>
        </w:rPr>
        <w:fldChar w:fldCharType="begin"/>
      </w:r>
      <w:r w:rsidRPr="007408BB">
        <w:rPr>
          <w:i/>
        </w:rPr>
        <w:instrText xml:space="preserve"> TC"(</w:instrText>
      </w:r>
      <w:bookmarkStart w:id="2" w:name="DocNumber"/>
      <w:r w:rsidRPr="007408BB">
        <w:rPr>
          <w:i/>
        </w:rPr>
        <w:instrText>A10-0143/2026</w:instrText>
      </w:r>
      <w:bookmarkEnd w:id="2"/>
      <w:r w:rsidRPr="007408BB">
        <w:rPr>
          <w:i/>
        </w:rPr>
        <w:instrText xml:space="preserve"> - Spravodajca: Marjan Šarec)"\l3 \n&gt; \* MERGEFORMAT </w:instrText>
      </w:r>
      <w:r>
        <w:rPr>
          <w:i/>
        </w:rPr>
        <w:fldChar w:fldCharType="end"/>
      </w:r>
    </w:p>
    <w:p w:rsidR="007839E8" w:rsidRPr="007408BB" w:rsidP="007839E8" w14:paraId="268904BE" w14:textId="77777777">
      <w:pPr>
        <w:rPr>
          <w:vanish/>
        </w:rPr>
      </w:pPr>
      <w:bookmarkStart w:id="3" w:name="Commission"/>
      <w:r w:rsidRPr="007408BB">
        <w:rPr>
          <w:vanish/>
        </w:rPr>
        <w:t>Výbor pre zahraničné veci</w:t>
      </w:r>
      <w:bookmarkEnd w:id="3"/>
    </w:p>
    <w:p w:rsidR="007839E8" w:rsidRPr="007408BB" w:rsidP="007839E8" w14:paraId="7187C6EF" w14:textId="77777777">
      <w:pPr>
        <w:rPr>
          <w:vanish/>
        </w:rPr>
      </w:pPr>
      <w:bookmarkStart w:id="4" w:name="PE"/>
      <w:r w:rsidRPr="007408BB">
        <w:rPr>
          <w:vanish/>
        </w:rPr>
        <w:t>PE784.340</w:t>
      </w:r>
      <w:bookmarkEnd w:id="4"/>
    </w:p>
    <w:p w:rsidR="007839E8" w:rsidRPr="007408BB" w:rsidP="007839E8" w14:paraId="00E7BDD5" w14:textId="26ED75FF">
      <w:pPr>
        <w:pStyle w:val="ATHeading3"/>
      </w:pPr>
      <w:bookmarkStart w:id="5" w:name="Sujet"/>
      <w:r w:rsidRPr="007408BB">
        <w:t xml:space="preserve">Uznesenie Európskeho parlamentu zo </w:t>
      </w:r>
      <w:r w:rsidRPr="007408BB" w:rsidR="002D5FD0">
        <w:t>17</w:t>
      </w:r>
      <w:r w:rsidRPr="007408BB">
        <w:t xml:space="preserve">. </w:t>
      </w:r>
      <w:r w:rsidRPr="007408BB" w:rsidR="002D5FD0">
        <w:t xml:space="preserve">júna </w:t>
      </w:r>
      <w:r w:rsidRPr="007408BB">
        <w:t>2026 o správe Komisie o Čiernej Hore za rok 2025</w:t>
      </w:r>
      <w:bookmarkEnd w:id="5"/>
      <w:r w:rsidRPr="007408BB">
        <w:t xml:space="preserve"> </w:t>
      </w:r>
      <w:bookmarkStart w:id="6" w:name="References"/>
      <w:r w:rsidRPr="007408BB">
        <w:t>(2025/2253(INI))</w:t>
      </w:r>
      <w:bookmarkEnd w:id="6"/>
    </w:p>
    <w:p w:rsidR="00FA687E" w:rsidRPr="007408BB" w:rsidP="00FA687E" w14:paraId="3C9B3778" w14:textId="77777777">
      <w:pPr>
        <w:pStyle w:val="Normal12"/>
      </w:pPr>
      <w:r w:rsidRPr="007408BB">
        <w:t>Európsky parlament,</w:t>
      </w:r>
    </w:p>
    <w:p w:rsidR="00FA687E" w:rsidRPr="007408BB" w:rsidP="00FA687E" w14:paraId="29ABC3B2" w14:textId="0F3A5C72">
      <w:pPr>
        <w:pStyle w:val="NormalHanging"/>
      </w:pPr>
      <w:r w:rsidRPr="007408BB">
        <w:t>–</w:t>
      </w:r>
      <w:r w:rsidRPr="007408BB">
        <w:tab/>
        <w:t>so zreteľom na Dohodu o stabilizácii a pridružení medzi Európskymi spoločenstvami a ich členskými štátmi na jednej strane a Čiernohorskou republikou na strane druhej</w:t>
      </w:r>
      <w:r>
        <w:rPr>
          <w:rStyle w:val="FootnoteReference"/>
        </w:rPr>
        <w:footnoteReference w:id="2"/>
      </w:r>
      <w:r w:rsidRPr="007408BB">
        <w:t>, ktorá nadobudla platnosť 1. mája 2010,</w:t>
      </w:r>
    </w:p>
    <w:p w:rsidR="00FA687E" w:rsidRPr="007408BB" w:rsidP="00FA687E" w14:paraId="3D7F59FB" w14:textId="77777777">
      <w:pPr>
        <w:pStyle w:val="NormalHanging"/>
      </w:pPr>
      <w:r w:rsidRPr="007408BB">
        <w:t>–</w:t>
      </w:r>
      <w:r w:rsidRPr="007408BB">
        <w:tab/>
        <w:t>so zreteľom na žiadosť Čiernej Hory o členstvo v Európskej únii z 15. decembra 2008,</w:t>
      </w:r>
    </w:p>
    <w:p w:rsidR="00FA687E" w:rsidRPr="007408BB" w:rsidP="00FA687E" w14:paraId="59ABD59D" w14:textId="5CDB3FA1">
      <w:pPr>
        <w:pStyle w:val="NormalHanging"/>
      </w:pPr>
      <w:r w:rsidRPr="007408BB">
        <w:t>–</w:t>
      </w:r>
      <w:r w:rsidRPr="007408BB">
        <w:tab/>
        <w:t>so zreteľom na stanovisko Komisie z 9. novembra 2010 k žiadosti Čiernej Hory o členstvo v Európskej únii (</w:t>
      </w:r>
      <w:r w:rsidRPr="007408BB" w:rsidR="002D5FD0">
        <w:t>COM(2010)0670</w:t>
      </w:r>
      <w:r w:rsidRPr="007408BB">
        <w:t>), na rozhodnutie Európskej rady zo 17. decembra 2010 udeliť Čiernej Hore štatút kandidátskej krajiny a na rozhodnutie Európskej rady z 29. júna 2012 začať prístupové rokovania EÚ s Čiernou Horou,</w:t>
      </w:r>
    </w:p>
    <w:p w:rsidR="00FA687E" w:rsidRPr="007408BB" w:rsidP="00FA687E" w14:paraId="302EC34D" w14:textId="788EC582">
      <w:pPr>
        <w:pStyle w:val="NormalHanging"/>
      </w:pPr>
      <w:r w:rsidRPr="007408BB">
        <w:t>–</w:t>
      </w:r>
      <w:r w:rsidRPr="007408BB">
        <w:tab/>
        <w:t>so zreteľom na nariadenie Európskeho parlamentu a Rady (EÚ) 2021/1529 z 15. septembra 2021, ktorým sa zriaďuje nástroj predvstupovej pomoci (IPA III)</w:t>
      </w:r>
      <w:r>
        <w:rPr>
          <w:rStyle w:val="FootnoteReference"/>
        </w:rPr>
        <w:footnoteReference w:id="3"/>
      </w:r>
      <w:r w:rsidRPr="007408BB">
        <w:t>,</w:t>
      </w:r>
    </w:p>
    <w:p w:rsidR="00FA687E" w:rsidRPr="007408BB" w:rsidP="00FA687E" w14:paraId="0D071D98" w14:textId="10B1B2F1">
      <w:pPr>
        <w:pStyle w:val="NormalHanging"/>
      </w:pPr>
      <w:r w:rsidRPr="007408BB">
        <w:t>–</w:t>
      </w:r>
      <w:r w:rsidRPr="007408BB">
        <w:tab/>
        <w:t>so zreteľom na nariadenie Európskeho parlamentu a Rady (EÚ) 2024/1449 zo 14. mája 2024 o zriadení Nástroja na podporu reforiem a rastu pre západný Balkán</w:t>
      </w:r>
      <w:r>
        <w:rPr>
          <w:rStyle w:val="FootnoteReference"/>
        </w:rPr>
        <w:footnoteReference w:id="4"/>
      </w:r>
      <w:r w:rsidRPr="007408BB">
        <w:t>,</w:t>
      </w:r>
    </w:p>
    <w:p w:rsidR="00FA687E" w:rsidRPr="007408BB" w:rsidP="00FA687E" w14:paraId="650701AB" w14:textId="77777777">
      <w:pPr>
        <w:pStyle w:val="NormalHanging"/>
      </w:pPr>
      <w:r w:rsidRPr="007408BB">
        <w:t>–</w:t>
      </w:r>
      <w:r w:rsidRPr="007408BB">
        <w:tab/>
        <w:t>so zreteľom na závery predsedníctva zo zasadnutia Európskej rady v Solúne, ktoré sa konalo 19. a 20. júna 2003,</w:t>
      </w:r>
    </w:p>
    <w:p w:rsidR="00FA687E" w:rsidRPr="007408BB" w:rsidP="00FA687E" w14:paraId="58D7F8D4" w14:textId="77777777">
      <w:pPr>
        <w:pStyle w:val="NormalHanging"/>
      </w:pPr>
      <w:r w:rsidRPr="007408BB">
        <w:t>–</w:t>
      </w:r>
      <w:r w:rsidRPr="007408BB">
        <w:tab/>
        <w:t xml:space="preserve">so zreteľom na vyhlásenia zo samitov EÚ – západný Balkán, ktoré sa konali v rokoch 2018, 2020 a 2021 v Sofii (Bulharsko), v Záhrebe (Chorvátsko) a v Brde pri </w:t>
      </w:r>
      <w:r w:rsidRPr="007408BB">
        <w:t>Kranju</w:t>
      </w:r>
      <w:r w:rsidRPr="007408BB">
        <w:t xml:space="preserve"> (Slovinsko),</w:t>
      </w:r>
    </w:p>
    <w:p w:rsidR="00FA687E" w:rsidRPr="007408BB" w:rsidP="00FA687E" w14:paraId="7071B295" w14:textId="77777777">
      <w:pPr>
        <w:pStyle w:val="NormalHanging"/>
      </w:pPr>
      <w:r w:rsidRPr="007408BB">
        <w:t>–</w:t>
      </w:r>
      <w:r w:rsidRPr="007408BB">
        <w:tab/>
        <w:t xml:space="preserve">so zreteľom na stretnutie vedúcich predstaviteľov krajín západného Balkánu, ktoré sa uskutočnilo 1. júla 2025 v Skopje (Severné Macedónsko), o pláne rastu pre západný </w:t>
      </w:r>
      <w:r w:rsidRPr="007408BB">
        <w:t>Balkán,</w:t>
      </w:r>
    </w:p>
    <w:p w:rsidR="00FA687E" w:rsidRPr="007408BB" w:rsidP="00FA687E" w14:paraId="54DCE89A" w14:textId="77777777">
      <w:pPr>
        <w:pStyle w:val="NormalHanging"/>
      </w:pPr>
      <w:r w:rsidRPr="007408BB">
        <w:t>–</w:t>
      </w:r>
      <w:r w:rsidRPr="007408BB">
        <w:tab/>
        <w:t>so zreteľom na vyhlásenie prijaté na samite EÚ – západný Balkán, ktorý sa konal 17. decembra 2025,</w:t>
      </w:r>
    </w:p>
    <w:p w:rsidR="00FA687E" w:rsidRPr="007408BB" w:rsidP="00FA687E" w14:paraId="39D43A22" w14:textId="77777777">
      <w:pPr>
        <w:pStyle w:val="NormalHanging"/>
      </w:pPr>
      <w:r w:rsidRPr="007408BB">
        <w:t>–</w:t>
      </w:r>
      <w:r w:rsidRPr="007408BB">
        <w:tab/>
        <w:t>so zreteľom na závery predsedníctva o rozšírení zo 16. decembra 2025,</w:t>
      </w:r>
    </w:p>
    <w:p w:rsidR="00FA687E" w:rsidRPr="007408BB" w:rsidP="00FA687E" w14:paraId="1DC6EA31" w14:textId="77777777">
      <w:pPr>
        <w:pStyle w:val="NormalHanging"/>
      </w:pPr>
      <w:r w:rsidRPr="007408BB">
        <w:t>–</w:t>
      </w:r>
      <w:r w:rsidRPr="007408BB">
        <w:tab/>
        <w:t>so zreteľom na berlínsky proces, ktorý sa začal 28. augusta 2014,</w:t>
      </w:r>
    </w:p>
    <w:p w:rsidR="00FA687E" w:rsidRPr="007408BB" w:rsidP="00FA687E" w14:paraId="73132A59" w14:textId="77777777">
      <w:pPr>
        <w:pStyle w:val="NormalHanging"/>
      </w:pPr>
      <w:r w:rsidRPr="007408BB">
        <w:t>–</w:t>
      </w:r>
      <w:r w:rsidRPr="007408BB">
        <w:tab/>
        <w:t>so zreteľom na závery predsedu zo samitu o berlínskom procese, ktorý sa konal 22. októbra 2025,</w:t>
      </w:r>
    </w:p>
    <w:p w:rsidR="00FA687E" w:rsidRPr="007408BB" w:rsidP="00FA687E" w14:paraId="414C7C49" w14:textId="6224EC04">
      <w:pPr>
        <w:pStyle w:val="NormalHanging"/>
      </w:pPr>
      <w:r w:rsidRPr="007408BB">
        <w:t>–</w:t>
      </w:r>
      <w:r w:rsidRPr="007408BB">
        <w:tab/>
        <w:t>so zreteľom na oznámenie Komisie zo 6. októbra 2020 s názvom Hospodársky a investičný plán pre západný Balkán (</w:t>
      </w:r>
      <w:r w:rsidRPr="007408BB" w:rsidR="002D5FD0">
        <w:t>COM(2020)0641</w:t>
      </w:r>
      <w:r w:rsidRPr="007408BB">
        <w:t>),</w:t>
      </w:r>
    </w:p>
    <w:p w:rsidR="00FA687E" w:rsidRPr="007408BB" w:rsidP="00FA687E" w14:paraId="2E48E259" w14:textId="3D7F2ED8">
      <w:pPr>
        <w:pStyle w:val="NormalHanging"/>
      </w:pPr>
      <w:r w:rsidRPr="007408BB">
        <w:t>–</w:t>
      </w:r>
      <w:r w:rsidRPr="007408BB">
        <w:tab/>
        <w:t>so zreteľom na oznámenie Komisie z 8. novembra 2023 s názvom Nový plán rastu pre západný Balkán (</w:t>
      </w:r>
      <w:r w:rsidRPr="007408BB" w:rsidR="002D5FD0">
        <w:t>COM(2023)0691</w:t>
      </w:r>
      <w:r w:rsidRPr="007408BB">
        <w:t>),</w:t>
      </w:r>
    </w:p>
    <w:p w:rsidR="00FA687E" w:rsidRPr="007408BB" w:rsidP="00FA687E" w14:paraId="3D204467" w14:textId="5334E2B1">
      <w:pPr>
        <w:pStyle w:val="NormalHanging"/>
      </w:pPr>
      <w:r w:rsidRPr="007408BB">
        <w:t>–</w:t>
      </w:r>
      <w:r w:rsidRPr="007408BB">
        <w:tab/>
        <w:t>so zreteľom na oznámenie Komisie z 20. marca 2024 o reformách pred rozšírením a o preskúmaní politík (</w:t>
      </w:r>
      <w:r w:rsidRPr="007408BB" w:rsidR="002D5FD0">
        <w:t>COM(2024)0146</w:t>
      </w:r>
      <w:r w:rsidRPr="007408BB">
        <w:t>),</w:t>
      </w:r>
    </w:p>
    <w:p w:rsidR="00FA687E" w:rsidRPr="007408BB" w:rsidP="00FA687E" w14:paraId="19ECF59E" w14:textId="2EE9926B">
      <w:pPr>
        <w:pStyle w:val="NormalHanging"/>
      </w:pPr>
      <w:r w:rsidRPr="007408BB">
        <w:t>–</w:t>
      </w:r>
      <w:r w:rsidRPr="007408BB">
        <w:tab/>
        <w:t>so zreteľom na oznámenie Komisie z 8. júla 2025 s názvom Správa o právnom štáte 2025 – Situácia v oblasti právneho štátu v Európskej únii (</w:t>
      </w:r>
      <w:r w:rsidRPr="007408BB" w:rsidR="002D5FD0">
        <w:t>COM(2025)0900</w:t>
      </w:r>
      <w:r w:rsidRPr="007408BB">
        <w:t>) a na sprievodný pracovný dokument útvarov Komisie s názvom Správa o právnom štáte 2025 – Kapitola o situácii v oblasti právneho štátu v Čiernej Hore (SWD(2025)0929),</w:t>
      </w:r>
    </w:p>
    <w:p w:rsidR="00FA687E" w:rsidRPr="007408BB" w:rsidP="00FA687E" w14:paraId="32976BD7" w14:textId="51A2DED9">
      <w:pPr>
        <w:pStyle w:val="NormalHanging"/>
      </w:pPr>
      <w:r w:rsidRPr="007408BB">
        <w:t>–</w:t>
      </w:r>
      <w:r w:rsidRPr="007408BB">
        <w:tab/>
        <w:t>so zreteľom na oznámenie Komisie zo 4. novembra 2025 s názvom Oznámenie o politike rozširovania EÚ za rok 2025 (</w:t>
      </w:r>
      <w:r w:rsidRPr="007408BB" w:rsidR="002D5FD0">
        <w:t>COM(2025)0690</w:t>
      </w:r>
      <w:r w:rsidRPr="007408BB">
        <w:t>) a na sprievodný pracovný dokument útvarov Komisie s názvom Správa o Čiernej Hore za rok 2025 (SWD(2025)0754),</w:t>
      </w:r>
    </w:p>
    <w:p w:rsidR="00FA687E" w:rsidRPr="007408BB" w:rsidP="00FA687E" w14:paraId="7610EED8" w14:textId="77777777">
      <w:pPr>
        <w:pStyle w:val="NormalHanging"/>
      </w:pPr>
      <w:r w:rsidRPr="007408BB">
        <w:t>–</w:t>
      </w:r>
      <w:r w:rsidRPr="007408BB">
        <w:tab/>
        <w:t>so zreteľom na prehľad a hodnotenie krajiny uskutočnené Komisiou 2. júna 2025 v oblasti programu hospodárskych reforiem Čiernej Hory a na spoločné závery dialógu o hospodárskych a finančných otázkach s regionálnymi partnermi, ktorý sa uskutočnil 13. mája 2025,</w:t>
      </w:r>
    </w:p>
    <w:p w:rsidR="00FA687E" w:rsidRPr="007408BB" w:rsidP="00FA687E" w14:paraId="02A7C936" w14:textId="77777777">
      <w:pPr>
        <w:pStyle w:val="NormalHanging"/>
      </w:pPr>
      <w:r w:rsidRPr="007408BB">
        <w:t>–</w:t>
      </w:r>
      <w:r w:rsidRPr="007408BB">
        <w:tab/>
        <w:t>so zreteľom na výsledky konferencií o pristúpení s Čiernou Horou, ktoré sa konali 22. júna 2021, 13. decembra 2021, 29. januára 2024, 26. júna 2024, 16. decembra 2024, 27. júna 2025, 16. decembra 2025, 26. januára 2026 a 17. marca 2026,</w:t>
      </w:r>
    </w:p>
    <w:p w:rsidR="00FA687E" w:rsidRPr="007408BB" w:rsidP="00FA687E" w14:paraId="79DED017" w14:textId="77777777">
      <w:pPr>
        <w:pStyle w:val="NormalHanging"/>
      </w:pPr>
      <w:r w:rsidRPr="007408BB">
        <w:t>–</w:t>
      </w:r>
      <w:r w:rsidRPr="007408BB">
        <w:tab/>
        <w:t>so zreteľom na výsledok 11. zasadnutia rady pre stabilizáciu a pridruženie EÚ – Čierna Hora, ktoré sa konalo 14. júla 2022,</w:t>
      </w:r>
    </w:p>
    <w:p w:rsidR="00FA687E" w:rsidRPr="007408BB" w:rsidP="00FA687E" w14:paraId="73E1FA64" w14:textId="77777777">
      <w:pPr>
        <w:pStyle w:val="NormalHanging"/>
      </w:pPr>
      <w:r w:rsidRPr="007408BB">
        <w:t>–</w:t>
      </w:r>
      <w:r w:rsidRPr="007408BB">
        <w:tab/>
        <w:t>so zreteľom na zoznam EÚ obsahujúci jurisdikcie, ktoré nespolupracujú na daňové účely,</w:t>
      </w:r>
    </w:p>
    <w:p w:rsidR="00FA687E" w:rsidRPr="007408BB" w:rsidP="00FA687E" w14:paraId="3F4FBECC" w14:textId="77777777">
      <w:pPr>
        <w:pStyle w:val="NormalHanging"/>
      </w:pPr>
      <w:r w:rsidRPr="007408BB">
        <w:t>–</w:t>
      </w:r>
      <w:r w:rsidRPr="007408BB">
        <w:tab/>
        <w:t>so zreteľom na vyhlásenie a odporúčania prijaté na 23. a 24. zasadnutí Parlamentného výboru pre stabilizáciu a pridruženie EÚ – Čierna Hora, ktoré sa konali 2. a 3. apríla 2025 a 18. a 19. septembra 2025,</w:t>
      </w:r>
    </w:p>
    <w:p w:rsidR="00FA687E" w:rsidRPr="007408BB" w:rsidP="00FA687E" w14:paraId="7157644F" w14:textId="77777777">
      <w:pPr>
        <w:pStyle w:val="NormalHanging"/>
      </w:pPr>
      <w:r w:rsidRPr="007408BB">
        <w:t>–</w:t>
      </w:r>
      <w:r w:rsidRPr="007408BB">
        <w:tab/>
        <w:t>so zreteľom na pristúpenie Čiernej Hory k NATO 5. júna 2017,</w:t>
      </w:r>
    </w:p>
    <w:p w:rsidR="00FA687E" w:rsidRPr="007408BB" w:rsidP="00FA687E" w14:paraId="40B0207D" w14:textId="77777777">
      <w:pPr>
        <w:pStyle w:val="NormalHanging"/>
      </w:pPr>
      <w:r w:rsidRPr="007408BB">
        <w:t>–</w:t>
      </w:r>
      <w:r w:rsidRPr="007408BB">
        <w:tab/>
        <w:t>so zreteľom na svoje predchádzajúce uznesenia o Čiernej Hore,</w:t>
      </w:r>
    </w:p>
    <w:p w:rsidR="00FA687E" w:rsidRPr="007408BB" w:rsidP="00FA687E" w14:paraId="3FDB2391" w14:textId="77777777">
      <w:pPr>
        <w:pStyle w:val="NormalHanging"/>
      </w:pPr>
      <w:r w:rsidRPr="007408BB">
        <w:t>–</w:t>
      </w:r>
      <w:r w:rsidRPr="007408BB">
        <w:tab/>
        <w:t>so zreteľom na článok 55 rokovacieho poriadku,</w:t>
      </w:r>
    </w:p>
    <w:p w:rsidR="00FA687E" w:rsidRPr="007408BB" w:rsidP="00FA687E" w14:paraId="54F04871" w14:textId="77777777">
      <w:pPr>
        <w:pStyle w:val="NormalHanging"/>
      </w:pPr>
      <w:r w:rsidRPr="007408BB">
        <w:t>–</w:t>
      </w:r>
      <w:r w:rsidRPr="007408BB">
        <w:tab/>
        <w:t>so zreteľom na správu Výboru pre zahraničné veci (A10-0143/2026),</w:t>
      </w:r>
    </w:p>
    <w:p w:rsidR="00FA687E" w:rsidRPr="007408BB" w:rsidP="00FA687E" w14:paraId="2117FDEE" w14:textId="77777777">
      <w:pPr>
        <w:pStyle w:val="NormalHanging"/>
      </w:pPr>
      <w:r w:rsidRPr="007408BB">
        <w:t>A.</w:t>
      </w:r>
      <w:r w:rsidRPr="007408BB">
        <w:tab/>
        <w:t>keďže rozširovanie je kľúčovým nástrojom zahraničnej politiky EÚ a strategickou investíciou do mieru, bezpečnosti a prosperity na európskom kontinente, najmä v kontexte meniacej sa geopolitickej situácie a bezpečnostných výziev v Európe;</w:t>
      </w:r>
    </w:p>
    <w:p w:rsidR="00FA687E" w:rsidRPr="007408BB" w:rsidP="00FA687E" w14:paraId="30755600" w14:textId="77777777">
      <w:pPr>
        <w:pStyle w:val="NormalHanging"/>
      </w:pPr>
      <w:r w:rsidRPr="007408BB">
        <w:t>B.</w:t>
      </w:r>
      <w:r w:rsidRPr="007408BB">
        <w:tab/>
        <w:t>keďže každá kandidátska krajina je pri plnení kodanských kritérií posudzovaná podľa vlastných zásluh, a to na základe prísnych, avšak spravodlivých podmienok a merateľných výsledkov, najmä v oblastiach právneho štátu a dodržiavania hodnôt EÚ a jej spoločnej zahraničnej a bezpečnostnej politiky;</w:t>
      </w:r>
    </w:p>
    <w:p w:rsidR="00FA687E" w:rsidRPr="007408BB" w:rsidP="00FA687E" w14:paraId="2070FCDE" w14:textId="77777777">
      <w:pPr>
        <w:pStyle w:val="NormalHanging"/>
      </w:pPr>
      <w:r w:rsidRPr="007408BB">
        <w:t>C.</w:t>
      </w:r>
      <w:r w:rsidRPr="007408BB">
        <w:tab/>
        <w:t>keďže Čierna Hora požiadala o členstvo v EÚ v roku 2008; keďže v roku 2010 jej bol udelený štatút kandidátskej krajiny; keďže rokovania sa začali v roku 2012; keďže vláda Čiernej Hory vyhlásila ambíciu stať sa do roku 2028 28. členským štátom EÚ;</w:t>
      </w:r>
    </w:p>
    <w:p w:rsidR="00FA687E" w:rsidRPr="007408BB" w:rsidP="00FA687E" w14:paraId="29A19356" w14:textId="77777777">
      <w:pPr>
        <w:pStyle w:val="NormalHanging"/>
      </w:pPr>
      <w:r w:rsidRPr="007408BB">
        <w:t>D.</w:t>
      </w:r>
      <w:r w:rsidRPr="007408BB">
        <w:tab/>
        <w:t>keďže Čierna Hora je kandidátskou krajinou, ktorá na ceste k pristúpeniu k EÚ dosiahla najväčší pokrok; keďže Čierna Hora otvorila všetkých 33 rokovacích kapitol, z ktorých niektoré už boli uzavreté; keďže ďalší pokrok závisí od trvalých výsledkov pri vykonávaní reforiem, najmä v kapitolách 23 a 24;</w:t>
      </w:r>
    </w:p>
    <w:p w:rsidR="00FA687E" w:rsidRPr="007408BB" w:rsidP="00FA687E" w14:paraId="369E170B" w14:textId="77777777">
      <w:pPr>
        <w:pStyle w:val="NormalHanging"/>
      </w:pPr>
      <w:r w:rsidRPr="007408BB">
        <w:t>E.</w:t>
      </w:r>
      <w:r w:rsidRPr="007408BB">
        <w:tab/>
        <w:t>keďže EÚ je najdôveryhodnejším partnerom Čiernej Hory a dôveruje jej 69 % občanov tejto krajiny, čo je jedna z najvyšších mier dôvery v EÚ v regióne; keďže sa tým zvyšuje povinnosť politických aktérov uskutočniť zodpovedné, konzistentné a účinné reformy;</w:t>
      </w:r>
    </w:p>
    <w:p w:rsidR="00FA687E" w:rsidRPr="007408BB" w:rsidP="00FA687E" w14:paraId="69E6E1CD" w14:textId="77777777">
      <w:pPr>
        <w:pStyle w:val="NormalHanging"/>
      </w:pPr>
      <w:r w:rsidRPr="007408BB">
        <w:t>F.</w:t>
      </w:r>
      <w:r w:rsidRPr="007408BB">
        <w:tab/>
        <w:t>keďže trvalý politický záväzok kandidátskych krajín aj EÚ má zásadný význam pre zachovanie konzistentnosti, dôveryhodnosti, transparentnosti a celkovej účinnosti procesu rozširovania; keďže bilaterálne otázky by sa mali riešiť na bilaterálnej úrovni a nemali by sa využívať na blokovanie alebo ďalšie politizovanie procesu rozširovania;</w:t>
      </w:r>
    </w:p>
    <w:p w:rsidR="00FA687E" w:rsidRPr="007408BB" w:rsidP="00FA687E" w14:paraId="59716963" w14:textId="77777777">
      <w:pPr>
        <w:pStyle w:val="NormalHanging"/>
      </w:pPr>
      <w:r w:rsidRPr="007408BB">
        <w:t>G.</w:t>
      </w:r>
      <w:r w:rsidRPr="007408BB">
        <w:tab/>
        <w:t>keďže EÚ je naďalej hlavným hospodárskym a finančným partnerom Čiernej Hory a jej najväčším obchodným partnerom; keďže bezproblémové fungovanie obchodných a dopravných tokov medzi Čiernou Horou a EÚ má zásadný význam pre hospodársku stabilitu, odolnosť dodávateľského reťazca a postupnú integráciu krajiny do vnútorného trhu EÚ;</w:t>
      </w:r>
    </w:p>
    <w:p w:rsidR="00FA687E" w:rsidRPr="007408BB" w:rsidP="00FA687E" w14:paraId="6EE4D4BA" w14:textId="77777777">
      <w:pPr>
        <w:pStyle w:val="NormalHanging"/>
      </w:pPr>
      <w:r w:rsidRPr="007408BB">
        <w:t>H.</w:t>
      </w:r>
      <w:r w:rsidRPr="007408BB">
        <w:tab/>
        <w:t>keďže stabilita Čiernej Hory má zásadný význam pre bezpečnosť západného Balkánu a EÚ; keďže zahraničné politické projekty usilujúce sa o cezhraničný vplyv na základe etnickej alebo náboženskej príslušnosti predstavujú riziko narušenia zvrchovanosti a ústavného poriadku krajín v regióne; keďže budúcnosť západného Balkánu spočíva v európskej integrácii, a nie v súperiacich geopolitických sférach vplyvu či v regionálnych zoskupeniach založených na etnickej príslušnosti;</w:t>
      </w:r>
    </w:p>
    <w:p w:rsidR="00FA687E" w:rsidRPr="007408BB" w:rsidP="00FA687E" w14:paraId="5BC1D4A3" w14:textId="77777777">
      <w:pPr>
        <w:pStyle w:val="NormalHanging"/>
      </w:pPr>
      <w:r w:rsidRPr="007408BB">
        <w:t>I.</w:t>
      </w:r>
      <w:r w:rsidRPr="007408BB">
        <w:tab/>
        <w:t xml:space="preserve">keďže Čierna Hora je naďalej zraniteľná voči pokusom o manipuláciu informačného priestoru zo zahraničia a zvnútra; keďže Komisia zdôraznila potrebu uzavrieť tento priestor pred zahraničným zasahovaní a manipuláciou s informáciami vrátane dezinformácií a posilniť odolnosť spoločnosti; keďže Rusko sa usiluje o posilnenie svojho vplyvu na západnom Balkáne, a to aj v Čiernej Hore, prostredníctvom strategického využívania náboženských, kultúrnych a tzv. hodnotovo orientovaných </w:t>
      </w:r>
      <w:r w:rsidRPr="007408BB">
        <w:t>naratívov</w:t>
      </w:r>
      <w:r w:rsidRPr="007408BB">
        <w:t>, ktorých cieľom je formovať verejnú diskusiu a oslabovať euroatlantickú integráciu;</w:t>
      </w:r>
    </w:p>
    <w:p w:rsidR="00FA687E" w:rsidRPr="007408BB" w:rsidP="00FA687E" w14:paraId="36074ECD" w14:textId="77777777">
      <w:pPr>
        <w:pStyle w:val="NormalHanging"/>
      </w:pPr>
      <w:r w:rsidRPr="007408BB">
        <w:t>J.</w:t>
      </w:r>
      <w:r w:rsidRPr="007408BB">
        <w:tab/>
        <w:t>keďže napriek určitému inštitucionálnemu pokroku sú korupcia a organizovaná trestná činnosť naďalej prítomné vo viacerých odvetviach hospodárstva a verejných inštitúciách Čiernej Hory;</w:t>
      </w:r>
    </w:p>
    <w:p w:rsidR="00FA687E" w:rsidRPr="007408BB" w:rsidP="00FA687E" w14:paraId="5166E34A" w14:textId="77777777">
      <w:pPr>
        <w:pStyle w:val="NormalHanging"/>
      </w:pPr>
      <w:r w:rsidRPr="007408BB">
        <w:t>K.</w:t>
      </w:r>
      <w:r w:rsidRPr="007408BB">
        <w:tab/>
        <w:t>keďže základom finančnej stability a dôvery v kontexte pristúpenia k EÚ zostáva zosúladenie s </w:t>
      </w:r>
      <w:r w:rsidRPr="007408BB">
        <w:rPr>
          <w:i/>
        </w:rPr>
        <w:t>acquis</w:t>
      </w:r>
      <w:r w:rsidRPr="007408BB">
        <w:t xml:space="preserve"> EÚ v oblasti daní a dobrej správy daňových záležitostí;</w:t>
      </w:r>
    </w:p>
    <w:p w:rsidR="00FA687E" w:rsidRPr="007408BB" w:rsidP="00FA687E" w14:paraId="732A7F65" w14:textId="77777777">
      <w:pPr>
        <w:pStyle w:val="Normal12a"/>
      </w:pPr>
      <w:r w:rsidRPr="007408BB">
        <w:rPr>
          <w:b/>
          <w:i/>
        </w:rPr>
        <w:t>Záväzok v súvislosti s pristúpením k EÚ</w:t>
      </w:r>
    </w:p>
    <w:p w:rsidR="00FA687E" w:rsidRPr="007408BB" w:rsidP="00FA687E" w14:paraId="40664D03" w14:textId="7EB3D934">
      <w:pPr>
        <w:pStyle w:val="NormalHanging12a"/>
      </w:pPr>
      <w:r w:rsidRPr="007408BB">
        <w:t>1.</w:t>
      </w:r>
      <w:r w:rsidRPr="007408BB">
        <w:tab/>
        <w:t>víta stály pokrok Čiernej Hory v reformách súvisiacich s EÚ, ktorý sa opiera o širokú politickú angažovanosť a ambíciu dokončiť rokovania do konca roka 2026; víta predbežné uzatvorenie ďalších šiestich rokovacích kapitol v roku 2025 a </w:t>
      </w:r>
      <w:r w:rsidRPr="007408BB" w:rsidR="00F2018F">
        <w:t xml:space="preserve">štyroch </w:t>
      </w:r>
      <w:r w:rsidRPr="007408BB">
        <w:t xml:space="preserve">v roku 2026, čím sa celkový počet uzavretých kapitol zvýšil na </w:t>
      </w:r>
      <w:r w:rsidRPr="007408BB" w:rsidR="00F2018F">
        <w:t>16</w:t>
      </w:r>
      <w:r w:rsidRPr="007408BB">
        <w:t>; opakuje, že v plnej miere podporuje budúcnosť krajiny v EÚ;</w:t>
      </w:r>
      <w:r w:rsidRPr="007408BB" w:rsidR="00D0649B">
        <w:t xml:space="preserve"> víta zriadenie ad hoc pracovnej skupiny v Rade pre vypracovanie zmluvy o pristúpení s Čiernou Horou ako dôležitý krok v správnom čase k pokročeniu v záverečnej fáze procesu pristúpenia Čiernej Hory k EÚ a opätovnému potvrdeniu záväzku EÚ k rozširovaniu;</w:t>
      </w:r>
    </w:p>
    <w:p w:rsidR="00FA687E" w:rsidRPr="007408BB" w:rsidP="00FA687E" w14:paraId="2FA547BA" w14:textId="77777777">
      <w:pPr>
        <w:pStyle w:val="NormalHanging12a"/>
      </w:pPr>
      <w:r w:rsidRPr="007408BB">
        <w:t>2.</w:t>
      </w:r>
      <w:r w:rsidRPr="007408BB">
        <w:tab/>
        <w:t>opätovne potvrdzuje, že Čierna Hora zostáva na poprednom mieste v procese pristúpenia k EÚ, a zdôrazňuje, že tempo a postupnosť rozširovania sa musia naďalej riadiť zásadou individuálnych zásluh; zdôrazňuje, že pokrok smerom k členstvu by sa mal posudzovať výlučne na základe objektívneho plnenia stanovených referenčných kritérií; vyzýva, aby sa nepretržité reformné úsilie odrazilo v rovnako dôveryhodnej, predvídateľnej a včasnej perspektíve členstva v EÚ; zdôrazňuje, že integrita politiky rozširovania spočíva v dôslednosti, spravodlivosti a rovnakom zaobchádzaní, ktoré odráža preukázanú úroveň pripravenosti každého kandidáta;</w:t>
      </w:r>
    </w:p>
    <w:p w:rsidR="00FA687E" w:rsidRPr="007408BB" w:rsidP="00FA687E" w14:paraId="72BD8A07" w14:textId="77777777">
      <w:pPr>
        <w:pStyle w:val="NormalHanging12a"/>
      </w:pPr>
      <w:r w:rsidRPr="007408BB">
        <w:t>3.</w:t>
      </w:r>
      <w:r w:rsidRPr="007408BB">
        <w:tab/>
        <w:t>víta širokú a konzistentnú verejnú podporu občanov Čiernej Hory na európskej ceste krajiny, pričom veľká väčšina občanov vyjadruje dôveru v budúcnosť Čiernej Hory v EÚ;</w:t>
      </w:r>
    </w:p>
    <w:p w:rsidR="00FA687E" w:rsidRPr="007408BB" w:rsidP="00FA687E" w14:paraId="6C65181D" w14:textId="77777777">
      <w:pPr>
        <w:pStyle w:val="NormalHanging12a"/>
      </w:pPr>
      <w:r w:rsidRPr="007408BB">
        <w:t>4.</w:t>
      </w:r>
      <w:r w:rsidRPr="007408BB">
        <w:tab/>
        <w:t>nabáda všetkých politických aktérov, aby sa naďalej sústredili na úspešné ukončenie prístupových rokovaní, zachovali pritom potrebnú dynamiku a zintenzívnili svoje úsilie o vykonávanie potrebných reforiem; zdôrazňuje potrebu politickej stability a konštruktívnej spolupráce medzi jednotlivými stranami v tomto smere; zdôrazňuje, že skutočný pokrok závisí od účinného vykonávania prijatých reforiem a od trvalých a merateľných výsledkov v oblasti právneho štátu, vrátane vynášania právoplatných odsúdení v prípadoch korupcie na vysokej úrovni a organizovanej trestnej činnosti; vyzýva Čiernu Horu, aby ďalej pokročila v plnení referenčných kritérií na uzavretie kapitoly, najmä kapitol 23 a 24;</w:t>
      </w:r>
    </w:p>
    <w:p w:rsidR="00FA687E" w:rsidRPr="007408BB" w:rsidP="00FA687E" w14:paraId="7D5B0E30" w14:textId="77777777">
      <w:pPr>
        <w:pStyle w:val="NormalHanging12a"/>
      </w:pPr>
      <w:r w:rsidRPr="007408BB">
        <w:t>5.</w:t>
      </w:r>
      <w:r w:rsidRPr="007408BB">
        <w:tab/>
        <w:t>vyzýva všetky štátne orgány, aby konali v duchu inštitucionálnej zodpovednosti a zabezpečili, aby politické rozdiely neodďaľovali prijatie a vykonávanie reforiem súvisiacich s EÚ; zdôrazňuje, že ochrana strategického cieľa, ktorým je členstvo v EÚ, musí zostať spoločnou národnou prioritou, ktorá má prednosť pred straníckymi záujmami; naliehavo vyzýva parlament a vládu Čiernej Hory, aby zabránili tomu, aby politika identity odvádzala pozornosť od programu EÚ alebo vytvárala napätie vo vzťahoch so susednými krajinami, a tak zabezpečili, že Čierna Hora zostane pevne na ceste k EÚ;</w:t>
      </w:r>
    </w:p>
    <w:p w:rsidR="00FA687E" w:rsidRPr="007408BB" w:rsidP="00FA687E" w14:paraId="293C38CE" w14:textId="77777777">
      <w:pPr>
        <w:pStyle w:val="NormalHanging12a"/>
      </w:pPr>
      <w:r w:rsidRPr="007408BB">
        <w:t>6.</w:t>
      </w:r>
      <w:r w:rsidRPr="007408BB">
        <w:tab/>
        <w:t xml:space="preserve">vyzýva Čiernu Horu ako kandidátsku krajina, ktorá doteraz najviac pokročila, aby naďalej zohrávala konštruktívnu a stabilizujúcu úlohu v regióne a svojím vedúcim </w:t>
      </w:r>
      <w:r w:rsidRPr="007408BB">
        <w:t>postavením ukázala, že zvrchovanosť, občianska identita a európska integrácia sa navzájom posilňujú;</w:t>
      </w:r>
    </w:p>
    <w:p w:rsidR="00FA687E" w:rsidRPr="007408BB" w:rsidP="00FA687E" w14:paraId="065C09EF" w14:textId="77777777">
      <w:pPr>
        <w:pStyle w:val="NormalHanging12a"/>
      </w:pPr>
      <w:r w:rsidRPr="007408BB">
        <w:t>7.</w:t>
      </w:r>
      <w:r w:rsidRPr="007408BB">
        <w:tab/>
        <w:t xml:space="preserve">víta skutočnosť, že Čierna Hora dosiahla stabilný úplný súlad so spoločnou zahraničnou a bezpečnostnou politikou EÚ, a to aj pokiaľ ide o reštriktívne opatrenia EÚ, najmä tie, ktoré sa týkajú útočnej vojny Ruska proti Ukrajine, ako aj jej zásadový postoj v Organizácii Spojených národov a účasť na misiách a operáciách EÚ v oblasti krízového riadenia, a na misiách NATO a ďalších medzinárodných multilaterálnych misiách vrátane operácie námorných síl EÚ ATALANTA, vojenskej pomocnej misie EÚ na podporu Ukrajiny (EUMAM </w:t>
      </w:r>
      <w:r w:rsidRPr="007408BB">
        <w:t>Ukraine</w:t>
      </w:r>
      <w:r w:rsidRPr="007408BB">
        <w:t xml:space="preserve">), a mierových síl KFOR; oceňuje rozhodnutie čiernohorského parlamentu schváliť účasť krajiny na misii EUMAM </w:t>
      </w:r>
      <w:r w:rsidRPr="007408BB">
        <w:t>Ukraine</w:t>
      </w:r>
      <w:r w:rsidRPr="007408BB">
        <w:t>; opätovne potvrdzuje, že dôsledné zosúladenie Čiernej Hory so spoločnou zahraničnou a bezpečnostnou politikou EÚ vrátane reštriktívnych opatrení voči Rusku je kľúčovým ukazovateľom jej strategickej orientácie; zdôrazňuje, že musí byť naďalej neochvejné; zdôrazňuje, že neochvejný záväzok politických predstaviteľov Čiernej Hory k nezávislej štátnosti a strategickej európskej orientácii krajiny je popri technických referenčných kritériách reforiem aj naďalej kľúčovým politickým kritériom;</w:t>
      </w:r>
    </w:p>
    <w:p w:rsidR="00FA687E" w:rsidRPr="007408BB" w:rsidP="00FA687E" w14:paraId="13F5DA29" w14:textId="77777777">
      <w:pPr>
        <w:pStyle w:val="NormalHanging12a"/>
      </w:pPr>
      <w:r w:rsidRPr="007408BB">
        <w:t>8.</w:t>
      </w:r>
      <w:r w:rsidRPr="007408BB">
        <w:tab/>
        <w:t>víta dialóg o bezpečnosti a obrane medzi EÚ a Čiernou Horou vrátane štruktúrovaných výmen názorov o spolupráci v oblasti bezpečnosti a obrany, odolnosti voči novým hrozbám a spolupráci v oblasti podpory Ukrajiny;</w:t>
      </w:r>
    </w:p>
    <w:p w:rsidR="00FA687E" w:rsidRPr="007408BB" w:rsidP="00FA687E" w14:paraId="59BF238C" w14:textId="77777777">
      <w:pPr>
        <w:pStyle w:val="NormalHanging12a"/>
      </w:pPr>
      <w:r w:rsidRPr="007408BB">
        <w:t>9.</w:t>
      </w:r>
      <w:r w:rsidRPr="007408BB">
        <w:tab/>
        <w:t xml:space="preserve">víta rozhodnutie čiernohorského parlamentu vyslať príslušníkov svojich ozbrojených síl na misiu EUMAM </w:t>
      </w:r>
      <w:r w:rsidRPr="007408BB">
        <w:t>Ukraine</w:t>
      </w:r>
      <w:r w:rsidRPr="007408BB">
        <w:t>, čo signalizuje jasný a neochvejný súlad s bezpečnostnými prioritami EÚ a NATO; pripomína, že Čierna Hora je kľúčovým spojencom EÚ v regióne; víta rozhodnutie čiernohorskej vlády splniť záväzok, že výdavky na obranu dosiahnu 2 %;</w:t>
      </w:r>
    </w:p>
    <w:p w:rsidR="00FA687E" w:rsidRPr="007408BB" w:rsidP="00FA687E" w14:paraId="14C384BC" w14:textId="77777777">
      <w:pPr>
        <w:pStyle w:val="NormalHanging12a"/>
      </w:pPr>
      <w:r w:rsidRPr="007408BB">
        <w:t>10.</w:t>
      </w:r>
      <w:r w:rsidRPr="007408BB">
        <w:tab/>
        <w:t>je aj naďalej vážne znepokojený pretrvávajúcim a čoraz silnejším zahraničným zasahovaním, destabilizačnými aktivitami, hybridnými hrozbami a dezinformačnými kampaňami aktérov z tretích krajín v Čiernej Hore, ktorých cieľom je oslabiť demokratické inštitúcie, spoločenskú súdržnosť a strategickú orientáciu Čiernej Hory na členstvo v EÚ a NATO; zdôrazňuje, že takéto zasahovanie predstavuje priamu hrozbu pre právny štát, demokratickú správu vecí verejných a národnú suverenitu; berie na vedomie najmä škodlivý vplyv Číny, Ruska a Srbska;</w:t>
      </w:r>
    </w:p>
    <w:p w:rsidR="00EA1AF8" w:rsidRPr="007408BB" w:rsidP="00FA687E" w14:paraId="54A0173A" w14:textId="70FA2672">
      <w:pPr>
        <w:pStyle w:val="NormalHanging12a"/>
      </w:pPr>
      <w:r w:rsidRPr="007408BB">
        <w:t>11.</w:t>
      </w:r>
      <w:r w:rsidRPr="007408BB">
        <w:tab/>
        <w:t xml:space="preserve">s vážnym znepokojením berie na vedomie správy, že stúpenci srbského prezidenta </w:t>
      </w:r>
      <w:r w:rsidRPr="007408BB">
        <w:t>Vučića</w:t>
      </w:r>
      <w:r w:rsidRPr="007408BB">
        <w:t xml:space="preserve"> pricestovali 3. júna 2026 do </w:t>
      </w:r>
      <w:r w:rsidRPr="007408BB">
        <w:t>Tivatu</w:t>
      </w:r>
      <w:r w:rsidRPr="007408BB">
        <w:t xml:space="preserve"> v snahe destabilizovať Čiernu Horu a narušiť samit EÚ – západný Balkán; ďalej konštatuje, že niektorí zúčastnení boli už predtým identifikovaní na provládnych mobilizáciách, zapojili sa do potláčania študentských protestov v Srbsku a spáchali násilné trestné činy alebo priestupky; dôrazne odsudzuje praktiky štruktúr spojených so srbskou vládnucou stranou, ktorých cieľom je destabilizovať Čiernu Horu a brániť jej v ceste do EÚ;</w:t>
      </w:r>
    </w:p>
    <w:p w:rsidR="00FA687E" w:rsidRPr="007408BB" w:rsidP="00FA687E" w14:paraId="2BC7CFBA" w14:textId="47A1CDF6">
      <w:pPr>
        <w:pStyle w:val="NormalHanging12a"/>
      </w:pPr>
      <w:r w:rsidRPr="007408BB">
        <w:t>12</w:t>
      </w:r>
      <w:r w:rsidRPr="007408BB">
        <w:t>.</w:t>
      </w:r>
      <w:r w:rsidRPr="007408BB">
        <w:tab/>
        <w:t xml:space="preserve">vyzýva na vytvorenie prispôsobenej podpory zo strany EÚ a NATO a ich posilnenej spolupráce s Čiernou Horou s cieľom zaviesť dôraznejšie opatrenia na boj proti takýmto hybridným hrozbám, zahraničnej manipulácii s informáciami a skrytému politickému financovaniu a zvýšiť spoločenskú a inštitucionálnu odolnosť vrátane posilnenia kybernetickej bezpečnosti, zlepšenia mediálnej gramotnosti na všetkých úrovniach vzdelávania, zabezpečenia primeranej odbornej prípravy učiteľov a moderných učebných zdrojov, posilnenia strategickej komunikácie, zlepšenia kapacít na boj proti </w:t>
      </w:r>
      <w:r w:rsidRPr="007408BB">
        <w:t>dezinformáciám a posilnenia transparentnosti vlastníctva médií; vyzýva Komisiu, aby zabezpečila, že Čierna Hora bude môcť v plnej miere využívať výhody Európskeho štítu na obranu demokracie; vyzýva na posilnenie mechanizmov preverovania a integrity v rámci bezpečnostných a spravodajských služieb Čiernej Hory;</w:t>
      </w:r>
    </w:p>
    <w:p w:rsidR="00FA687E" w:rsidRPr="007408BB" w:rsidP="00FA687E" w14:paraId="2B78EB96" w14:textId="25673B99">
      <w:pPr>
        <w:pStyle w:val="NormalHanging12a"/>
      </w:pPr>
      <w:r w:rsidRPr="007408BB">
        <w:t>13</w:t>
      </w:r>
      <w:r w:rsidRPr="007408BB">
        <w:t>.</w:t>
      </w:r>
      <w:r w:rsidRPr="007408BB">
        <w:tab/>
        <w:t xml:space="preserve">vyjadruje znepokojenie nad politickou </w:t>
      </w:r>
      <w:r w:rsidRPr="007408BB">
        <w:t>inštrumentalizáciou</w:t>
      </w:r>
      <w:r w:rsidRPr="007408BB">
        <w:t xml:space="preserve"> náboženských inštitúcií zo strany zahraničných aktérov; zdôrazňuje, že náboženské organizácie musia pôsobiť transparentne a nezávisle od zahraničného politického vplyvu, pričom musia v plnej miere rešpektovať ústavný a sekulárny rámec Čiernej Hory;</w:t>
      </w:r>
    </w:p>
    <w:p w:rsidR="00FA687E" w:rsidRPr="007408BB" w:rsidP="00FA687E" w14:paraId="58F2AB3D" w14:textId="04661F46">
      <w:pPr>
        <w:pStyle w:val="NormalHanging12a"/>
      </w:pPr>
      <w:r w:rsidRPr="007408BB">
        <w:t>14</w:t>
      </w:r>
      <w:r w:rsidRPr="007408BB">
        <w:t>.</w:t>
      </w:r>
      <w:r w:rsidRPr="007408BB">
        <w:tab/>
        <w:t xml:space="preserve">vyzýva EÚ a Čiernu Horu, aby pokračovali v cielenej strategickej komunikácii o prínosoch rozširovania a členstva v EÚ a výrazne ju posilnili tým, že zaujmú </w:t>
      </w:r>
      <w:r w:rsidRPr="007408BB">
        <w:t>proaktívnejší</w:t>
      </w:r>
      <w:r w:rsidRPr="007408BB">
        <w:t xml:space="preserve"> prístup prispôsobený miestnym podmienkam v úzkej spolupráci s vnútroštátnymi inštitúciami a občianskou spoločnosťou; so znepokojením konštatuje, že podľa najnovšieho osobitného prieskumu </w:t>
      </w:r>
      <w:r w:rsidRPr="007408BB">
        <w:t>Eurobarometra</w:t>
      </w:r>
      <w:r w:rsidRPr="007408BB">
        <w:t xml:space="preserve"> si len 39 % občanov Čiernej Hory myslí, že sú dobre alebo veľmi dobre informovaní o EÚ;</w:t>
      </w:r>
    </w:p>
    <w:p w:rsidR="00FA687E" w:rsidRPr="007408BB" w:rsidP="00FA687E" w14:paraId="70A02384" w14:textId="5CCA66DE">
      <w:pPr>
        <w:pStyle w:val="NormalHanging12a"/>
      </w:pPr>
      <w:r w:rsidRPr="007408BB">
        <w:t>15</w:t>
      </w:r>
      <w:r w:rsidRPr="007408BB">
        <w:t>.</w:t>
      </w:r>
      <w:r w:rsidRPr="007408BB">
        <w:tab/>
        <w:t>víta aktívnu angažovanosť čiernohorského parlamentu v Parlamentnom výbore pre stabilizáciu a pridruženie EÚ – Čierna Hora;</w:t>
      </w:r>
    </w:p>
    <w:p w:rsidR="00FA687E" w:rsidRPr="007408BB" w:rsidP="00FA687E" w14:paraId="4A7F6F6C" w14:textId="5BD93374">
      <w:pPr>
        <w:pStyle w:val="NormalHanging12a"/>
      </w:pPr>
      <w:r w:rsidRPr="007408BB">
        <w:t>16</w:t>
      </w:r>
      <w:r w:rsidRPr="007408BB">
        <w:t>.</w:t>
      </w:r>
      <w:r w:rsidRPr="007408BB">
        <w:tab/>
        <w:t xml:space="preserve">víta usporiadanie občianskeho fóra nazvaného </w:t>
      </w:r>
      <w:r w:rsidRPr="007408BB">
        <w:t>Citizens</w:t>
      </w:r>
      <w:r w:rsidRPr="007408BB">
        <w:t xml:space="preserve"> at </w:t>
      </w:r>
      <w:r w:rsidRPr="007408BB">
        <w:t>the</w:t>
      </w:r>
      <w:r w:rsidRPr="007408BB">
        <w:t xml:space="preserve"> </w:t>
      </w:r>
      <w:r w:rsidRPr="007408BB">
        <w:t>Heart</w:t>
      </w:r>
      <w:r w:rsidRPr="007408BB">
        <w:t xml:space="preserve"> of </w:t>
      </w:r>
      <w:r w:rsidRPr="007408BB">
        <w:t>the</w:t>
      </w:r>
      <w:r w:rsidRPr="007408BB">
        <w:t xml:space="preserve"> </w:t>
      </w:r>
      <w:r w:rsidRPr="007408BB">
        <w:t>Enlargement</w:t>
      </w:r>
      <w:r w:rsidRPr="007408BB">
        <w:t xml:space="preserve"> of </w:t>
      </w:r>
      <w:r w:rsidRPr="007408BB">
        <w:t>the</w:t>
      </w:r>
      <w:r w:rsidRPr="007408BB">
        <w:t xml:space="preserve"> </w:t>
      </w:r>
      <w:r w:rsidRPr="007408BB">
        <w:t>European</w:t>
      </w:r>
      <w:r w:rsidRPr="007408BB">
        <w:t xml:space="preserve"> Union (Občania v centre rozširovania Európskej únie), ktoré sa konalo 20. a 21. septembra 2025 v </w:t>
      </w:r>
      <w:r w:rsidRPr="007408BB">
        <w:t>Podgorici</w:t>
      </w:r>
      <w:r w:rsidRPr="007408BB">
        <w:t xml:space="preserve"> v Čiernej Hore;</w:t>
      </w:r>
    </w:p>
    <w:p w:rsidR="00FA687E" w:rsidRPr="007408BB" w:rsidP="00FA687E" w14:paraId="15E24E70" w14:textId="3697DD0E">
      <w:pPr>
        <w:pStyle w:val="NormalHanging12a"/>
      </w:pPr>
      <w:r w:rsidRPr="007408BB">
        <w:t>17</w:t>
      </w:r>
      <w:r w:rsidRPr="007408BB">
        <w:t>.</w:t>
      </w:r>
      <w:r w:rsidRPr="007408BB">
        <w:tab/>
        <w:t xml:space="preserve">víta vymenovanie mesta </w:t>
      </w:r>
      <w:r w:rsidRPr="007408BB">
        <w:t>Nikšić</w:t>
      </w:r>
      <w:r w:rsidRPr="007408BB">
        <w:t xml:space="preserve"> za Európske hlavné mesto kultúry 2030 a mesta Podgorica za Európske hlavné mesto mládeže 2028, pričom zdôrazňuje ich úlohu pri podpore angažovanosti mládeže, inovácií, kultúrnej výmeny a užších väzieb medzi Čiernou Horou a EÚ;</w:t>
      </w:r>
    </w:p>
    <w:p w:rsidR="00FA687E" w:rsidRPr="007408BB" w:rsidP="00FA687E" w14:paraId="25E7EE1D" w14:textId="77777777">
      <w:pPr>
        <w:pStyle w:val="Normal12a"/>
      </w:pPr>
      <w:r w:rsidRPr="007408BB">
        <w:rPr>
          <w:b/>
          <w:i/>
        </w:rPr>
        <w:t>Demokracia a právny štát</w:t>
      </w:r>
    </w:p>
    <w:p w:rsidR="00FA687E" w:rsidRPr="007408BB" w:rsidP="00FA687E" w14:paraId="4DA696B1" w14:textId="7B083BD9">
      <w:pPr>
        <w:pStyle w:val="NormalHanging12a"/>
      </w:pPr>
      <w:r w:rsidRPr="007408BB">
        <w:t>18</w:t>
      </w:r>
      <w:r w:rsidRPr="007408BB">
        <w:t>.</w:t>
      </w:r>
      <w:r w:rsidRPr="007408BB">
        <w:tab/>
        <w:t>zdôrazňuje význam čiernohorského parlamentu v prístupovom procese a podčiarkuje jeho kľúčovú úlohu pri zabezpečovaní demokratickej zodpovednosti, parlamentného dohľadu a transparentnosti legislatívneho procesu; nabáda ku konštruktívnemu dialógu a spolupráci naprieč politickým spektrom s cieľom prijímať kvalitné právne predpisy, ktorými sa vyriešia alebo významne zlepšia štrukturálne problémy a ktoré Čiernej Hore umožnia, aby napredovala na ceste k pristúpeniu; zdôrazňuje, že úzka spolupráca medzi vládou a parlamentom Čiernej Hory má zásadný význam pre včasné a účinné vykonanie reforiem; zdôrazňuje, že zrýchlenie legislatívneho procesu by nemalo obmedziť zmysluplnú parlamentnú diskusiu ani úlohu opozície, a vyzýva na primeranú rovnováhu medzi tempom realizácie reforiem a kvalitou legislatívnej kontroly;</w:t>
      </w:r>
    </w:p>
    <w:p w:rsidR="00FA687E" w:rsidRPr="007408BB" w:rsidP="00FA687E" w14:paraId="0AEFDB12" w14:textId="05ECE4E7">
      <w:pPr>
        <w:pStyle w:val="NormalHanging12a"/>
      </w:pPr>
      <w:r w:rsidRPr="007408BB">
        <w:t>19</w:t>
      </w:r>
      <w:r w:rsidRPr="007408BB">
        <w:t>.</w:t>
      </w:r>
      <w:r w:rsidRPr="007408BB">
        <w:tab/>
        <w:t xml:space="preserve">víta zmeny volebného zákona Čiernej Hory, najmä tie, ktoré sa týkajú dohľadu nad financovaním kampaní a nad médiami, integrity volieb, rodových kvót na volebných zoznamoch a jednodňových komunálnych volieb; naliehavo vyzýva Čiernu Horu, aby dosiahla plný súlad s normami EÚ a aby v plnej miere vykonala všetky zostávajúce odporúčania, ktoré vydali Úrad pre demokratické inštitúcie a ľudské práva Organizácie pre bezpečnosť a spoluprácu v Európe a Skupina štátov proti korupcii, najmä v súvislosti s transparentnosťou výdavkov politických strán vrátane využívania výdavkov finančných prostriedkov určených pre ženské organizácie v politických stranách, s online politickou reklamou vrátane zverejňovania sponzorov a kritérií zacielenia a s predchádzaním zneužívaniu štátnych zdrojov, aktualizáciou volebného zoznamu </w:t>
      </w:r>
      <w:r w:rsidRPr="007408BB">
        <w:t xml:space="preserve">a riešením otázky registrácie pobytu; pripomína, že by sa to malo uskutočniť prostredníctvom transparentného a inkluzívneho procesu konzultácií so všetkými príslušnými zainteresovanými stranami; vyzýva čiernohorské orgány, aby pred voľbami systematicky chránili volebné informačné prostredie vytvorením kanálov rýchlej spolupráce medzi volebnou správou, regulačným orgánom pre médiá a príslušnými orgánmi s cieľom odhaľovať koordinované dezinformácie a nezákonné zasahovanie a reagovať na </w:t>
      </w:r>
      <w:r w:rsidRPr="007408BB">
        <w:t>ne</w:t>
      </w:r>
      <w:r w:rsidRPr="007408BB">
        <w:t>, a to v plnom súlade so slobodou prejavu;</w:t>
      </w:r>
    </w:p>
    <w:p w:rsidR="00FA687E" w:rsidRPr="007408BB" w:rsidP="00FA687E" w14:paraId="2EB4020E" w14:textId="6C162923">
      <w:pPr>
        <w:pStyle w:val="NormalHanging12a"/>
      </w:pPr>
      <w:r w:rsidRPr="007408BB">
        <w:t>20</w:t>
      </w:r>
      <w:r w:rsidRPr="007408BB">
        <w:t>.</w:t>
      </w:r>
      <w:r w:rsidRPr="007408BB">
        <w:tab/>
        <w:t>víta zahrnutie Čiernej Hory do správy Komisie o právnom štáte 2025;</w:t>
      </w:r>
    </w:p>
    <w:p w:rsidR="00FA687E" w:rsidRPr="007408BB" w:rsidP="00FA687E" w14:paraId="4ABF959F" w14:textId="29351EE6">
      <w:pPr>
        <w:pStyle w:val="NormalHanging12a"/>
      </w:pPr>
      <w:r w:rsidRPr="007408BB">
        <w:t>21</w:t>
      </w:r>
      <w:r w:rsidRPr="007408BB">
        <w:t>.</w:t>
      </w:r>
      <w:r w:rsidRPr="007408BB">
        <w:tab/>
        <w:t>požaduje, aby menovanie sudcov bolo rýchlejšie, založené na zásluhách a transparentných postupoch, ktoré nepodliehajú politickému vplyvu a sú založené na odbornosti a bezúhonnosti a pri ktorých nedochádza k oneskoreniam pri spracovaní, vrátane menovania sudcov ústavného súdu a členov súdnej a prokurátorskej rady, a to v úplnom súlade s požiadavkami referenčných kritérií na uzavretie kapitoly; zdôrazňuje kľúčový význam plne funkčného ústavného súdu pre stabilitu právneho poriadku a volebného rámca; vyjadruje vážne znepokojenie nad nepretržitými prieťahmi vo vymenúvaní sudcu ústavného súdu, čo by mohlo narušiť plné fungovanie jednej z najdôležitejších inštitúcií na ochranu právneho štátu a integrácie do EÚ;</w:t>
      </w:r>
    </w:p>
    <w:p w:rsidR="00FA687E" w:rsidRPr="007408BB" w:rsidP="00FA687E" w14:paraId="32DBD9FE" w14:textId="75EF28B4">
      <w:pPr>
        <w:pStyle w:val="NormalHanging12a"/>
      </w:pPr>
      <w:r w:rsidRPr="007408BB">
        <w:t>22</w:t>
      </w:r>
      <w:r w:rsidRPr="007408BB">
        <w:t>.</w:t>
      </w:r>
      <w:r w:rsidRPr="007408BB">
        <w:tab/>
        <w:t>naliehavo vyzýva Čiernu Horu, aby ďalej zosúlaďovala svoj právny rámec s </w:t>
      </w:r>
      <w:r w:rsidRPr="007408BB">
        <w:rPr>
          <w:i/>
        </w:rPr>
        <w:t>acquis</w:t>
      </w:r>
      <w:r w:rsidRPr="007408BB">
        <w:t xml:space="preserve"> EÚ a európskymi normami v oblasti nezávislosti, zodpovednosti, nestrannosti, integrity a profesionality súdnictva a aby vykonala zostávajúce odporúčania; vyzýva na väčšiu účinnosť súdneho systému vrátane zníženia počtu nevybavených prípadov, najmä v oblasti korupcie a organizovanej trestnej činnosti, čo má zásadný význam pre posilnenie dôvery verejnosti a splnenie podmienok členstva v EÚ; pripomína, že referenčné kritériá na uzavretie kapitoly si vyžadujú preukázateľné výsledky v praxi vrátane zlepšenia pracovných podmienok, dostatočného počtu zamestnancov a účinnej správy prípadov, keďže pretrvávajúce štrukturálne nedostatky naďalej ovplyvňujú efektívnosť súdnictva; víta opatrenia na zvýšenie príťažlivosti kariéry v súdnictve; vyzýva na prijatie čiernohorského zákona o platoch a ďalších právach súvisiacich s výkonom funkcií súdov a ústavného súdu s cieľom zabezpečiť primerané, stabilné a predvídateľné platy a pracovné podmienky sudcov a prokurátorov, ktoré sú nevyhnutnou zárukou ich nezávislosti a správneho fungovania justičného systému;</w:t>
      </w:r>
    </w:p>
    <w:p w:rsidR="00FA687E" w:rsidRPr="007408BB" w:rsidP="00FA687E" w14:paraId="3746A7F6" w14:textId="72F988B5">
      <w:pPr>
        <w:pStyle w:val="NormalHanging12a"/>
      </w:pPr>
      <w:r w:rsidRPr="007408BB">
        <w:t>23</w:t>
      </w:r>
      <w:r w:rsidRPr="007408BB">
        <w:t>.</w:t>
      </w:r>
      <w:r w:rsidRPr="007408BB">
        <w:tab/>
        <w:t>konštatuje, že experti občianskej spoločnosti vyjadrili vážne obavy, pokiaľ ide o podstatu pozmeňujúcich návrhov vlády týkajúcich sa prokurátorskej rady, a to že tieto návrhy neposilňujú významným spôsobom jej nezávislosť a môžu dokonca sťažiť zabezpečenie skutočne nezávislého zloženia prokurátorskej rady; so znepokojením berie na vedomie prijatie zmien zákona o vnútorných veciach a zákona o Národnej bezpečnostnej agentúre napriek silnej kritike zo strany opozície a občianskej spoločnosti; požaduje transparentné postupy a skutočnú spoluprácu a konzultácie so všetkými zainteresovanými stranami vrátane opozície, právnych expertov a Komisie, najmä pokiaľ ide o zákony týkajúce sa procesu integrácie do EÚ;</w:t>
      </w:r>
    </w:p>
    <w:p w:rsidR="00FA687E" w:rsidRPr="007408BB" w:rsidP="00FA687E" w14:paraId="2CA6552C" w14:textId="69FE89C1">
      <w:pPr>
        <w:pStyle w:val="NormalHanging12a"/>
      </w:pPr>
      <w:r w:rsidRPr="007408BB">
        <w:t>24</w:t>
      </w:r>
      <w:r w:rsidRPr="007408BB">
        <w:t>.</w:t>
      </w:r>
      <w:r w:rsidRPr="007408BB">
        <w:tab/>
        <w:t>dôrazne odsudzuje častý politický a verejný nátlak na sudcov a prokurátorov a vyzýva príslušné inštitúcie, aby okamžite a účinne reagovali na ochranu ich nezávislosti a integrity;</w:t>
      </w:r>
    </w:p>
    <w:p w:rsidR="00FA687E" w:rsidRPr="007408BB" w:rsidP="00FA687E" w14:paraId="041E336F" w14:textId="64F790A5">
      <w:pPr>
        <w:pStyle w:val="NormalHanging12a"/>
      </w:pPr>
      <w:r w:rsidRPr="007408BB">
        <w:t>25</w:t>
      </w:r>
      <w:r w:rsidRPr="007408BB">
        <w:t>.</w:t>
      </w:r>
      <w:r w:rsidRPr="007408BB">
        <w:tab/>
        <w:t xml:space="preserve">vyzýva na ďalšie zlepšenie výsledkov vyšetrovania a trestného stíhania v prípadoch korupcie na vysokej úrovni vrátane konfiškácie majetku; naliehavo vyzýva Čiernu Horu, aby zintenzívnila proaktívne vyšetrovanie a stíhanie korupcie na vysokej úrovni </w:t>
      </w:r>
      <w:r w:rsidRPr="007408BB">
        <w:t>a aby posilnila kapacitu a výkonnosť súdnych a protikorupčných orgánov; konštatuje, že Agentúra pre prevenciu korupcie má pretrvávajúce nedostatky vo vedení, obmedzený počet zamestnancov a nedostatočnú finančnú nezávislosť, čo obmedzuje jej celkový vplyv, a vyzýva na prijatie opatrení na zabezpečenie jej úplnej prevádzkovej, finančnej a funkčnej nezávislosti v súlade s európskymi normami; vyzýva na ďalšie zosúladenie s </w:t>
      </w:r>
      <w:r w:rsidRPr="007408BB">
        <w:rPr>
          <w:i/>
        </w:rPr>
        <w:t>acquis</w:t>
      </w:r>
      <w:r w:rsidRPr="007408BB">
        <w:t xml:space="preserve"> EÚ a normami EÚ v oblasti boja proti korupcii a naliehavo vyzýva Čiernu Horu, aby riešila všetky zvyšné odporúčania v tejto oblasti;</w:t>
      </w:r>
    </w:p>
    <w:p w:rsidR="00FA687E" w:rsidRPr="007408BB" w:rsidP="00FA687E" w14:paraId="15A7D084" w14:textId="0874FA7D">
      <w:pPr>
        <w:pStyle w:val="NormalHanging12a"/>
      </w:pPr>
      <w:r w:rsidRPr="007408BB">
        <w:t>26</w:t>
      </w:r>
      <w:r w:rsidRPr="007408BB">
        <w:t>.</w:t>
      </w:r>
      <w:r w:rsidRPr="007408BB">
        <w:tab/>
        <w:t xml:space="preserve">vyzýva na komplexnú politiku integrity s cieľom chrániť orgány presadzovania práva a súdnictvo pred korupciou a organizovanou trestnou činnosťou; vyzýva na vytvorenie disciplinárnych mechanizmov a silnejších a účinnejších mechanizmov etickej zodpovednosti, najmä v prípadoch týkajúcich sa nepriznania majetku, s cieľom zabezpečiť zmysluplnú a účinnú zodpovednosť v praxi; víta pokrok dosiahnutý v oblastiach, ako je regulácia </w:t>
      </w:r>
      <w:r w:rsidRPr="007408BB">
        <w:t>lobingu</w:t>
      </w:r>
      <w:r w:rsidRPr="007408BB">
        <w:t>, ochrana oznamovateľov a transparentnosť verejného obstarávania, ktorý dokazuje, že cielené a riadne realizované reformy môžu priniesť hmatateľné výsledky;</w:t>
      </w:r>
    </w:p>
    <w:p w:rsidR="00FA687E" w:rsidRPr="007408BB" w:rsidP="00FA687E" w14:paraId="61F70B5A" w14:textId="0ABA3A25">
      <w:pPr>
        <w:pStyle w:val="NormalHanging12a"/>
      </w:pPr>
      <w:r w:rsidRPr="007408BB">
        <w:t>27</w:t>
      </w:r>
      <w:r w:rsidRPr="007408BB">
        <w:t>.</w:t>
      </w:r>
      <w:r w:rsidRPr="007408BB">
        <w:tab/>
        <w:t>naliehavo vyzýva Čiernu Horu, aby zvýšila účinnosť trestného stíhania a súdnych konaní v prípadoch závažnej a organizovanej trestnej činnosti s cieľom dosiahnuť uspokojivé výsledky v prípade právoplatných rozsudkov a konfiškácie majetku; konštatuje, že v oblasti boja proti praniu špinavých peňazí dosiahla Čierna Hora významný pokrok pri zlepšovaní svojho rámca pre boj proti praniu špinavých peňazí a financovaniu terorizmu, ako aj pri uplatňovaní sankcií EÚ;</w:t>
      </w:r>
    </w:p>
    <w:p w:rsidR="00FA687E" w:rsidRPr="007408BB" w:rsidP="00FA687E" w14:paraId="5D7B6CC3" w14:textId="255561C7">
      <w:pPr>
        <w:pStyle w:val="NormalHanging12a"/>
      </w:pPr>
      <w:r w:rsidRPr="007408BB">
        <w:t>28</w:t>
      </w:r>
      <w:r w:rsidRPr="007408BB">
        <w:t>.</w:t>
      </w:r>
      <w:r w:rsidRPr="007408BB">
        <w:tab/>
        <w:t xml:space="preserve">víta prebiehajúcu spoluprácu Čiernej Hory s agentúrami </w:t>
      </w:r>
      <w:r w:rsidRPr="007408BB">
        <w:t>Frontex</w:t>
      </w:r>
      <w:r w:rsidRPr="007408BB">
        <w:t xml:space="preserve">, </w:t>
      </w:r>
      <w:r w:rsidRPr="007408BB">
        <w:t>Europol</w:t>
      </w:r>
      <w:r w:rsidRPr="007408BB">
        <w:t xml:space="preserve">, </w:t>
      </w:r>
      <w:r w:rsidRPr="007408BB">
        <w:t>Eurojust</w:t>
      </w:r>
      <w:r w:rsidRPr="007408BB">
        <w:t xml:space="preserve"> a Agentúrou Európskej únie pre odbornú prípravu v oblasti presadzovania práva v boji proti cezhraničnej trestnej činnosti vrátane obchodovania so zbraňami, s drogami a ľuďmi, ako aj v boji proti terorizmu a extrémizmu; zdôrazňuje potrebu posilniť spoluprácu v oblasti boja proti drogám;</w:t>
      </w:r>
    </w:p>
    <w:p w:rsidR="00FA687E" w:rsidRPr="007408BB" w:rsidP="00FA687E" w14:paraId="63085259" w14:textId="5794DBF2">
      <w:pPr>
        <w:pStyle w:val="NormalHanging12a"/>
      </w:pPr>
      <w:r w:rsidRPr="007408BB">
        <w:t>29</w:t>
      </w:r>
      <w:r w:rsidRPr="007408BB">
        <w:t>.</w:t>
      </w:r>
      <w:r w:rsidRPr="007408BB">
        <w:tab/>
        <w:t>opakuje svoju výzvu Čiernej Hore, aby plne zosúladila svoju vízovú politiku s vízovou politikou EÚ, najmä pokiaľ ide o krajiny, ktoré predstavujú bezpečnostné riziká; berie na vedomie rozhodnutie čiernohorskej vlády odstrániť v roku 2025 niekoľko krajín zo zoznamu krajín oslobodených od vízovej povinnosti; pripomína, že ide o požiadavku referenčného kritéria na uzavretie kapitoly 24;</w:t>
      </w:r>
    </w:p>
    <w:p w:rsidR="00FA687E" w:rsidRPr="007408BB" w:rsidP="00FA687E" w14:paraId="514C148C" w14:textId="04C6A5CA">
      <w:pPr>
        <w:pStyle w:val="NormalHanging12a"/>
      </w:pPr>
      <w:r w:rsidRPr="007408BB">
        <w:t>30</w:t>
      </w:r>
      <w:r w:rsidRPr="007408BB">
        <w:t>.</w:t>
      </w:r>
      <w:r w:rsidRPr="007408BB">
        <w:tab/>
        <w:t>zdôrazňuje význam transparentnej a zodpovednej verejnej správy, silnejšej administratívnej kapacity a profesionálnej verejnej služby založenej na zásluhách; so znepokojením konštatuje, že pokračujúce rozsiahle prijímanie zamestnancov vo verejnej správe bez transparentných kritérií a jasného posúdenia potrieb narúša zásady prijímania pracovníkov na základe zásluh a profesionalizácie; vyzýva na ďalšiu depolitizáciu vymenúvania do vyšších štátnych funkcií, zavedenie jasných mechanizmov hodnotenia založeného na výkonnosti a kontinuitu odborných znalostí;</w:t>
      </w:r>
    </w:p>
    <w:p w:rsidR="00FA687E" w:rsidRPr="007408BB" w:rsidP="00FA687E" w14:paraId="6EBD0E22" w14:textId="77777777">
      <w:pPr>
        <w:pStyle w:val="Normal12a"/>
      </w:pPr>
      <w:r w:rsidRPr="007408BB">
        <w:rPr>
          <w:b/>
          <w:i/>
        </w:rPr>
        <w:t>Základné slobody a ľudské práva</w:t>
      </w:r>
    </w:p>
    <w:p w:rsidR="00FA687E" w:rsidRPr="007408BB" w:rsidP="00FA687E" w14:paraId="65D40EEF" w14:textId="53D2E5D0">
      <w:pPr>
        <w:pStyle w:val="NormalHanging12a"/>
      </w:pPr>
      <w:r w:rsidRPr="007408BB">
        <w:t>31</w:t>
      </w:r>
      <w:r w:rsidRPr="007408BB">
        <w:t>.</w:t>
      </w:r>
      <w:r w:rsidRPr="007408BB">
        <w:tab/>
        <w:t xml:space="preserve">vyjadruje poľutovanie nad tým, že národnostné menšiny, zraniteľné skupiny vrátane Rómov a Egypťanov, osôb so zdravotným postihnutím a LGBTIQ+ osôb sú v Čiernej Hore naďalej vystavené diskriminácii, nenávistným prejavom, najmä na internete, a zločinom z nenávisti; víta nedávne prijatie zákona o ochrane rovnosti a zákaze diskriminácie; vyzýva na posilnenie uplatňovania rovnakého zaobchádzania s etnickými komunitami, čím sa zabezpečí, aby sa všetkým etnickým, náboženským a sociálnym </w:t>
      </w:r>
      <w:r w:rsidRPr="007408BB">
        <w:t xml:space="preserve">skupinám zaručili rovnaké práva a príležitosti, ako aj plná a účinná účasť na spoločenskom, politickom a hospodárskom živote; uznáva, že ochrana práv menšín má zásadný význam pre podporu sociálnej súdržnosti a demokratickej správy vecí verejných a presadzovanie európskych hodnôt; naliehavo vyzýva Čiernu Horu, aby prijala a presadzovala komplexné právne predpisy a politiky, ktoré zabránia diskriminácii a podporia </w:t>
      </w:r>
      <w:r w:rsidRPr="007408BB">
        <w:t>inkluzívnosť</w:t>
      </w:r>
      <w:r w:rsidRPr="007408BB">
        <w:t>;</w:t>
      </w:r>
    </w:p>
    <w:p w:rsidR="00FA687E" w:rsidRPr="007408BB" w:rsidP="00FA687E" w14:paraId="134DC5E9" w14:textId="5CC73593">
      <w:pPr>
        <w:pStyle w:val="NormalHanging12a"/>
      </w:pPr>
      <w:r w:rsidRPr="007408BB">
        <w:t>32</w:t>
      </w:r>
      <w:r w:rsidRPr="007408BB">
        <w:t>.</w:t>
      </w:r>
      <w:r w:rsidRPr="007408BB">
        <w:tab/>
        <w:t>vyzýva Čiernu Horu, aby v plnej miere vykonávala zákon o registrovaných partnerstvách;</w:t>
      </w:r>
    </w:p>
    <w:p w:rsidR="00FA687E" w:rsidRPr="007408BB" w:rsidP="00FA687E" w14:paraId="29AE4261" w14:textId="615F4083">
      <w:pPr>
        <w:pStyle w:val="NormalHanging12a"/>
      </w:pPr>
      <w:r w:rsidRPr="007408BB">
        <w:t>33</w:t>
      </w:r>
      <w:r w:rsidRPr="007408BB">
        <w:t>.</w:t>
      </w:r>
      <w:r w:rsidRPr="007408BB">
        <w:tab/>
        <w:t xml:space="preserve">vyzýva Čiernu Horu, aby vykonávala stratégiu </w:t>
      </w:r>
      <w:r w:rsidRPr="007408BB">
        <w:t>deinštitucionalizácie</w:t>
      </w:r>
      <w:r w:rsidRPr="007408BB">
        <w:t xml:space="preserve"> osôb so zdravotným postihnutím, ako aj silný systém ochrany detí založený na komunitnej starostlivosti;</w:t>
      </w:r>
    </w:p>
    <w:p w:rsidR="00FA687E" w:rsidRPr="007408BB" w:rsidP="00FA687E" w14:paraId="1D3548B3" w14:textId="1E3AC1F3">
      <w:pPr>
        <w:pStyle w:val="NormalHanging12a"/>
      </w:pPr>
      <w:r w:rsidRPr="007408BB">
        <w:t>34</w:t>
      </w:r>
      <w:r w:rsidRPr="007408BB">
        <w:t>.</w:t>
      </w:r>
      <w:r w:rsidRPr="007408BB">
        <w:tab/>
        <w:t xml:space="preserve">uznáva multietnický charakter čiernohorskej spoločnosti a vyzýva na väčšie rešpektovanie všetkých jazykov, tradícií a kultúrneho dedičstva miestnych komunít a národnostných menšín; vyzýva Čiernu Horu, aby zintenzívnila úsilie o zabezpečenie nediskriminačného používania jazykov menšín vo vzdelávaní a vo vyhradenom mediálnom priestore v štátnych a miestnych médiách; vyzýva na rešpektovanie multietnickej identity </w:t>
      </w:r>
      <w:r w:rsidRPr="007408BB">
        <w:t>Kotorskej</w:t>
      </w:r>
      <w:r w:rsidRPr="007408BB">
        <w:t xml:space="preserve"> boky, najmä uznaním kultúrneho dedičstva chorvátskej komunity; vyjadruje hlboké znepokojenie nad prebiehajúcimi rozsiahlymi stavebnými prácami v lokalite UNESCO </w:t>
      </w:r>
      <w:r w:rsidRPr="007408BB">
        <w:t>Kotorská</w:t>
      </w:r>
      <w:r w:rsidRPr="007408BB">
        <w:t xml:space="preserve"> boka, ktoré majú vplyv na zachovanie dedičstva a ochranu prírodnej lokality, a vyzýva na doriešenie právnej ochrany parku </w:t>
      </w:r>
      <w:r w:rsidRPr="007408BB">
        <w:t>Miločer</w:t>
      </w:r>
      <w:r w:rsidRPr="007408BB">
        <w:t>;</w:t>
      </w:r>
    </w:p>
    <w:p w:rsidR="00FA687E" w:rsidRPr="007408BB" w:rsidP="00FA687E" w14:paraId="2032BD1E" w14:textId="4F2F5161">
      <w:pPr>
        <w:pStyle w:val="NormalHanging12a"/>
      </w:pPr>
      <w:r w:rsidRPr="007408BB">
        <w:t>35</w:t>
      </w:r>
      <w:r w:rsidRPr="007408BB">
        <w:t>.</w:t>
      </w:r>
      <w:r w:rsidRPr="007408BB">
        <w:tab/>
        <w:t xml:space="preserve">konštatuje, že diskusie o identite sa musia viesť citlivo a inkluzívne, aby sa predišlo polarizácii a dosiahol široký konsenzus v otázkach, ktoré majú zásadný význam pre nezávislosť, suverenitu a európsku cestu Čiernej Hory; opätovne vyjadruje znepokojenie nad pokusmi o zmenu zákona o čiernohorskom občianstve v parlamente Čiernej hory, ktorá má umožniť nadobudnutie dvojakého občianstva, čo by mohlo mať vážne a dlhodobé dôsledky na rozhodovací proces a identitu krajiny; nabáda orgány, aby pokračovali v konzultáciách a koordinácii s EÚ v súvislosti s akýmikoľvek prípadnými zmenami právnych predpisov s cieľom zabezpečiť ich úplný súlad s </w:t>
      </w:r>
      <w:r w:rsidRPr="007408BB">
        <w:rPr>
          <w:i/>
        </w:rPr>
        <w:t>acquis</w:t>
      </w:r>
      <w:r w:rsidRPr="007408BB">
        <w:t xml:space="preserve"> EÚ a medzinárodnými normami a dodržiavanie základných práv;</w:t>
      </w:r>
    </w:p>
    <w:p w:rsidR="00FA687E" w:rsidRPr="007408BB" w:rsidP="00FA687E" w14:paraId="558DE351" w14:textId="6551E8BA">
      <w:pPr>
        <w:pStyle w:val="NormalHanging12a"/>
      </w:pPr>
      <w:r w:rsidRPr="007408BB">
        <w:t>36</w:t>
      </w:r>
      <w:r w:rsidRPr="007408BB">
        <w:t>.</w:t>
      </w:r>
      <w:r w:rsidRPr="007408BB">
        <w:tab/>
        <w:t>dôrazne odsudzuje všetky nenávistné prejavy, a to aj na internete, a trestné činy z nenávisti; víta nárast počtu stíhaní rasizmu a nenávistných prejavov, vyjadruje však znepokojenie nad nedostatočnými opatreniami proti prejavom, verejným vyhláseniam alebo symbolickým činom, ktoré glorifikujú vojnových zločincov alebo revidujú historické fakty; vyzýva Čiernu Horu, aby zintenzívnila inštitucionálnu reakciu na nenávistné prejavy, zabezpečila účinné vyšetrovanie a stíhanie a dosiahla úplný súlad s </w:t>
      </w:r>
      <w:r w:rsidRPr="007408BB">
        <w:rPr>
          <w:i/>
        </w:rPr>
        <w:t>acquis</w:t>
      </w:r>
      <w:r w:rsidRPr="007408BB">
        <w:t xml:space="preserve"> EÚ;</w:t>
      </w:r>
    </w:p>
    <w:p w:rsidR="00FA687E" w:rsidRPr="007408BB" w:rsidP="00FA687E" w14:paraId="3F5675D7" w14:textId="125A1664">
      <w:pPr>
        <w:pStyle w:val="NormalHanging12a"/>
      </w:pPr>
      <w:r w:rsidRPr="007408BB">
        <w:t>37</w:t>
      </w:r>
      <w:r w:rsidRPr="007408BB">
        <w:t>.</w:t>
      </w:r>
      <w:r w:rsidRPr="007408BB">
        <w:tab/>
        <w:t>naliehavo vyzýva Čiernu Horu, aby zabezpečila účinné uplatňovanie svojich rámcov v oblasti základných práv vrátane prístupu k spravodlivosti a ochrany zraniteľných osôb a aby vykonala všetky odporúčania medzinárodných kontrolných orgánov;</w:t>
      </w:r>
    </w:p>
    <w:p w:rsidR="00FA687E" w:rsidRPr="007408BB" w:rsidP="00FA687E" w14:paraId="72F383A8" w14:textId="2519C69B">
      <w:pPr>
        <w:pStyle w:val="NormalHanging12a"/>
      </w:pPr>
      <w:r w:rsidRPr="007408BB">
        <w:t>38</w:t>
      </w:r>
      <w:r w:rsidRPr="007408BB">
        <w:t>.</w:t>
      </w:r>
      <w:r w:rsidRPr="007408BB">
        <w:tab/>
        <w:t xml:space="preserve">zdôrazňuje, že treba riešiť diskrimináciu žien, najmä žien patriacich k menšinovým skupinám; vyjadruje znepokojenie nad detskými manželstvami, ktoré neúmerne postihujú dievčatá z rómskych a egyptských komunít v Čiernej Hore; vyjadruje poľutovanie nad rozšírenosťou rodovo motivovaného násilia a postojov obviňujúcich obeť, ako aj rodovo motivovaných nenávistných prejavov a dezinformácií, a to aj na internete, najmä voči ženám vo verejnom a politickom živote; naliehavo vyzýva Čiernu </w:t>
      </w:r>
      <w:r w:rsidRPr="007408BB">
        <w:t>Horu, aby pre rámec rodovej rovnosti zabezpečila primerané financovanie, zdroje, koordináciu a presadzovanie; vyzýva príslušné orgány, aby boli obozretnejšie a zaviedli systémy podpory pre obete rodovo motivovaného a domáceho násilia; vyzýva na zlepšenie zberu údajov o domácom a rodovo motivovanom násilí, príjmoch a platoch, zdravotnej starostlivosti a sociálnom zabezpečení; vyzýva čiernohorské orgány, aby zabezpečili zvýšenie politickej účasti žien;</w:t>
      </w:r>
    </w:p>
    <w:p w:rsidR="00FA687E" w:rsidRPr="007408BB" w:rsidP="00FA687E" w14:paraId="030EB9F9" w14:textId="68E4FEB3">
      <w:pPr>
        <w:pStyle w:val="NormalHanging12a"/>
      </w:pPr>
      <w:r w:rsidRPr="007408BB">
        <w:t>39</w:t>
      </w:r>
      <w:r w:rsidRPr="007408BB">
        <w:t>.</w:t>
      </w:r>
      <w:r w:rsidRPr="007408BB">
        <w:tab/>
        <w:t xml:space="preserve">berie na vedomie politiku nulovej tolerancie Čiernej Hory voči násiliu páchanom na novinároch a odsudzuje zastrašovanie a všetky prípady silných verbálnych útokov verejných predstaviteľov a politických strán proti zástupcom médií a občianskej spoločnosti, a to najmä proti ženám pracujúcim v médiách a obhajcom ľudských práv; vyjadruje znepokojenie nad využívaním neformálnych predvolaní a vyšetrovacích výsluchov voči novinárom, publicistom a aktérom občianskej spoločnosti za ich kritiku verejných činiteľov; vyzýva na rýchle a účinné presadzovanie práva a na účinnú súdnu ochranu, pričom sa treba prednostne zamerať na vedenie vyšetrovania a úplné a účinné ďalšie kroky v nevyriešených prípadoch, ako je vražda </w:t>
      </w:r>
      <w:r w:rsidRPr="007408BB">
        <w:t>Duška</w:t>
      </w:r>
      <w:r w:rsidRPr="007408BB">
        <w:t xml:space="preserve"> </w:t>
      </w:r>
      <w:r w:rsidRPr="007408BB">
        <w:t>Jovanovića</w:t>
      </w:r>
      <w:r w:rsidRPr="007408BB">
        <w:t>, ako aj odrádzajúce sankcie; konštatuje, že v čiernohorskom právnom systéme chýba konkrétne vymedzenie alebo zrýchlený postup na identifikáciu a zamietnutie strategických žalôb proti účasti verejnosti, a vyzýva na zavedenie takýchto mechanizmov;</w:t>
      </w:r>
    </w:p>
    <w:p w:rsidR="00FA687E" w:rsidRPr="007408BB" w:rsidP="00FA687E" w14:paraId="67013556" w14:textId="340C036D">
      <w:pPr>
        <w:pStyle w:val="NormalHanging12a"/>
      </w:pPr>
      <w:r w:rsidRPr="007408BB">
        <w:t>40</w:t>
      </w:r>
      <w:r w:rsidRPr="007408BB">
        <w:t>.</w:t>
      </w:r>
      <w:r w:rsidRPr="007408BB">
        <w:tab/>
        <w:t>zdôrazňuje kľúčovú úlohu slobodných a pluralitných médií ako základného piliera demokratickej spoločnosti; pripomína, že zabezpečenie nezávislosti verejnoprávneho vysielateľa a regulačného orgánu médií zostáva referenčným kritériom na uzavretie kapitoly 23; zdôrazňuje, že je dôležité zabezpečiť úplnú transparentnosť vlastníctva a financovania médií, a to aj v prípade online médií; víta nedávne menovanie členov Rady Agentúry pre audiovizuálne mediálne služby a zdôrazňuje, že táto agentúra musí byť schopná pôsobiť nezávisle a bez politických vplyvov; vyjadruje znepokojenie nad pretrvávajúcim politickým vplyvom na verejnoprávneho vysielateľa a vyzýva orgány, aby rešpektovali súdne konania, obnovili zákonnosť a zaručili inštitucionálnu a redakčnú nezávislosť vysielateľa; vyzýva Čiernu Horu, aby zosúladila svoje právne predpisy v oblasti médií s európskym aktom o slobode médií</w:t>
      </w:r>
      <w:r>
        <w:rPr>
          <w:rStyle w:val="FootnoteReference"/>
        </w:rPr>
        <w:footnoteReference w:id="5"/>
      </w:r>
      <w:r w:rsidRPr="007408BB">
        <w:t xml:space="preserve"> a zvýšila odolnosť voči zahraničnému vplyvu a dezinformáciám; vyzýva na úplnú transparentnosť vlastníckych štruktúr médií a zahraničných zdrojov financovania, najmä ak sú spojené s politickými aktérmi alebo záujmami cudzích štátov, s cieľom zabrániť skrytému zahraničnému vplyvu na verejnú diskusiu v Čiernej Hore;</w:t>
      </w:r>
    </w:p>
    <w:p w:rsidR="00FA687E" w:rsidRPr="007408BB" w:rsidP="00FA687E" w14:paraId="346800B5" w14:textId="75366713">
      <w:pPr>
        <w:pStyle w:val="NormalHanging12a"/>
      </w:pPr>
      <w:r w:rsidRPr="007408BB">
        <w:t>41</w:t>
      </w:r>
      <w:r w:rsidRPr="007408BB">
        <w:t>.</w:t>
      </w:r>
      <w:r w:rsidRPr="007408BB">
        <w:tab/>
        <w:t xml:space="preserve">víta dynamickú a konštruktívnu občiansku spoločnosť Čiernej Hory, ktorá zohráva kľúčovú a pozitívnu úlohu v reformnom procese; vyzýva na zmysluplné zapojenie občianskej spoločnosti do tvorby politík, a to aj prostredníctvom zabezpečenia systematickejšej spolupráce a včasného prístupu k relevantným informáciám; naliehavo vyzýva orgány, aby zabezpečili, že pri tvorbe právnych predpisov súvisiacich s pristúpením k EÚ sa nebudú obchádzať požiadavky na verejné konzultácie a zavedené normy </w:t>
      </w:r>
      <w:r w:rsidRPr="007408BB">
        <w:t>participatívneho</w:t>
      </w:r>
      <w:r w:rsidRPr="007408BB">
        <w:t xml:space="preserve"> riadenia; vyzýva, aby sa po dlhej prestávke obnovila práca Rady pre spoluprácu medzi vládou a mimovládnymi organizáciami s cieľom budovať vzťahy a skutočne zapájať občiansku spoločnosť do transparentného legislatívneho procesu od jeho počiatočnej fázy;</w:t>
      </w:r>
    </w:p>
    <w:p w:rsidR="00FA687E" w:rsidRPr="007408BB" w:rsidP="00FA687E" w14:paraId="14EFEFC8" w14:textId="431D4920">
      <w:pPr>
        <w:pStyle w:val="NormalHanging12a"/>
      </w:pPr>
      <w:r w:rsidRPr="007408BB">
        <w:t>42</w:t>
      </w:r>
      <w:r w:rsidRPr="007408BB">
        <w:t>.</w:t>
      </w:r>
      <w:r w:rsidRPr="007408BB">
        <w:tab/>
        <w:t>naliehavo vyzýva Čiernu Horu, aby v plnej miere plnila všetky odporúčania Európskeho výboru na zabránenie mučeniu a neľudskému alebo ponižujúcemu zaobchádzaniu alebo trestaniu; so znepokojením berie na vedomie rastúci počet sťažností týkajúcich sa mučenia a výpovedí pod nátlakom, hromadenie nevyriešených prípadov a obmedzené využívanie záruk, ako je audiovizuálny záznam výsluchov; vyjadruje poľutovanie nad nedôslednými konaniami o pozastavení výkonu funkcie a disciplinárnymi konaniami, ako aj nad miernymi sankciami v prípadoch zlého zaobchádzania zo strany polície a vyzýva na rýchle, účinné a nestranné vyšetrovanie;</w:t>
      </w:r>
    </w:p>
    <w:p w:rsidR="00FA687E" w:rsidRPr="007408BB" w:rsidP="00FA687E" w14:paraId="53CE7ED5" w14:textId="77777777">
      <w:pPr>
        <w:pStyle w:val="Normal12a"/>
      </w:pPr>
      <w:r w:rsidRPr="007408BB">
        <w:rPr>
          <w:b/>
          <w:i/>
        </w:rPr>
        <w:t xml:space="preserve">Zmierenie a dobré susedské vzťahy </w:t>
      </w:r>
    </w:p>
    <w:p w:rsidR="00FA687E" w:rsidRPr="007408BB" w:rsidP="00FA687E" w14:paraId="33E48D8B" w14:textId="558B28F7">
      <w:pPr>
        <w:pStyle w:val="NormalHanging12a"/>
      </w:pPr>
      <w:r w:rsidRPr="007408BB">
        <w:t>43</w:t>
      </w:r>
      <w:r w:rsidRPr="007408BB">
        <w:t>.</w:t>
      </w:r>
      <w:r w:rsidRPr="007408BB">
        <w:tab/>
        <w:t xml:space="preserve">víta, že Čierna Hora usporiada 5. júna 2026 v </w:t>
      </w:r>
      <w:r w:rsidRPr="007408BB">
        <w:t>Tivate</w:t>
      </w:r>
      <w:r w:rsidRPr="007408BB">
        <w:t xml:space="preserve"> samit EÚ – západný Balkán, ktorý predstavuje dôležitú platformu na posilnenie regionálnej spolupráce, napredovanie procesu pristúpenia, prehĺbenie hospodárskej integrácie a riešenie spoločných výziev;</w:t>
      </w:r>
    </w:p>
    <w:p w:rsidR="00FA687E" w:rsidRPr="007408BB" w:rsidP="00FA687E" w14:paraId="6216D101" w14:textId="56AF6B7D">
      <w:pPr>
        <w:pStyle w:val="NormalHanging12a"/>
      </w:pPr>
      <w:r w:rsidRPr="007408BB">
        <w:t>44</w:t>
      </w:r>
      <w:r w:rsidRPr="007408BB">
        <w:t>.</w:t>
      </w:r>
      <w:r w:rsidRPr="007408BB">
        <w:tab/>
        <w:t>zdôrazňuje kľúčovú úlohu dobrých susedských vzťahov a regionálnej spolupráce v procese rozširovania; pripomína, že dobré susedské vzťahy sú jedným z kľúčových kritérií pri hodnotení pokroku v prístupovom procese Čiernej Hory v súlade s rokovacím rámcom EÚ; vyzýva na konštruktívne riešenia zvyšných dvojstranných otázok v duchu vzájomného rešpektu, pričom prioritou sú záujmy občanov; pripomína, že by sa malo zabrániť využívaniu nevyriešených dvojstranných a regionálnych sporov na blokovanie prístupového procesu kandidátskych krajín; víta bilaterálne konzultácie medzi Chorvátskom a Čiernou Horou ako konštruktívny mechanizmus na riešenie otvorených otázok a posilňovanie dôvery;</w:t>
      </w:r>
    </w:p>
    <w:p w:rsidR="00FA687E" w:rsidRPr="007408BB" w:rsidP="00FA687E" w14:paraId="205D0675" w14:textId="22BB797F">
      <w:pPr>
        <w:pStyle w:val="NormalHanging12a"/>
      </w:pPr>
      <w:r w:rsidRPr="007408BB">
        <w:t>45</w:t>
      </w:r>
      <w:r w:rsidRPr="007408BB">
        <w:t>.</w:t>
      </w:r>
      <w:r w:rsidRPr="007408BB">
        <w:tab/>
        <w:t>chváli Čiernu Horu za jej dôsledný pokrok v oblasti vnútroštátneho riešenia prípadov vojnových zločinov; konštatuje však, že od júna 2024 úrad špeciálneho prokurátora nezačal žiadne nové vyšetrovanie ani nepodal žiadnu obžalobu v prípadoch vojnových zločinov a že nenastal žiadny pokrok v súvislosti so zodpovednosťou velenia; zdôrazňuje potrebu zintenzívniť úsilie a pokračovať v budovaní dôveryhodných a trvalých výsledkov účinného vyšetrovania, stíhania a súdnych konaní v prípadoch vojnových zločinov, vrátane prípadov na vysokej úrovni, v súlade s medzinárodným právom a normami; v tejto súvislosti zdôrazňuje význam prístupu k archívom;</w:t>
      </w:r>
    </w:p>
    <w:p w:rsidR="00FA687E" w:rsidRPr="007408BB" w:rsidP="00FA687E" w14:paraId="2BCD69FB" w14:textId="0D30C3DF">
      <w:pPr>
        <w:pStyle w:val="NormalHanging12a"/>
      </w:pPr>
      <w:r w:rsidRPr="007408BB">
        <w:t>46</w:t>
      </w:r>
      <w:r w:rsidRPr="007408BB">
        <w:t>.</w:t>
      </w:r>
      <w:r w:rsidRPr="007408BB">
        <w:tab/>
        <w:t>nabáda Čiernu Horu, aby naďalej aktívne pristupovala k zabezpečeniu prístupu k spravodlivosti a účinnému odškodneniu obetí, a to aj ich inštitucionálnej podpore, vrátane zabezpečenia primeraného a spravodlivého odškodnenia pre všetky osoby, ktoré boli v 90. rokoch 20. storočia vojnovými zajatcami v táboroch v Čiernej Hore; víta regionálnu spoluprácu v týchto otázkach a vyzýva na plnú spoluprácu v regióne a s členskými štátmi EÚ vrátane výmeny dôkazov a objasnenia osudu nezvestných osôb; víta zatknutie osoby v Čiernej Hore na základe žiadosti Chorvátska, ktorá bola v neprítomnosti odsúdená za vojnové zločiny spáchané na vojnových zajatcoch, a oceňuje spoluprácu medzi príslušnými orgánmi oboch krajín na tomto prípade;</w:t>
      </w:r>
    </w:p>
    <w:p w:rsidR="00FA687E" w:rsidRPr="007408BB" w:rsidP="00FA687E" w14:paraId="026793DC" w14:textId="22D70779">
      <w:pPr>
        <w:pStyle w:val="NormalHanging12a"/>
      </w:pPr>
      <w:r w:rsidRPr="007408BB">
        <w:t>47</w:t>
      </w:r>
      <w:r w:rsidRPr="007408BB">
        <w:t>.</w:t>
      </w:r>
      <w:r w:rsidRPr="007408BB">
        <w:tab/>
        <w:t>opätovne vyjadruje znepokojenie nad prejavmi politického revizionizmu zo strany niektorých politických aktérov, ktoré oslabujú zodpovednosť a prehlbujú rozdelenie spoločnosti; dôrazne odsudzuje akúkoľvek glorifikáciu vojnových zločincov a verejné popieranie vojnových zločinov;</w:t>
      </w:r>
    </w:p>
    <w:p w:rsidR="00FA687E" w:rsidRPr="007408BB" w:rsidP="00FA687E" w14:paraId="5AA011F2" w14:textId="2E466F0C">
      <w:pPr>
        <w:pStyle w:val="NormalHanging12a"/>
      </w:pPr>
      <w:r w:rsidRPr="007408BB">
        <w:t>48</w:t>
      </w:r>
      <w:r w:rsidRPr="007408BB">
        <w:t>.</w:t>
      </w:r>
      <w:r w:rsidRPr="007408BB">
        <w:tab/>
        <w:t>vyjadruje znepokojenie nad politickými koncepciami a </w:t>
      </w:r>
      <w:r w:rsidRPr="007408BB">
        <w:t>naratívmi</w:t>
      </w:r>
      <w:r w:rsidRPr="007408BB">
        <w:t xml:space="preserve"> v regióne, pomocou ktorých sa presadzuje cezhraničné zjednotenie alebo koordinácia na základe etnickej identity vrátane tzv. srbského sveta a ktoré spochybňujú suverenitu a územnú celistvosť </w:t>
      </w:r>
      <w:r w:rsidRPr="007408BB">
        <w:t xml:space="preserve">susedných štátov; vyzýva všetkých regionálnych aktérov, aby rešpektovali nezávislosť Čiernej Hory a nezasahovali do jej vnútorných záležitostí; zdôrazňuje, že takéto </w:t>
      </w:r>
      <w:r w:rsidRPr="007408BB">
        <w:t>naratívy</w:t>
      </w:r>
      <w:r w:rsidRPr="007408BB">
        <w:t xml:space="preserve"> sú nezlučiteľné so zásadami dobrých susedských vzťahov a s procesom pristúpenia k EÚ; zdôrazňuje, že budúcnosť západného Balkánu spočíva v integrácii do EÚ, a nie v súperiacich geopolitických sférach vplyvu;</w:t>
      </w:r>
    </w:p>
    <w:p w:rsidR="00FA687E" w:rsidRPr="007408BB" w:rsidP="00FA687E" w14:paraId="49DD6581" w14:textId="5F1EDAC7">
      <w:pPr>
        <w:pStyle w:val="NormalHanging12a"/>
      </w:pPr>
      <w:r w:rsidRPr="007408BB">
        <w:t>49</w:t>
      </w:r>
      <w:r w:rsidRPr="007408BB">
        <w:t>.</w:t>
      </w:r>
      <w:r w:rsidRPr="007408BB">
        <w:tab/>
        <w:t>opakuje svoju výzvu na otvorenie archívov, ktoré sa týkajú bývalej Juhoslávie, a na sprístupnenie spisov tajnej služby bývalej Juhoslávie a kontrarozviedky Juhoslovanskej ľudovej armády, aby sa mohli podrobne preskúmať a prešetriť zločiny z komunistických čias;</w:t>
      </w:r>
    </w:p>
    <w:p w:rsidR="00FA687E" w:rsidRPr="007408BB" w:rsidP="00FA687E" w14:paraId="4D8BE89E" w14:textId="3DBBDFB5">
      <w:pPr>
        <w:pStyle w:val="NormalHanging12a"/>
      </w:pPr>
      <w:r w:rsidRPr="007408BB">
        <w:t>50</w:t>
      </w:r>
      <w:r w:rsidRPr="007408BB">
        <w:t>.</w:t>
      </w:r>
      <w:r w:rsidRPr="007408BB">
        <w:tab/>
        <w:t>vyzýva na vyriešenie zostávajúcich otázok týkajúcich sa nehnuteľností; zdôrazňuje, že vyriešenie zostávajúcich otázok týkajúcich sa vlastníckych práv vrátane reštitúcií má zásadný význam pre splnenie povinností Čiernej Hory podľa kapitoly 23 a zostáva kľúčovým kritériom pre ukončenie rokovaní v oblasti základných práv;</w:t>
      </w:r>
    </w:p>
    <w:p w:rsidR="00FA687E" w:rsidRPr="007408BB" w:rsidP="00FA687E" w14:paraId="0B67DEAD" w14:textId="77777777">
      <w:pPr>
        <w:pStyle w:val="Normal12a"/>
      </w:pPr>
      <w:r w:rsidRPr="007408BB">
        <w:rPr>
          <w:b/>
          <w:i/>
        </w:rPr>
        <w:t>Sociálno-ekonomické reformy</w:t>
      </w:r>
    </w:p>
    <w:p w:rsidR="00FA687E" w:rsidRPr="007408BB" w:rsidP="00FA687E" w14:paraId="2AD64E31" w14:textId="6B81ED4E">
      <w:pPr>
        <w:pStyle w:val="NormalHanging12a"/>
      </w:pPr>
      <w:r w:rsidRPr="007408BB">
        <w:t>51</w:t>
      </w:r>
      <w:r w:rsidRPr="007408BB">
        <w:t>.</w:t>
      </w:r>
      <w:r w:rsidRPr="007408BB">
        <w:tab/>
        <w:t>víta zapojenie Čiernej Hory do plánu rastu EÚ pre západný Balkán; oceňuje jej pokrok vo vykonávaní reformného programu, na ktorý bolo vyplatených 18 miliónov EUR, a vyzýva na jeho ďalšie vykonávanie; zdôrazňuje význam merateľných a trvalých výsledkov pri vykonávaní reforiem, najmä v oblasti právneho štátu a riadenia verejných financií;</w:t>
      </w:r>
    </w:p>
    <w:p w:rsidR="00FA687E" w:rsidRPr="007408BB" w:rsidP="00FA687E" w14:paraId="7A82823E" w14:textId="7279BF45">
      <w:pPr>
        <w:pStyle w:val="NormalHanging12a"/>
      </w:pPr>
      <w:r w:rsidRPr="007408BB">
        <w:t>52</w:t>
      </w:r>
      <w:r w:rsidRPr="007408BB">
        <w:t>.</w:t>
      </w:r>
      <w:r w:rsidRPr="007408BB">
        <w:tab/>
        <w:t>ďalej nabáda Čiernu Horu, aby v plnej miere a účinne využila všetky finančné prostriedky EÚ, ktoré jej boli poskytnuté, okrem iného zlepšením správnej kapacity, urýchlením programovania a uzatvárania zmlúv a zlepšením koordinácie; zdôrazňuje význam rozsiahleho a zmysluplného zapojenia zainteresovaných strán vrátane miestnych orgánov, záujmových združení, sociálnych partnerov a občianskej spoločnosti do všetkých fáz, a to aj do koncipovania reformných opatrení, realizácie projektov a monitorovania výsledkov; pripomína podmienenosť finančnej podpory EÚ, podľa ktorej financovanie závisí od dosiahnutia hmatateľného pokroku v reformách a dodržiavania zásad právneho štátu;</w:t>
      </w:r>
    </w:p>
    <w:p w:rsidR="00FA687E" w:rsidRPr="007408BB" w:rsidP="00FA687E" w14:paraId="7BCB798F" w14:textId="43ABB6AC">
      <w:pPr>
        <w:pStyle w:val="NormalHanging12a"/>
      </w:pPr>
      <w:r w:rsidRPr="007408BB">
        <w:t>53</w:t>
      </w:r>
      <w:r w:rsidRPr="007408BB">
        <w:t>.</w:t>
      </w:r>
      <w:r w:rsidRPr="007408BB">
        <w:tab/>
        <w:t>víta operatívne zapojenie Čiernej Hory do jednotnej oblasti platieb v eurách (SEPA), čo je zásadný krok smerom k hlbšej finančnej integrácii s EÚ a nižším transakčným nákladom pre občanov a podniky; berie na vedomie prvé zistenia, podľa ktorých sa od spustenia SEPA v októbri 2025 dosiahli výrazné úspory transakčných nákladov;</w:t>
      </w:r>
    </w:p>
    <w:p w:rsidR="00FA687E" w:rsidRPr="007408BB" w:rsidP="00FA687E" w14:paraId="480358A9" w14:textId="454B847A">
      <w:pPr>
        <w:pStyle w:val="NormalHanging12a"/>
      </w:pPr>
      <w:r w:rsidRPr="007408BB">
        <w:t>54</w:t>
      </w:r>
      <w:r w:rsidRPr="007408BB">
        <w:t>.</w:t>
      </w:r>
      <w:r w:rsidRPr="007408BB">
        <w:tab/>
        <w:t xml:space="preserve">víta návrh Komisie začať rokovania s partnermi zo západného Balkánu vrátane Čiernej Hory o rozšírení režimu EÚ „roaming za vnútroštátne ceny“, ktorý by občanom a podnikom umožnil využívať bezproblémové mobilné pripojenie za domáce ceny v celej EÚ a na západnom Balkáne, čím by sa posilnili medziľudské kontakty, upevnili hospodárske väzby, podporili vzdelávacie výmeny a uľahčil cestovný ruch; zdôrazňuje, že táto iniciatíva predstavuje konkrétny krok smerom k hlbšej predvstupovej integrácii, podporuje cezhraničné sociálne a hospodárske väzby a prináša občanom hmatateľné výhody vo veľkom predstihu pred plnohodnotným členstvom v EÚ; </w:t>
      </w:r>
      <w:r w:rsidRPr="007408BB" w:rsidR="00D0649B">
        <w:t xml:space="preserve">víta poverenie Rady na začatie rokovaní o rozšírení režimu „roaming za vnútroštátne ceny“ na partnerov zo západného Balkánu a vyzýva na </w:t>
      </w:r>
      <w:r w:rsidRPr="007408BB">
        <w:t xml:space="preserve">včasné uzavretie dvojstranných dohôd s </w:t>
      </w:r>
      <w:r w:rsidRPr="007408BB" w:rsidR="00D0649B">
        <w:t xml:space="preserve">týmito </w:t>
      </w:r>
      <w:r w:rsidRPr="007408BB">
        <w:t>partnermi;</w:t>
      </w:r>
    </w:p>
    <w:p w:rsidR="00FA687E" w:rsidRPr="007408BB" w:rsidP="00FA687E" w14:paraId="436D3305" w14:textId="7D2613E8">
      <w:pPr>
        <w:pStyle w:val="NormalHanging12a"/>
      </w:pPr>
      <w:r w:rsidRPr="007408BB">
        <w:t>55</w:t>
      </w:r>
      <w:r w:rsidRPr="007408BB">
        <w:t>.</w:t>
      </w:r>
      <w:r w:rsidRPr="007408BB">
        <w:tab/>
        <w:t>berie na vedomie hospodársky rast Čiernej Hory a naliehavo ju vyzýva, aby pokračovala vo fiškálnej disciplíne, štrukturálnych reformách, zlepšovaní správy vecí verejných a opatreniach na podporu konkurencieschopnosti, rastu súkromného sektora, zahraničných investícií a sociálneho a hospodárskeho rozvoja; vyzýva Čiernu Horu, aby zosúladila colnú, sociálnu a daňovú politiku s normami EÚ vrátane transparentnosti a účinnej výmeny daňových informácií s cieľom dosiahnuť pokrok v prípade kapitoly 16; vyzýva Čiernu Horu, aby sa zosúladila s rámcom EÚ na preverovanie priamych zahraničných investícií, najmä v strategických odvetviach, ako sú energetika, telekomunikácie, kritická infraštruktúra a médiá, s cieľom zabrániť strategickým závislostiam a chrániť kritickú infraštruktúru a kľúčové hospodárske odvetvia; víta prvú konferenciu o investíciách medzi EÚ a Čiernou Horou ako jasný signál prehlbovania hospodárskych vzťahov;</w:t>
      </w:r>
    </w:p>
    <w:p w:rsidR="00FA687E" w:rsidRPr="007408BB" w:rsidP="00FA687E" w14:paraId="4F4B28AC" w14:textId="38D6B872">
      <w:pPr>
        <w:pStyle w:val="NormalHanging12a"/>
      </w:pPr>
      <w:r w:rsidRPr="007408BB">
        <w:t>56</w:t>
      </w:r>
      <w:r w:rsidRPr="007408BB">
        <w:t>.</w:t>
      </w:r>
      <w:r w:rsidRPr="007408BB">
        <w:tab/>
        <w:t>vyzýva Čiernu Horu, aby posilnila digitalizáciu verejných služieb a zlepšila odborné vzdelávanie spojené s podnikaním; zdôrazňuje, že je potrebné zabezpečiť ochranu osobných a citlivých údajov občanov vo všetkých digitálnych systémoch; víta výzvy, aby sa všetky krajiny západného Balkánu pred členstvom v EÚ integrovali do jednotného digitálneho trhu EÚ;</w:t>
      </w:r>
    </w:p>
    <w:p w:rsidR="00FA687E" w:rsidRPr="007408BB" w:rsidP="00FA687E" w14:paraId="116430DE" w14:textId="206ECF59">
      <w:pPr>
        <w:pStyle w:val="NormalHanging12a"/>
      </w:pPr>
      <w:r w:rsidRPr="007408BB">
        <w:t>57</w:t>
      </w:r>
      <w:r w:rsidRPr="007408BB">
        <w:t>.</w:t>
      </w:r>
      <w:r w:rsidRPr="007408BB">
        <w:tab/>
        <w:t>naliehavo vyzýva Čiernu Horu, aby zintenzívnila boj proti korupcii pri zadávaní verejných zákaziek posilnením právneho rámca a zlepšením odhaľovania nezrovnalostí, a vyzýva ju, aby zaistila, že všetky medzivládne dohody budú v plnom súlade s pravidlami a zásadami EÚ;</w:t>
      </w:r>
    </w:p>
    <w:p w:rsidR="00FA687E" w:rsidRPr="007408BB" w:rsidP="00FA687E" w14:paraId="4BB37B15" w14:textId="77777777">
      <w:pPr>
        <w:pStyle w:val="Normal12a"/>
      </w:pPr>
      <w:r w:rsidRPr="007408BB">
        <w:rPr>
          <w:b/>
          <w:i/>
        </w:rPr>
        <w:t>Energetika, životné prostredie a prepojenosť</w:t>
      </w:r>
    </w:p>
    <w:p w:rsidR="00FA687E" w:rsidRPr="007408BB" w:rsidP="00FA687E" w14:paraId="3F85A494" w14:textId="56154C51">
      <w:pPr>
        <w:pStyle w:val="NormalHanging12a"/>
      </w:pPr>
      <w:r w:rsidRPr="007408BB">
        <w:t>58</w:t>
      </w:r>
      <w:r w:rsidRPr="007408BB">
        <w:t>.</w:t>
      </w:r>
      <w:r w:rsidRPr="007408BB">
        <w:tab/>
        <w:t>naliehavo vyzýva Čiernu Horu, aby zintenzívnila úsilie o udržateľnú a zelenú transformáciu a aby konečne prijala a vykonala svoj národný plán v oblasti energetiky a klímy; zdôrazňuje význam energetickej bezpečnosti, diverzifikácie dodávok, zmenšenia strategickej závislosti od zahraničných aktérov a úplnej integrácie v rámci regionálneho a európskeho trhu s energiou; vyzýva na dosiahnutie úplného súladu s integračným balíčkom v oblasti elektrickej energie a na posilnenie opatrení v oblasti energetickej účinnosti; vyzýva na zosúladenie s normami EÚ v oblasti bezpečnosti dodávok a s transparentnými postupmi verejného obstarávania;</w:t>
      </w:r>
    </w:p>
    <w:p w:rsidR="00FA687E" w:rsidRPr="007408BB" w:rsidP="00FA687E" w14:paraId="05079457" w14:textId="0A1DA81B">
      <w:pPr>
        <w:pStyle w:val="NormalHanging12a"/>
      </w:pPr>
      <w:r w:rsidRPr="007408BB">
        <w:t>59</w:t>
      </w:r>
      <w:r w:rsidRPr="007408BB">
        <w:t>.</w:t>
      </w:r>
      <w:r w:rsidRPr="007408BB">
        <w:tab/>
        <w:t>vyzýva Čiernu Horu, aby zvýšila úsilie o splnenie referenčných kritérií na uzavretie kapitoly 27 a urýchlila zosúladenie s </w:t>
      </w:r>
      <w:r w:rsidRPr="007408BB">
        <w:rPr>
          <w:i/>
        </w:rPr>
        <w:t>acquis</w:t>
      </w:r>
      <w:r w:rsidRPr="007408BB">
        <w:t xml:space="preserve"> EÚ v oblasti životného prostredia a jeho účinné vykonávanie vo všetkých príslušných odvetviach, a to aj v oblasti kvality ovzdušia, vody, ochrany prírody, odpadového hospodárstva, priemyselného znečistenia a zmeny klímy, a aby prijala stratégie a akčné plány v oblasti kvality ovzdušia a ochrany prírody a miestne plány odpadového hospodárstva; víta skutočnosť, že Čierna Hora sa pripojila k programu EU LIFE; vyzýva všetky strany, aby dosiahli dohodu o čističke odpadových vôd v obci </w:t>
      </w:r>
      <w:r w:rsidRPr="007408BB">
        <w:t>Zeta</w:t>
      </w:r>
      <w:r w:rsidRPr="007408BB">
        <w:t xml:space="preserve"> spôsobom, ktorý zohľadní potrebu vybudovať čističku a bude sa zaoberať obavami miestnych obyvateľov;</w:t>
      </w:r>
    </w:p>
    <w:p w:rsidR="00FA687E" w:rsidRPr="007408BB" w:rsidP="00FA687E" w14:paraId="0ED28787" w14:textId="2EC6BDC5">
      <w:pPr>
        <w:pStyle w:val="NormalHanging12a"/>
      </w:pPr>
      <w:r w:rsidRPr="007408BB">
        <w:t>60</w:t>
      </w:r>
      <w:r w:rsidRPr="007408BB">
        <w:t>.</w:t>
      </w:r>
      <w:r w:rsidRPr="007408BB">
        <w:tab/>
        <w:t xml:space="preserve">vyzýva Čiernu Horu, aby chránila oblasti s vysokou biologickou rozmanitosťou vrátane lokalít sústavy </w:t>
      </w:r>
      <w:r w:rsidRPr="007408BB">
        <w:t>Emerald</w:t>
      </w:r>
      <w:r w:rsidRPr="007408BB">
        <w:t xml:space="preserve"> a lokalít s budúcim označením Natura 2000 a zabezpečila ich právnu ochranu a zosúladenie s príslušnými smernicami EÚ; vyzýva Čiernu Horu, aby výrazne urýchlila vytvorenie a realizáciu sústavy Natura 2000 v plnom súlade s </w:t>
      </w:r>
      <w:r w:rsidRPr="007408BB">
        <w:rPr>
          <w:i/>
        </w:rPr>
        <w:t>acquis</w:t>
      </w:r>
      <w:r w:rsidRPr="007408BB">
        <w:t xml:space="preserve"> EÚ a aby zabezpečila, že identifikácia, označovanie a správa chránených lokalít budú vychádzať z vedeckých kritérií a transparentných procesov verejných konzultácií; </w:t>
      </w:r>
      <w:r w:rsidRPr="007408BB">
        <w:t>vyzýva na prísnejšie presadzovanie právnych predpisov v oblasti dobrých životných podmienok zvierat;</w:t>
      </w:r>
    </w:p>
    <w:p w:rsidR="00FA687E" w:rsidRPr="007408BB" w:rsidP="00FA687E" w14:paraId="3DA6092E" w14:textId="196AFD9E">
      <w:pPr>
        <w:pStyle w:val="NormalHanging12a"/>
      </w:pPr>
      <w:r w:rsidRPr="007408BB">
        <w:t>61</w:t>
      </w:r>
      <w:r w:rsidRPr="007408BB">
        <w:t>.</w:t>
      </w:r>
      <w:r w:rsidRPr="007408BB">
        <w:tab/>
        <w:t xml:space="preserve">vyzýva Čiernu Horu, aby posilnila svoje správne a inšpekčné kapacity na vnútroštátnej a miestnej úrovni, zlepšila </w:t>
      </w:r>
      <w:r w:rsidRPr="007408BB">
        <w:t>medziinštitucionálnu</w:t>
      </w:r>
      <w:r w:rsidRPr="007408BB">
        <w:t xml:space="preserve"> koordináciu a rozhodovanie o projektoch v oblasti infraštruktúry vrátane zavedenia účinnej koordinácie medzi postupmi strategického environmentálneho hodnotenia, posudzovania vplyvov na životné prostredie a primeraného posudzovania; nabáda Čiernu Horu, aby presunula zameranie svojej dopravnej politiky na udržateľnú a inteligentnú mobilitu;</w:t>
      </w:r>
    </w:p>
    <w:p w:rsidR="00FA687E" w:rsidRPr="007408BB" w:rsidP="00FA687E" w14:paraId="25BAF9F6" w14:textId="38906214">
      <w:pPr>
        <w:pStyle w:val="NormalHanging12a"/>
      </w:pPr>
      <w:r w:rsidRPr="007408BB">
        <w:t>62</w:t>
      </w:r>
      <w:r w:rsidRPr="007408BB">
        <w:t>.</w:t>
      </w:r>
      <w:r w:rsidRPr="007408BB">
        <w:tab/>
        <w:t xml:space="preserve">zdôrazňuje význam regionálnej dopravy a energetickej konektivity ako kľúčového prvku hospodárskeho rozvoja a stability na západnom Balkáne a požaduje projekty, ktoré prehlbujú integráciu s členskými štátmi EÚ; vyjadruje znepokojenie nad nedávnymi blokádami na hraničných priechodoch do schengenského priestoru profesionálnymi vodičmi z krajín západného Balkánu v súvislosti so zavedením systému vstup/výstup EÚ od októbra 2025; zdôrazňuje, že dlhodobé narušenia by mohli negatívne ovplyvniť dodávateľské reťazce, obchodné toky a hospodárske vzťahy medzi EÚ a Čiernou Horou; vyzýva Komisiu, aby v úzkej spolupráci s členskými štátmi posúdila možné pragmatické a právne podložené riešenia, ktoré by priniesli rovnováhu medzi prevádzkovou realitou v odvetví dopravy a potrebou zachovať integritu schengenského </w:t>
      </w:r>
      <w:r w:rsidRPr="007408BB">
        <w:rPr>
          <w:i/>
        </w:rPr>
        <w:t>acquis</w:t>
      </w:r>
      <w:r w:rsidRPr="007408BB">
        <w:t>, a zároveň zabezpečili primerané záruky a zabránili akémukoľvek zneužívaniu;</w:t>
      </w:r>
    </w:p>
    <w:p w:rsidR="007E58C0" w:rsidRPr="007408BB" w:rsidP="007E58C0" w14:paraId="76DEE04B" w14:textId="5F4F907C">
      <w:pPr>
        <w:pStyle w:val="NormalHanging12a"/>
        <w:ind w:left="0" w:firstLine="0"/>
        <w:jc w:val="center"/>
      </w:pPr>
      <w:r w:rsidRPr="007408BB">
        <w:t>°</w:t>
      </w:r>
    </w:p>
    <w:p w:rsidR="007E58C0" w:rsidRPr="007408BB" w:rsidP="007E58C0" w14:paraId="2687302B" w14:textId="2B4FA6EE">
      <w:pPr>
        <w:pStyle w:val="NormalHanging12a"/>
        <w:ind w:left="0" w:firstLine="0"/>
        <w:jc w:val="center"/>
      </w:pPr>
      <w:r w:rsidRPr="007408BB">
        <w:t>°     °</w:t>
      </w:r>
    </w:p>
    <w:p w:rsidR="00E365E1" w:rsidRPr="007408BB" w:rsidP="007E58C0" w14:paraId="6837E0D8" w14:textId="160F5E47">
      <w:pPr>
        <w:pStyle w:val="NormalHanging12a"/>
      </w:pPr>
      <w:r w:rsidRPr="007408BB">
        <w:t>63</w:t>
      </w:r>
      <w:r w:rsidRPr="007408BB" w:rsidR="00FA687E">
        <w:t>.</w:t>
      </w:r>
      <w:r w:rsidRPr="007408BB" w:rsidR="00FA687E">
        <w:tab/>
        <w:t>poveruje svoju predsedníčku, aby postúpila toto uznesenie Rade, Komisii, podpredsedníčke Komisie/vysokej predstaviteľke Únie pre zahraničné veci a bezpečnostnú politiku, vládam a parlamentom členských štátov a aby ho dala preložiť do čiernohorského jazyka a postúpila ho prezidentovi, vláde a parlamentu Čiernej Hory.</w:t>
      </w:r>
    </w:p>
    <w:sectPr w:rsidSect="006C0C46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839E8" w:rsidRPr="006C0C46" w14:paraId="52CF14D3" w14:textId="77777777">
      <w:r w:rsidRPr="006C0C46">
        <w:separator/>
      </w:r>
    </w:p>
  </w:footnote>
  <w:footnote w:type="continuationSeparator" w:id="1">
    <w:p w:rsidR="007839E8" w:rsidRPr="006C0C46" w14:paraId="68D36407" w14:textId="77777777">
      <w:r w:rsidRPr="006C0C46">
        <w:continuationSeparator/>
      </w:r>
    </w:p>
  </w:footnote>
  <w:footnote w:id="2">
    <w:p w:rsidR="0087151B" w:rsidRPr="006C0C46" w:rsidP="006C0C46" w14:paraId="0EA947F6" w14:textId="10D0709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6C0C46">
        <w:rPr>
          <w:sz w:val="24"/>
          <w:lang w:val="sk-SK"/>
        </w:rPr>
        <w:t xml:space="preserve"> </w:t>
      </w:r>
      <w:r w:rsidRPr="006C0C46">
        <w:rPr>
          <w:sz w:val="24"/>
          <w:lang w:val="sk-SK"/>
        </w:rPr>
        <w:tab/>
        <w:t xml:space="preserve">Ú. v. EÚ L 108, 29.4.2010, s. 3, ELI: </w:t>
      </w:r>
      <w:hyperlink r:id="rId1" w:tgtFrame="http://data.europa.eu/eli/agree_internation/2010/224/oj" w:history="1">
        <w:r w:rsidRPr="006C0C46">
          <w:rPr>
            <w:rStyle w:val="Hyperlink"/>
            <w:sz w:val="24"/>
            <w:lang w:val="sk-SK"/>
          </w:rPr>
          <w:t>http://data.europa.eu/eli/agree_internation/2010/224/oj</w:t>
        </w:r>
      </w:hyperlink>
      <w:r w:rsidRPr="006C0C46">
        <w:rPr>
          <w:sz w:val="24"/>
          <w:lang w:val="sk-SK"/>
        </w:rPr>
        <w:t>.</w:t>
      </w:r>
    </w:p>
  </w:footnote>
  <w:footnote w:id="3">
    <w:p w:rsidR="0087151B" w:rsidRPr="006C0C46" w:rsidP="006C0C46" w14:paraId="43038193" w14:textId="4F4BD10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6C0C46">
        <w:rPr>
          <w:sz w:val="24"/>
          <w:lang w:val="sk-SK"/>
        </w:rPr>
        <w:t xml:space="preserve"> </w:t>
      </w:r>
      <w:r w:rsidRPr="006C0C46">
        <w:rPr>
          <w:sz w:val="24"/>
          <w:lang w:val="sk-SK"/>
        </w:rPr>
        <w:tab/>
        <w:t xml:space="preserve">Ú. v. EÚ L 330, 20.9.2021, s. </w:t>
      </w:r>
      <w:r w:rsidRPr="006C0C46">
        <w:rPr>
          <w:sz w:val="24"/>
          <w:lang w:val="sk-SK"/>
        </w:rPr>
        <w:t xml:space="preserve">1, ELI: </w:t>
      </w:r>
      <w:hyperlink r:id="rId2" w:tgtFrame="http://data.europa.eu/eli/reg/2021/1529/oj" w:history="1">
        <w:r w:rsidRPr="006C0C46">
          <w:rPr>
            <w:rStyle w:val="Hyperlink"/>
            <w:sz w:val="24"/>
            <w:lang w:val="sk-SK"/>
          </w:rPr>
          <w:t>http://data.europa.eu/eli/reg/2021/1529/oj</w:t>
        </w:r>
      </w:hyperlink>
      <w:r w:rsidRPr="006C0C46">
        <w:rPr>
          <w:sz w:val="24"/>
          <w:lang w:val="sk-SK"/>
        </w:rPr>
        <w:t>.</w:t>
      </w:r>
    </w:p>
  </w:footnote>
  <w:footnote w:id="4">
    <w:p w:rsidR="0087151B" w:rsidRPr="006C0C46" w:rsidP="006C0C46" w14:paraId="5409A2A7" w14:textId="57482FF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6C0C46">
        <w:rPr>
          <w:sz w:val="24"/>
          <w:lang w:val="sk-SK"/>
        </w:rPr>
        <w:t xml:space="preserve"> </w:t>
      </w:r>
      <w:r w:rsidRPr="006C0C46">
        <w:rPr>
          <w:sz w:val="24"/>
          <w:lang w:val="sk-SK"/>
        </w:rPr>
        <w:tab/>
        <w:t xml:space="preserve">Ú. v. </w:t>
      </w:r>
      <w:r w:rsidRPr="006C0C46">
        <w:rPr>
          <w:sz w:val="24"/>
          <w:lang w:val="sk-SK"/>
        </w:rPr>
        <w:t xml:space="preserve">EÚ L, 2024/1449, 24.5.2024, ELI: </w:t>
      </w:r>
      <w:hyperlink r:id="rId3" w:tgtFrame="http://data.europa.eu/eli/reg/2024/1449/oj" w:history="1">
        <w:r w:rsidRPr="006C0C46">
          <w:rPr>
            <w:rStyle w:val="Hyperlink"/>
            <w:sz w:val="24"/>
            <w:lang w:val="sk-SK"/>
          </w:rPr>
          <w:t>http://data.europa.eu/eli/reg/2024/1449/oj</w:t>
        </w:r>
      </w:hyperlink>
      <w:r w:rsidRPr="006C0C46">
        <w:rPr>
          <w:sz w:val="24"/>
          <w:lang w:val="sk-SK"/>
        </w:rPr>
        <w:t>.</w:t>
      </w:r>
    </w:p>
  </w:footnote>
  <w:footnote w:id="5">
    <w:p w:rsidR="0087151B" w:rsidRPr="006C0C46" w:rsidP="006C0C46" w14:paraId="23120F58" w14:textId="0D01EA24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6C0C46">
        <w:rPr>
          <w:sz w:val="24"/>
          <w:lang w:val="sk-SK"/>
        </w:rPr>
        <w:t xml:space="preserve"> </w:t>
      </w:r>
      <w:r w:rsidRPr="006C0C46">
        <w:rPr>
          <w:sz w:val="24"/>
          <w:lang w:val="sk-SK"/>
        </w:rPr>
        <w:tab/>
        <w:t>Nariadenie Európskeho parlamentu a Rady (EÚ) 2024/1083 z 11. apríla 2024, ktorým sa stanovuje spoločný rámec pre mediálne služby na vnútornom trhu a mení smernica 2010/13/EÚ (Európsky akt o slobode médií) (Ú. v. </w:t>
      </w:r>
      <w:r w:rsidRPr="006C0C46">
        <w:rPr>
          <w:sz w:val="24"/>
          <w:lang w:val="sk-SK"/>
        </w:rPr>
        <w:t xml:space="preserve">EÚ L, 2024/1083, 17.4.2024, ELI: </w:t>
      </w:r>
      <w:hyperlink r:id="rId4" w:tgtFrame="http://data.europa.eu/eli/reg/2024/1083/oj" w:history="1">
        <w:r w:rsidRPr="006C0C46">
          <w:rPr>
            <w:rStyle w:val="Hyperlink"/>
            <w:sz w:val="24"/>
            <w:lang w:val="sk-SK"/>
          </w:rPr>
          <w:t>http://data.europa.eu/eli/reg/2024/1083/oj</w:t>
        </w:r>
      </w:hyperlink>
      <w:r w:rsidRPr="006C0C46">
        <w:rPr>
          <w:sz w:val="24"/>
          <w:lang w:val="sk-S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0177217">
    <w:abstractNumId w:val="9"/>
  </w:num>
  <w:num w:numId="2" w16cid:durableId="411896100">
    <w:abstractNumId w:val="9"/>
  </w:num>
  <w:num w:numId="3" w16cid:durableId="2040399480">
    <w:abstractNumId w:val="7"/>
  </w:num>
  <w:num w:numId="4" w16cid:durableId="2000039494">
    <w:abstractNumId w:val="7"/>
  </w:num>
  <w:num w:numId="5" w16cid:durableId="2046103537">
    <w:abstractNumId w:val="6"/>
  </w:num>
  <w:num w:numId="6" w16cid:durableId="260652137">
    <w:abstractNumId w:val="6"/>
  </w:num>
  <w:num w:numId="7" w16cid:durableId="901139841">
    <w:abstractNumId w:val="5"/>
  </w:num>
  <w:num w:numId="8" w16cid:durableId="1787193872">
    <w:abstractNumId w:val="5"/>
  </w:num>
  <w:num w:numId="9" w16cid:durableId="1688285019">
    <w:abstractNumId w:val="4"/>
  </w:num>
  <w:num w:numId="10" w16cid:durableId="882330029">
    <w:abstractNumId w:val="4"/>
  </w:num>
  <w:num w:numId="11" w16cid:durableId="1922836477">
    <w:abstractNumId w:val="8"/>
  </w:num>
  <w:num w:numId="12" w16cid:durableId="1973442125">
    <w:abstractNumId w:val="8"/>
  </w:num>
  <w:num w:numId="13" w16cid:durableId="430324365">
    <w:abstractNumId w:val="3"/>
  </w:num>
  <w:num w:numId="14" w16cid:durableId="239605035">
    <w:abstractNumId w:val="3"/>
  </w:num>
  <w:num w:numId="15" w16cid:durableId="658535028">
    <w:abstractNumId w:val="2"/>
  </w:num>
  <w:num w:numId="16" w16cid:durableId="12658282">
    <w:abstractNumId w:val="2"/>
  </w:num>
  <w:num w:numId="17" w16cid:durableId="1237745335">
    <w:abstractNumId w:val="1"/>
  </w:num>
  <w:num w:numId="18" w16cid:durableId="1587496774">
    <w:abstractNumId w:val="1"/>
  </w:num>
  <w:num w:numId="19" w16cid:durableId="1857035367">
    <w:abstractNumId w:val="0"/>
  </w:num>
  <w:num w:numId="20" w16cid:durableId="236088350">
    <w:abstractNumId w:val="0"/>
  </w:num>
  <w:num w:numId="21" w16cid:durableId="1944262033">
    <w:abstractNumId w:val="9"/>
  </w:num>
  <w:num w:numId="22" w16cid:durableId="1666349967">
    <w:abstractNumId w:val="7"/>
  </w:num>
  <w:num w:numId="23" w16cid:durableId="1734543568">
    <w:abstractNumId w:val="6"/>
  </w:num>
  <w:num w:numId="24" w16cid:durableId="441610661">
    <w:abstractNumId w:val="5"/>
  </w:num>
  <w:num w:numId="25" w16cid:durableId="1714965921">
    <w:abstractNumId w:val="4"/>
  </w:num>
  <w:num w:numId="26" w16cid:durableId="753552493">
    <w:abstractNumId w:val="8"/>
  </w:num>
  <w:num w:numId="27" w16cid:durableId="536744699">
    <w:abstractNumId w:val="3"/>
  </w:num>
  <w:num w:numId="28" w16cid:durableId="444690280">
    <w:abstractNumId w:val="2"/>
  </w:num>
  <w:num w:numId="29" w16cid:durableId="654606255">
    <w:abstractNumId w:val="1"/>
  </w:num>
  <w:num w:numId="30" w16cid:durableId="1674457848">
    <w:abstractNumId w:val="0"/>
  </w:num>
  <w:num w:numId="31" w16cid:durableId="774516014">
    <w:abstractNumId w:val="9"/>
  </w:num>
  <w:num w:numId="32" w16cid:durableId="75170743">
    <w:abstractNumId w:val="7"/>
  </w:num>
  <w:num w:numId="33" w16cid:durableId="841897805">
    <w:abstractNumId w:val="6"/>
  </w:num>
  <w:num w:numId="34" w16cid:durableId="847645833">
    <w:abstractNumId w:val="5"/>
  </w:num>
  <w:num w:numId="35" w16cid:durableId="1929466173">
    <w:abstractNumId w:val="4"/>
  </w:num>
  <w:num w:numId="36" w16cid:durableId="1980458804">
    <w:abstractNumId w:val="8"/>
  </w:num>
  <w:num w:numId="37" w16cid:durableId="1392970645">
    <w:abstractNumId w:val="3"/>
  </w:num>
  <w:num w:numId="38" w16cid:durableId="899052418">
    <w:abstractNumId w:val="2"/>
  </w:num>
  <w:num w:numId="39" w16cid:durableId="1447315815">
    <w:abstractNumId w:val="1"/>
  </w:num>
  <w:num w:numId="40" w16cid:durableId="146822287">
    <w:abstractNumId w:val="0"/>
  </w:num>
  <w:num w:numId="41" w16cid:durableId="1008554886">
    <w:abstractNumId w:val="10"/>
  </w:num>
  <w:num w:numId="42" w16cid:durableId="28382921">
    <w:abstractNumId w:val="10"/>
  </w:num>
  <w:num w:numId="43" w16cid:durableId="1062949189">
    <w:abstractNumId w:val="10"/>
  </w:num>
  <w:num w:numId="44" w16cid:durableId="12215520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E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5FD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164A"/>
    <w:rsid w:val="006631B6"/>
    <w:rsid w:val="00680577"/>
    <w:rsid w:val="006C0C46"/>
    <w:rsid w:val="006F74FA"/>
    <w:rsid w:val="00731ADD"/>
    <w:rsid w:val="00734777"/>
    <w:rsid w:val="007408BB"/>
    <w:rsid w:val="00747932"/>
    <w:rsid w:val="00751A4A"/>
    <w:rsid w:val="00756632"/>
    <w:rsid w:val="00762C74"/>
    <w:rsid w:val="007839E8"/>
    <w:rsid w:val="00786EC0"/>
    <w:rsid w:val="007D1690"/>
    <w:rsid w:val="007E22AD"/>
    <w:rsid w:val="007E58C0"/>
    <w:rsid w:val="00817416"/>
    <w:rsid w:val="00841AB3"/>
    <w:rsid w:val="00842779"/>
    <w:rsid w:val="00865F67"/>
    <w:rsid w:val="0087151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4A44"/>
    <w:rsid w:val="00C941CB"/>
    <w:rsid w:val="00CC2357"/>
    <w:rsid w:val="00CF071A"/>
    <w:rsid w:val="00D058B8"/>
    <w:rsid w:val="00D0649B"/>
    <w:rsid w:val="00D56C11"/>
    <w:rsid w:val="00D834A0"/>
    <w:rsid w:val="00D872DF"/>
    <w:rsid w:val="00D91E21"/>
    <w:rsid w:val="00DA7FCD"/>
    <w:rsid w:val="00E365E1"/>
    <w:rsid w:val="00E820A4"/>
    <w:rsid w:val="00EA1AF8"/>
    <w:rsid w:val="00EB006A"/>
    <w:rsid w:val="00EB4772"/>
    <w:rsid w:val="00ED169E"/>
    <w:rsid w:val="00ED4235"/>
    <w:rsid w:val="00F04346"/>
    <w:rsid w:val="00F075DC"/>
    <w:rsid w:val="00F149E9"/>
    <w:rsid w:val="00F2018F"/>
    <w:rsid w:val="00F506E0"/>
    <w:rsid w:val="00F5134D"/>
    <w:rsid w:val="00F74202"/>
    <w:rsid w:val="00F7496F"/>
    <w:rsid w:val="00F87713"/>
    <w:rsid w:val="00FA687E"/>
    <w:rsid w:val="00FB4360"/>
    <w:rsid w:val="00FD0C70"/>
  </w:rsids>
  <w:docVars>
    <w:docVar w:name="dvdocse" w:val="A10-0143/2026"/>
    <w:docVar w:name="dvlangue" w:val="SK"/>
    <w:docVar w:name="dvnumam" w:val="0"/>
    <w:docVar w:name="dvpe" w:val="784.340"/>
    <w:docVar w:name="dvrapporteur" w:val="Spravodajca: "/>
    <w:docVar w:name="dvtitre" w:val="Uznesenie Európskeho parlamentu z/zo xx. xxx 2026 o správe Komisie o Čiernej Hore za rok 2025(2025/2253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5B5BC8E"/>
  <w15:chartTrackingRefBased/>
  <w15:docId w15:val="{D4480AD6-8754-48EF-958E-BFE1B923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FA687E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FA687E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FA687E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FA687E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FA687E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FA687E"/>
    <w:rPr>
      <w:color w:val="0000FF"/>
      <w:u w:val="single"/>
    </w:rPr>
  </w:style>
  <w:style w:type="paragraph" w:styleId="Revision">
    <w:name w:val="Revision"/>
    <w:hidden/>
    <w:uiPriority w:val="99"/>
    <w:semiHidden/>
    <w:rsid w:val="0087151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0/224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reg/2024/10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5888</Words>
  <Characters>37346</Characters>
  <Application>Microsoft Office Word</Application>
  <DocSecurity>0</DocSecurity>
  <Lines>704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2026-06-17T14:17:00Z</dcterms:created>
  <dcterms:modified xsi:type="dcterms:W3CDTF">2026-06-17T14:17:00Z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A10-0143/2026</vt:lpwstr>
  </property>
  <property fmtid="{D5CDD505-2E9C-101B-9397-08002B2CF9AE}" pid="4" name="&lt;Type&gt;">
    <vt:lpwstr>RR</vt:lpwstr>
  </property>
</Properties>
</file>