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93C352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B6F27" w:rsidP="0010095E" w14:paraId="7D4868CE" w14:textId="77777777">
            <w:pPr>
              <w:pStyle w:val="EPName"/>
            </w:pPr>
            <w:r w:rsidRPr="00BB6F27">
              <w:t>Evropský parlament</w:t>
            </w:r>
          </w:p>
          <w:p w:rsidR="00751A4A" w:rsidRPr="00BB6F27" w:rsidP="005F1B17" w14:paraId="5DE99DD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6F27">
              <w:t>2024</w:t>
            </w:r>
            <w:r w:rsidRPr="00BB6F27" w:rsidR="00817416">
              <w:t>-202</w:t>
            </w:r>
            <w:r w:rsidRPr="00BB6F2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B6F27" w:rsidP="0010095E" w14:paraId="66586C36" w14:textId="77777777">
            <w:pPr>
              <w:pStyle w:val="EPLogo"/>
            </w:pPr>
            <w:r w:rsidRPr="00BB6F2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B6F27" w:rsidP="004C5D52" w14:paraId="45D0C5DB" w14:textId="77777777">
      <w:pPr>
        <w:pStyle w:val="LineTop"/>
      </w:pPr>
    </w:p>
    <w:p w:rsidR="00680577" w:rsidRPr="00BB6F27" w:rsidP="00680577" w14:paraId="75433979" w14:textId="77777777">
      <w:pPr>
        <w:pStyle w:val="EPBodyTA1"/>
      </w:pPr>
      <w:r w:rsidRPr="00BB6F27">
        <w:t>PŘIJATÉ TEXTY</w:t>
      </w:r>
    </w:p>
    <w:p w:rsidR="00D058B8" w:rsidRPr="00BB6F27" w:rsidP="00D058B8" w14:paraId="2F00CBC6" w14:textId="77777777">
      <w:pPr>
        <w:pStyle w:val="LineBottom"/>
      </w:pPr>
    </w:p>
    <w:p w:rsidR="000F45CF" w:rsidRPr="002F0A32" w:rsidP="000F45CF" w14:paraId="4C96254C" w14:textId="72E61833">
      <w:pPr>
        <w:pStyle w:val="ATHeading1"/>
      </w:pPr>
      <w:bookmarkStart w:id="0" w:name="TANumber"/>
      <w:r w:rsidRPr="002F0A32">
        <w:t>P10_</w:t>
      </w:r>
      <w:r w:rsidRPr="002F0A32">
        <w:t>TA(</w:t>
      </w:r>
      <w:r w:rsidRPr="002F0A32">
        <w:t>2026)0</w:t>
      </w:r>
      <w:r w:rsidR="0079583D">
        <w:t>217</w:t>
      </w:r>
      <w:bookmarkEnd w:id="0"/>
    </w:p>
    <w:p w:rsidR="000F45CF" w:rsidRPr="002F0A32" w:rsidP="000F45CF" w14:paraId="3721C18E" w14:textId="77777777">
      <w:pPr>
        <w:pStyle w:val="ATHeading2"/>
      </w:pPr>
      <w:bookmarkStart w:id="1" w:name="title"/>
      <w:r w:rsidRPr="002F0A32">
        <w:t>Zpráva Komise o Albánii za rok 2025</w:t>
      </w:r>
      <w:bookmarkEnd w:id="1"/>
    </w:p>
    <w:p w:rsidR="000F45CF" w:rsidRPr="00BB6F27" w:rsidP="000F45CF" w14:paraId="250B4279" w14:textId="77777777">
      <w:pPr>
        <w:rPr>
          <w:i/>
          <w:vanish/>
        </w:rPr>
      </w:pPr>
      <w:r>
        <w:rPr>
          <w:i/>
        </w:rPr>
        <w:fldChar w:fldCharType="begin"/>
      </w:r>
      <w:r w:rsidRPr="00BB6F27">
        <w:rPr>
          <w:i/>
        </w:rPr>
        <w:instrText xml:space="preserve"> TC"(</w:instrText>
      </w:r>
      <w:bookmarkStart w:id="2" w:name="DocNumber"/>
      <w:r w:rsidRPr="00BB6F27">
        <w:rPr>
          <w:i/>
        </w:rPr>
        <w:instrText>A10-0141/2026</w:instrText>
      </w:r>
      <w:bookmarkEnd w:id="2"/>
      <w:r w:rsidRPr="00BB6F27">
        <w:rPr>
          <w:i/>
        </w:rPr>
        <w:instrText xml:space="preserve"> - Zpravodaj: Andreas Schieder)"\l3 \n&gt; \* MERGEFORMAT </w:instrText>
      </w:r>
      <w:r>
        <w:rPr>
          <w:i/>
        </w:rPr>
        <w:fldChar w:fldCharType="end"/>
      </w:r>
    </w:p>
    <w:p w:rsidR="000F45CF" w:rsidRPr="00BB6F27" w:rsidP="000F45CF" w14:paraId="3C01E649" w14:textId="77777777">
      <w:pPr>
        <w:rPr>
          <w:vanish/>
        </w:rPr>
      </w:pPr>
      <w:bookmarkStart w:id="3" w:name="Commission"/>
      <w:r w:rsidRPr="00BB6F27">
        <w:rPr>
          <w:vanish/>
        </w:rPr>
        <w:t>Výbor pro zahraniční věci</w:t>
      </w:r>
      <w:bookmarkEnd w:id="3"/>
    </w:p>
    <w:p w:rsidR="000F45CF" w:rsidRPr="00BB6F27" w:rsidP="000F45CF" w14:paraId="2FEC5F8E" w14:textId="77777777">
      <w:pPr>
        <w:rPr>
          <w:vanish/>
        </w:rPr>
      </w:pPr>
      <w:bookmarkStart w:id="4" w:name="PE"/>
      <w:r w:rsidRPr="00BB6F27">
        <w:rPr>
          <w:vanish/>
        </w:rPr>
        <w:t>PE784.259</w:t>
      </w:r>
      <w:bookmarkEnd w:id="4"/>
    </w:p>
    <w:p w:rsidR="000F45CF" w:rsidRPr="002F0A32" w:rsidP="000F45CF" w14:paraId="1A1A86AE" w14:textId="77777777">
      <w:pPr>
        <w:pStyle w:val="ATHeading3"/>
      </w:pPr>
      <w:bookmarkStart w:id="5" w:name="Sujet"/>
      <w:r w:rsidRPr="002F0A32">
        <w:t>Usnesení Evropského parlamentu ze dne 17. června 2026 o zprávě Komise o Albánii za rok 2025</w:t>
      </w:r>
      <w:bookmarkEnd w:id="5"/>
      <w:r w:rsidRPr="002F0A32">
        <w:t xml:space="preserve"> </w:t>
      </w:r>
      <w:bookmarkStart w:id="6" w:name="References"/>
      <w:r w:rsidRPr="002F0A32">
        <w:t>(2025/2250(INI))</w:t>
      </w:r>
      <w:bookmarkEnd w:id="6"/>
    </w:p>
    <w:p w:rsidR="00F36746" w:rsidRPr="00BB6F27" w:rsidP="00F36746" w14:paraId="67825824" w14:textId="77777777">
      <w:pPr>
        <w:pStyle w:val="EPComma"/>
      </w:pPr>
      <w:r w:rsidRPr="00BB6F27">
        <w:rPr>
          <w:i/>
        </w:rPr>
        <w:t>Evropský parlament</w:t>
      </w:r>
      <w:r w:rsidRPr="00BB6F27">
        <w:t>,</w:t>
      </w:r>
    </w:p>
    <w:p w:rsidR="00F36746" w:rsidRPr="00BB6F27" w:rsidP="00A34482" w14:paraId="0E7C3FFD" w14:textId="77777777">
      <w:pPr>
        <w:pStyle w:val="NormalHanging12a"/>
      </w:pPr>
      <w:r w:rsidRPr="00BB6F27">
        <w:t>–</w:t>
      </w:r>
      <w:r w:rsidRPr="00BB6F27">
        <w:tab/>
        <w:t>s ohledem na Dohodu o stabilizaci a přidružení mezi Evropskými společenstvími a jejich členskými státy na jedné straně a Albánskou republikou na straně druhé</w:t>
      </w:r>
      <w:r>
        <w:rPr>
          <w:vertAlign w:val="superscript"/>
        </w:rPr>
        <w:footnoteReference w:id="2"/>
      </w:r>
      <w:r w:rsidRPr="00BB6F27">
        <w:t>,</w:t>
      </w:r>
    </w:p>
    <w:p w:rsidR="00F36746" w:rsidRPr="00BB6F27" w:rsidP="00A34482" w14:paraId="4FAF7765" w14:textId="77777777">
      <w:pPr>
        <w:pStyle w:val="NormalHanging12a"/>
      </w:pPr>
      <w:r w:rsidRPr="00BB6F27">
        <w:t>–</w:t>
      </w:r>
      <w:r w:rsidRPr="00BB6F27">
        <w:tab/>
        <w:t>s ohledem na žádost Albánie o členství v EU podanou dne 24. dubna 2009,</w:t>
      </w:r>
    </w:p>
    <w:p w:rsidR="00F36746" w:rsidRPr="00BB6F27" w:rsidP="00A34482" w14:paraId="19843729" w14:textId="77777777">
      <w:pPr>
        <w:pStyle w:val="NormalHanging12a"/>
      </w:pPr>
      <w:r w:rsidRPr="00BB6F27">
        <w:t>–</w:t>
      </w:r>
      <w:r w:rsidRPr="00BB6F27">
        <w:tab/>
        <w:t>s ohledem na nařízení Evropského parlamentu a Rady (EU) 2021/1529 ze dne 15. září 2021, kterým se zřizuje Nástroj předvstupní pomoci (NPP III)</w:t>
      </w:r>
      <w:r>
        <w:rPr>
          <w:vertAlign w:val="superscript"/>
        </w:rPr>
        <w:footnoteReference w:id="3"/>
      </w:r>
      <w:r w:rsidRPr="00BB6F27">
        <w:t>,</w:t>
      </w:r>
    </w:p>
    <w:p w:rsidR="00F36746" w:rsidRPr="00BB6F27" w:rsidP="00A34482" w14:paraId="0044CEBB" w14:textId="77777777">
      <w:pPr>
        <w:pStyle w:val="NormalHanging12a"/>
      </w:pPr>
      <w:r w:rsidRPr="00BB6F27">
        <w:t>–</w:t>
      </w:r>
      <w:r w:rsidRPr="00BB6F27">
        <w:tab/>
        <w:t>s ohledem na nařízení Evropského parlamentu a Rady (EU) 2024/1449 ze dne 14. května 2024 o zřízení nástroje pro reformy a růst pro země západního Balkánu</w:t>
      </w:r>
      <w:r>
        <w:rPr>
          <w:vertAlign w:val="superscript"/>
        </w:rPr>
        <w:footnoteReference w:id="4"/>
      </w:r>
      <w:r w:rsidRPr="00BB6F27">
        <w:t>,</w:t>
      </w:r>
    </w:p>
    <w:p w:rsidR="00F36746" w:rsidRPr="00BB6F27" w:rsidP="00A34482" w14:paraId="6ABB7D33" w14:textId="77777777">
      <w:pPr>
        <w:pStyle w:val="NormalHanging12a"/>
      </w:pPr>
      <w:r w:rsidRPr="00BB6F27">
        <w:t>–</w:t>
      </w:r>
      <w:r w:rsidRPr="00BB6F27">
        <w:tab/>
        <w:t>s ohledem na sdělení Komise ze dne 5. února 2020 s názvem „Posílení procesu přistoupení – přesvědčivá perspektiva EU pro západní Balkán“ (</w:t>
      </w:r>
      <w:r w:rsidRPr="00BB6F27">
        <w:t>COM(</w:t>
      </w:r>
      <w:r w:rsidRPr="00BB6F27">
        <w:t>2020)0057),</w:t>
      </w:r>
    </w:p>
    <w:p w:rsidR="00F36746" w:rsidRPr="00BB6F27" w:rsidP="00A34482" w14:paraId="35BF003F" w14:textId="77777777">
      <w:pPr>
        <w:pStyle w:val="NormalHanging12a"/>
        <w:rPr>
          <w:bCs/>
          <w:iCs/>
          <w:szCs w:val="24"/>
        </w:rPr>
      </w:pPr>
      <w:r w:rsidRPr="00BB6F27">
        <w:t>–</w:t>
      </w:r>
      <w:r w:rsidRPr="00BB6F27">
        <w:tab/>
        <w:t>s ohledem na rámec EU pro jednání s Albánií, který v červenci roku 2022 schválila Rada a který stanoví pokyny a zásady pro jednání o přistoupení Albánie k EU,</w:t>
      </w:r>
    </w:p>
    <w:p w:rsidR="00F36746" w:rsidRPr="00BB6F27" w:rsidP="00A34482" w14:paraId="7B793644" w14:textId="77777777">
      <w:pPr>
        <w:pStyle w:val="NormalHanging12a"/>
      </w:pPr>
      <w:r w:rsidRPr="00BB6F27">
        <w:t>–</w:t>
      </w:r>
      <w:r w:rsidRPr="00BB6F27">
        <w:tab/>
        <w:t>s ohledem na sdělení Komise ze dne 8. listopadu 2023 nazvané „Nový plán růstu pro západní Balkán“(</w:t>
      </w:r>
      <w:r w:rsidRPr="00BB6F27">
        <w:t>COM(</w:t>
      </w:r>
      <w:r w:rsidRPr="00BB6F27">
        <w:t>2023)0691),</w:t>
      </w:r>
    </w:p>
    <w:p w:rsidR="00F36746" w:rsidRPr="00BB6F27" w:rsidP="00A34482" w14:paraId="7423D68C" w14:textId="77777777">
      <w:pPr>
        <w:pStyle w:val="NormalHanging12a"/>
      </w:pPr>
      <w:r w:rsidRPr="00BB6F27">
        <w:t>–</w:t>
      </w:r>
      <w:r w:rsidRPr="00BB6F27">
        <w:tab/>
        <w:t>s ohledem na reformní program Albánie předložený v rámci Nástroje EU pro reformy a růst pro země západního Balkánu ve znění schváleném Komisí dne 23. října 2024,</w:t>
      </w:r>
    </w:p>
    <w:p w:rsidR="00F36746" w:rsidRPr="00BB6F27" w:rsidP="00A34482" w14:paraId="1DEA9ED7" w14:textId="77777777">
      <w:pPr>
        <w:pStyle w:val="NormalHanging12a"/>
      </w:pPr>
      <w:r w:rsidRPr="00BB6F27">
        <w:t>–</w:t>
      </w:r>
      <w:r w:rsidRPr="00BB6F27">
        <w:tab/>
        <w:t>s ohledem na sdělení Komise ze dne 8. července 2025 nazvané „Zpráva o právním státu 2025“ (</w:t>
      </w:r>
      <w:r w:rsidRPr="00BB6F27">
        <w:t>COM(</w:t>
      </w:r>
      <w:r w:rsidRPr="00BB6F27">
        <w:t xml:space="preserve">2025)0900) a na doprovodný pracovní dokument útvarů Komise nazvaný </w:t>
      </w:r>
      <w:r w:rsidRPr="00BB6F27">
        <w:t>„Zpráva o právním státu 2025 – kapitola o stavu právního státu v Albánii (SWD(2025)0928),</w:t>
      </w:r>
    </w:p>
    <w:p w:rsidR="00F36746" w:rsidRPr="00BB6F27" w:rsidP="00A34482" w14:paraId="4CDC59D3" w14:textId="77777777">
      <w:pPr>
        <w:pStyle w:val="NormalHanging12a"/>
      </w:pPr>
      <w:r w:rsidRPr="00BB6F27">
        <w:t>–</w:t>
      </w:r>
      <w:r w:rsidRPr="00BB6F27">
        <w:tab/>
        <w:t>s ohledem na sdělení Komise ze dne 4. listopadu 2025 nazvané „Sdělení o politice rozšíření EU pro rok 2025“ (</w:t>
      </w:r>
      <w:r w:rsidRPr="00BB6F27">
        <w:t>COM(</w:t>
      </w:r>
      <w:r w:rsidRPr="00BB6F27">
        <w:t>2025)0690) a na doprovodný pracovní dokument útvarů Komise nazvaný „Zpráva o Albánii za rok 2025“ (SWD(2025)0750),</w:t>
      </w:r>
    </w:p>
    <w:p w:rsidR="00F36746" w:rsidRPr="00BB6F27" w:rsidP="00A34482" w14:paraId="3C6EC493" w14:textId="77777777">
      <w:pPr>
        <w:pStyle w:val="NormalHanging12a"/>
      </w:pPr>
      <w:r w:rsidRPr="00BB6F27">
        <w:t>–</w:t>
      </w:r>
      <w:r w:rsidRPr="00BB6F27">
        <w:tab/>
        <w:t>s ohledem na závěrečnou zprávu ze dne 23. října 2025, kterou k parlamentním volbám v Albánii, jež se konaly dne 11. května 2025, vypracovala volební pozorovatelská mise Úřadu pro demokratické instituce a lidská práva Organizace pro bezpečnost a spolupráci v Evropě (ODIHR),</w:t>
      </w:r>
    </w:p>
    <w:p w:rsidR="00F36746" w:rsidRPr="00BB6F27" w:rsidP="00A34482" w14:paraId="00781BD7" w14:textId="643008A7">
      <w:pPr>
        <w:pStyle w:val="NormalHanging12a"/>
      </w:pPr>
      <w:r w:rsidRPr="00BB6F27">
        <w:t>–</w:t>
      </w:r>
      <w:r w:rsidRPr="00BB6F27">
        <w:tab/>
        <w:t>s ohledem na prohlášení ze summitu EU a zemí západního Balkánu konaného dne 17.</w:t>
      </w:r>
      <w:r w:rsidRPr="00BB6F27" w:rsidR="007D2A13">
        <w:t> </w:t>
      </w:r>
      <w:r w:rsidRPr="00BB6F27">
        <w:t>prosince 2025 v Bruselu,</w:t>
      </w:r>
    </w:p>
    <w:p w:rsidR="00F36746" w:rsidRPr="00BB6F27" w:rsidP="00A34482" w14:paraId="1AD0B1D1" w14:textId="77777777">
      <w:pPr>
        <w:pStyle w:val="NormalHanging12a"/>
        <w:rPr>
          <w:bCs/>
          <w:iCs/>
          <w:szCs w:val="24"/>
        </w:rPr>
      </w:pPr>
      <w:r w:rsidRPr="00BB6F27">
        <w:t>–</w:t>
      </w:r>
      <w:r w:rsidRPr="00BB6F27">
        <w:tab/>
        <w:t xml:space="preserve">s ohledem na summity EU – západní Balkán, které se konaly v Sofii, Záhřebu a Brdu </w:t>
      </w:r>
      <w:r w:rsidRPr="00BB6F27">
        <w:t>pri</w:t>
      </w:r>
      <w:r w:rsidRPr="00BB6F27">
        <w:t xml:space="preserve"> </w:t>
      </w:r>
      <w:r w:rsidRPr="00BB6F27">
        <w:t>Kranju</w:t>
      </w:r>
      <w:r w:rsidRPr="00BB6F27">
        <w:t xml:space="preserve"> v letech 2018, 2020 a 2021, a na příslušná prohlášení z těchto summitů,</w:t>
      </w:r>
    </w:p>
    <w:p w:rsidR="00F36746" w:rsidRPr="00BB6F27" w:rsidP="00A34482" w14:paraId="534266EF" w14:textId="77777777">
      <w:pPr>
        <w:pStyle w:val="NormalHanging12a"/>
      </w:pPr>
      <w:r w:rsidRPr="00BB6F27">
        <w:t>–</w:t>
      </w:r>
      <w:r w:rsidRPr="00BB6F27">
        <w:tab/>
        <w:t>s ohledem na svá předchozí usnesení o Albánii,</w:t>
      </w:r>
    </w:p>
    <w:p w:rsidR="00F36746" w:rsidRPr="00BB6F27" w:rsidP="00A34482" w14:paraId="3573B328" w14:textId="77777777">
      <w:pPr>
        <w:pStyle w:val="NormalHanging12a"/>
      </w:pPr>
      <w:r w:rsidRPr="00BB6F27">
        <w:t>–</w:t>
      </w:r>
      <w:r w:rsidRPr="00BB6F27">
        <w:tab/>
        <w:t>s ohledem na své usnesení ze dne 11. března 2026 o strategii rozšiřování EU</w:t>
      </w:r>
      <w:r>
        <w:rPr>
          <w:rStyle w:val="FootnoteReference"/>
        </w:rPr>
        <w:footnoteReference w:id="5"/>
      </w:r>
      <w:r w:rsidRPr="00BB6F27">
        <w:t>,</w:t>
      </w:r>
    </w:p>
    <w:p w:rsidR="00F36746" w:rsidRPr="00BB6F27" w:rsidP="00A34482" w14:paraId="32ACDCE6" w14:textId="77777777">
      <w:pPr>
        <w:pStyle w:val="NormalHanging12a"/>
      </w:pPr>
      <w:r w:rsidRPr="00BB6F27">
        <w:t>–</w:t>
      </w:r>
      <w:r w:rsidRPr="00BB6F27">
        <w:tab/>
        <w:t xml:space="preserve">s ohledem na index vnímání korupce z roku 2025, který vypracovala organizace </w:t>
      </w:r>
      <w:r w:rsidRPr="00BB6F27">
        <w:t>Transparency</w:t>
      </w:r>
      <w:r w:rsidRPr="00BB6F27">
        <w:t xml:space="preserve"> International v únoru roku 2026,</w:t>
      </w:r>
    </w:p>
    <w:p w:rsidR="00F36746" w:rsidRPr="00BB6F27" w:rsidP="00A34482" w14:paraId="2CA33574" w14:textId="77777777">
      <w:pPr>
        <w:pStyle w:val="NormalHanging12a"/>
      </w:pPr>
      <w:r w:rsidRPr="00BB6F27">
        <w:t>–</w:t>
      </w:r>
      <w:r w:rsidRPr="00BB6F27">
        <w:tab/>
        <w:t>s ohledem na světový index svobody tisku 2025, který zveřejnila organizace Reportéři bez hranic v březnu roku 2025,</w:t>
      </w:r>
    </w:p>
    <w:p w:rsidR="00F36746" w:rsidRPr="00BB6F27" w:rsidP="00A34482" w14:paraId="0C466B13" w14:textId="77777777">
      <w:pPr>
        <w:pStyle w:val="NormalHanging12a"/>
        <w:rPr>
          <w:bCs/>
          <w:iCs/>
          <w:szCs w:val="24"/>
        </w:rPr>
      </w:pPr>
      <w:r w:rsidRPr="00BB6F27">
        <w:t>–</w:t>
      </w:r>
      <w:r w:rsidRPr="00BB6F27">
        <w:tab/>
        <w:t>s ohledem na zprávu Světového ekonomického fóra ze dne 11. června 2025 nazvanou „</w:t>
      </w:r>
      <w:r w:rsidRPr="00BB6F27">
        <w:t>Global</w:t>
      </w:r>
      <w:r w:rsidRPr="00BB6F27">
        <w:t xml:space="preserve"> Gender Gap Report 2025“ (Zpráva o genderových rozdílech ve světě za rok 2025),</w:t>
      </w:r>
    </w:p>
    <w:p w:rsidR="00F36746" w:rsidRPr="00BB6F27" w:rsidP="00A34482" w14:paraId="048679C5" w14:textId="77777777">
      <w:pPr>
        <w:pStyle w:val="NormalHanging12a"/>
      </w:pPr>
      <w:r w:rsidRPr="00BB6F27">
        <w:t>–</w:t>
      </w:r>
      <w:r w:rsidRPr="00BB6F27">
        <w:tab/>
        <w:t>s ohledem na článek 55 jednacího řádu,</w:t>
      </w:r>
    </w:p>
    <w:p w:rsidR="00F36746" w:rsidRPr="00BB6F27" w:rsidP="00A34482" w14:paraId="35FA2115" w14:textId="77777777">
      <w:pPr>
        <w:pStyle w:val="NormalHanging12a"/>
      </w:pPr>
      <w:r w:rsidRPr="00BB6F27">
        <w:t>–</w:t>
      </w:r>
      <w:r w:rsidRPr="00BB6F27">
        <w:tab/>
        <w:t>s ohledem na zprávu Výboru pro zahraniční věci (A10-0141/2026),</w:t>
      </w:r>
    </w:p>
    <w:p w:rsidR="00F36746" w:rsidRPr="00BB6F27" w:rsidP="00A34482" w14:paraId="57D3E40A" w14:textId="77777777">
      <w:pPr>
        <w:pStyle w:val="NormalHanging12a"/>
      </w:pPr>
      <w:r w:rsidRPr="00BB6F27">
        <w:t>A.</w:t>
      </w:r>
      <w:r w:rsidRPr="00BB6F27">
        <w:tab/>
        <w:t>vzhledem k tomu, že rozšíření EU je nadále strategickou investicí do míru, bezpečnosti, stability a demokratického a socioekonomického rozvoje na celém evropském kontinentu;</w:t>
      </w:r>
    </w:p>
    <w:p w:rsidR="00F36746" w:rsidRPr="00BB6F27" w:rsidP="00A34482" w14:paraId="76E0436C" w14:textId="77777777">
      <w:pPr>
        <w:pStyle w:val="NormalHanging12a"/>
      </w:pPr>
      <w:r w:rsidRPr="00BB6F27">
        <w:t>B.</w:t>
      </w:r>
      <w:r w:rsidRPr="00BB6F27">
        <w:tab/>
        <w:t>vzhledem k tomu, že Albánie si důsledně udržuje jasný strategický kurz směrem k členství v EU a prokázala plný soulad se společnou zahraniční a bezpečnostní politikou EU, a to i pokud jde o omezující opatření EU vůči Rusku a Bělorusku a podporu Ukrajiny při hlasování o rezolucích Valného shromáždění OSN;</w:t>
      </w:r>
    </w:p>
    <w:p w:rsidR="00F36746" w:rsidRPr="00BB6F27" w:rsidP="00A34482" w14:paraId="148786BD" w14:textId="77777777">
      <w:pPr>
        <w:pStyle w:val="NormalHanging12a"/>
      </w:pPr>
      <w:r w:rsidRPr="00BB6F27">
        <w:t>C.</w:t>
      </w:r>
      <w:r w:rsidRPr="00BB6F27">
        <w:tab/>
        <w:t>vzhledem k tomu, že Albánie získala v roce 2014 status kandidátské země EU, v červenci 2022 zahájila přístupová jednání, v listopadu 2023 úspěšně dokončila proces prověřování a v období od 15. října 2024 do 17. listopadu 2025 otevřela všechny tematické okruhy jednání;</w:t>
      </w:r>
    </w:p>
    <w:p w:rsidR="00F36746" w:rsidRPr="00BB6F27" w:rsidP="00A34482" w14:paraId="2E48C7EB" w14:textId="77777777">
      <w:pPr>
        <w:pStyle w:val="NormalHanging12a"/>
      </w:pPr>
      <w:r w:rsidRPr="00BB6F27">
        <w:t>D.</w:t>
      </w:r>
      <w:r w:rsidRPr="00BB6F27">
        <w:tab/>
        <w:t>vzhledem k tomu, že ve zprávě Komise o Albánii za rok 2025 se potvrzuje, že země nadále dosahuje pokroku ve většině oblastí souvisejících s přistoupením, a zároveň je v ní zdůrazněno, že je zapotřebí hlubších, soudržnějších a nezvratných reforem;</w:t>
      </w:r>
    </w:p>
    <w:p w:rsidR="00F36746" w:rsidRPr="00BB6F27" w:rsidP="00A34482" w14:paraId="392A523F" w14:textId="77777777">
      <w:pPr>
        <w:pStyle w:val="NormalHanging12a"/>
        <w:rPr>
          <w:bCs/>
          <w:iCs/>
        </w:rPr>
      </w:pPr>
      <w:r w:rsidRPr="00BB6F27">
        <w:t>E.</w:t>
      </w:r>
      <w:r w:rsidRPr="00BB6F27">
        <w:tab/>
        <w:t>vzhledem k tomu, že důvěryhodnost procesu rozšíření EU závisí spíše na přísné podmíněnosti, pokroku založeném na zásluhách a účinném provádění reforem než na pouhém formálním přijímání právních předpisů; vzhledem k tomu, že přistoupení Albánie k EU závisí na trvalých, důkladných a nezvratných reformách v oblastech, které v rámci přístupových jednání pokrývá tematický okruh základních zásad, počínaje právním státem a fungováním demokratických institucí; vzhledem k tomu, že o harmonogramu přistoupení rozhoduje kvalita reforem, které daná země provádí;</w:t>
      </w:r>
    </w:p>
    <w:p w:rsidR="00F36746" w:rsidRPr="00BB6F27" w:rsidP="00A34482" w14:paraId="27A2067E" w14:textId="77777777">
      <w:pPr>
        <w:pStyle w:val="NormalHanging12a"/>
      </w:pPr>
      <w:r w:rsidRPr="00BB6F27">
        <w:t>F.</w:t>
      </w:r>
      <w:r w:rsidRPr="00BB6F27">
        <w:tab/>
        <w:t>vzhledem k tomu, že pro cestu Albánie k přistoupení má nadále zásadní význam posilování demokratických institucí, nezávislost soudnictví, protikorupční úsilí, svoboda sdělovacích prostředků a základní práva včetně práv menšin;</w:t>
      </w:r>
    </w:p>
    <w:p w:rsidR="00F36746" w:rsidRPr="00BB6F27" w:rsidP="00A34482" w14:paraId="0DDFCDD1" w14:textId="77777777">
      <w:pPr>
        <w:pStyle w:val="NormalHanging12a"/>
        <w:rPr>
          <w:bCs/>
          <w:iCs/>
        </w:rPr>
      </w:pPr>
      <w:r w:rsidRPr="00BB6F27">
        <w:t>G.</w:t>
      </w:r>
      <w:r w:rsidRPr="00BB6F27">
        <w:tab/>
        <w:t>vzhledem k tomu, že ochrana integrity demokratických procesů se stala ústředním prvkem politiky rozšíření EU; vzhledem k tomu, že v červenci 2025 přijal albánský parlament první národní strategii země proti zahraničnímu vměšování a dezinformacím;</w:t>
      </w:r>
    </w:p>
    <w:p w:rsidR="00F36746" w:rsidRPr="00BB6F27" w:rsidP="00A34482" w14:paraId="5DE78DAF" w14:textId="77777777">
      <w:pPr>
        <w:pStyle w:val="NormalHanging12a"/>
      </w:pPr>
      <w:r w:rsidRPr="00BB6F27">
        <w:t>H.</w:t>
      </w:r>
      <w:r w:rsidRPr="00BB6F27">
        <w:tab/>
        <w:t>vzhledem k tomu, že doporučení úřadu ODIHR ze dne 23. října 2025, která následovala po albánských parlamentních volbách konaných dne 11. května 2025, a předchozí doporučení úřadu ODIHR týkající se dalšího zlepšení průběhu voleb v Albánii dosud nebyla plně zohledněna;</w:t>
      </w:r>
    </w:p>
    <w:p w:rsidR="00F36746" w:rsidRPr="00BB6F27" w:rsidP="00A34482" w14:paraId="17336CB6" w14:textId="77777777">
      <w:pPr>
        <w:pStyle w:val="NormalHanging12a"/>
      </w:pPr>
      <w:r w:rsidRPr="00BB6F27">
        <w:t>1.</w:t>
      </w:r>
      <w:r w:rsidRPr="00BB6F27">
        <w:tab/>
        <w:t>vítá mimořádné úsilí Albánie o začlenění do EU, které je založeno na konsensu všech politických stran a jednoznačné podpoře občanů této země, a oceňuje skutečnost, že Albánie otevřela všechny tematické okruhy přístupových jednání během pouhých 13 měsíců; konstatuje, že podpora členství v EU ze strany albánských občanů zůstává trvale vysoká a odráží silné evropské ambice albánské společnosti; vybízí zemi, aby udržela svou současnou reformní dynamiku a pokračovala ve sbližování s </w:t>
      </w:r>
      <w:r w:rsidRPr="00BB6F27">
        <w:rPr>
          <w:i/>
          <w:iCs/>
        </w:rPr>
        <w:t>acquis</w:t>
      </w:r>
      <w:r w:rsidRPr="00BB6F27">
        <w:t xml:space="preserve"> EU, a zdůrazňuje, že pokrok, kterého Albánie dosahuje na své evropské cestě, přispívá ke stabilitě, bezpečnosti a odolnosti evropského kontinentu;</w:t>
      </w:r>
    </w:p>
    <w:p w:rsidR="00F36746" w:rsidRPr="00BB6F27" w:rsidP="00A34482" w14:paraId="2ADE3871" w14:textId="77777777">
      <w:pPr>
        <w:pStyle w:val="NormalHanging12a"/>
      </w:pPr>
      <w:r w:rsidRPr="00BB6F27">
        <w:t>2.</w:t>
      </w:r>
      <w:r w:rsidRPr="00BB6F27">
        <w:tab/>
        <w:t>bere na vědomí ambici Albánie uzavřít přístupová jednání do konce roku 2027 a vítá rychlý pokrok, jehož bylo v tomto ohledu v posledních letech dosaženo; zdůrazňuje, že je třeba, aby albánské orgány zajistily důsledné provádění právních předpisů;</w:t>
      </w:r>
    </w:p>
    <w:p w:rsidR="00F36746" w:rsidRPr="00BB6F27" w:rsidP="00A34482" w14:paraId="2A2814FA" w14:textId="77777777">
      <w:pPr>
        <w:pStyle w:val="NormalHanging12a"/>
      </w:pPr>
      <w:r w:rsidRPr="00BB6F27">
        <w:t>3.</w:t>
      </w:r>
      <w:r w:rsidRPr="00BB6F27">
        <w:tab/>
        <w:t xml:space="preserve">konstatuje, že jak zpráva Komise o Albánii z roku 2025, tak zpráva úřadu ODIHR o parlamentních volbách, které se konaly v květnu 2025, hodnotí albánský volební rámec jako obecně dostačující pro konání voleb založených na soutěži mezi kandidáty, avšak znovu vyjadřují znepokojení v souvislosti s nerovnými podmínkami pro politické aktéry, zneužíváním administrativních zdrojů, které stírá hranice mezi státními institucemi a stranickými strukturami, financováním politických stran, obviněními z kupování hlasů a nátlakem na voliče; vyzývá proto aktéry zastupující albánskou politickou většinu i opozici, aby v úzké spolupráci s občanskou společností konstruktivně a inkluzivně usilovaly o komplexní volební reformu a aby v dostatečném předstihu před budoucími volebními cykly plně provedly zbývající doporučení úřadu ODIHR a Benátské komise; zdůrazňuje, že reforma by měla posílit volební rámec, a to i pokud jde o transparentnost financování kampaní, rovný přístup ke sdělovacím prostředkům a záruky proti zneužívání administrativních zdrojů, a zajistit, aby byl tento </w:t>
      </w:r>
      <w:r w:rsidRPr="00BB6F27">
        <w:t>rámec účinně prosazován; zdůrazňuje, že pro zajištění důvěry veřejnosti v budoucí volby má zásadní význam široký politický konsensus a skutečné provádění těchto reforem;</w:t>
      </w:r>
    </w:p>
    <w:p w:rsidR="00F36746" w:rsidRPr="00BB6F27" w:rsidP="00A34482" w14:paraId="5EB99110" w14:textId="77777777">
      <w:pPr>
        <w:pStyle w:val="NormalHanging12a"/>
      </w:pPr>
      <w:r w:rsidRPr="00BB6F27">
        <w:t>4.</w:t>
      </w:r>
      <w:r w:rsidRPr="00BB6F27">
        <w:tab/>
        <w:t>vyjadřuje znepokojení nad pokračující politickou polarizací a konfrontačním politickým diskursem, které podkopávají parlamentní dohled, důvěru veřejnosti a účinné fungování demokratických institucí; vybízí politické aktéry, aby se znovu zapojili do konstruktivního parlamentního dialogu a zajistili, aby byl albánský parlament ústředním fórem pro demokratickou diskusi a demokratický dohled; zdůrazňuje, že fungující demokracie vyžaduje smysluplnou účast opozice v parlamentních postupech; připomíná, že násilné protesty nemají ve fungující demokracii místo;</w:t>
      </w:r>
    </w:p>
    <w:p w:rsidR="00F36746" w:rsidRPr="00BB6F27" w:rsidP="00A34482" w14:paraId="0FFEEF47" w14:textId="77777777">
      <w:pPr>
        <w:pStyle w:val="NormalHanging12a"/>
      </w:pPr>
      <w:r w:rsidRPr="00BB6F27">
        <w:t>5.</w:t>
      </w:r>
      <w:r w:rsidRPr="00BB6F27">
        <w:tab/>
        <w:t>vybízí k důslednější parlamentní kontrole výkonné moci, větší transparentnosti legislativních postupů a smysluplnějším konzultacím vedeným již v rané fázi s organizacemi občanské společnosti, sociálními partnery a nezávislými institucemi; zdůrazňuje, že v procesu integrace do EU je třeba dosahovat pokroku, aniž by byla ohrožena kvalita a </w:t>
      </w:r>
      <w:r w:rsidRPr="00BB6F27">
        <w:t>inkluzivnost</w:t>
      </w:r>
      <w:r w:rsidRPr="00BB6F27">
        <w:t xml:space="preserve"> reforem; zdůrazňuje, že pro zajištění jejich udržitelného provádění a trvalého dopadu je důležité odpovídající zapojení zúčastněných stran a odpovědnost členských států; zdůrazňuje, že je důležité posílit úlohu a kapacity albánských parlamentních výborů, mimo jiné prostřednictvím lepšího přístupu k informacím, odborné podpory a transparentních legislativních postupů;</w:t>
      </w:r>
    </w:p>
    <w:p w:rsidR="00F36746" w:rsidRPr="00BB6F27" w:rsidP="00A34482" w14:paraId="00ED212C" w14:textId="77777777">
      <w:pPr>
        <w:pStyle w:val="NormalHanging12a"/>
        <w:rPr>
          <w:b/>
          <w:bCs/>
          <w:i/>
          <w:iCs/>
        </w:rPr>
      </w:pPr>
      <w:r w:rsidRPr="00BB6F27">
        <w:rPr>
          <w:b/>
          <w:i/>
        </w:rPr>
        <w:t>Právní stát, soudnictví a boj proti korupci</w:t>
      </w:r>
    </w:p>
    <w:p w:rsidR="00F36746" w:rsidRPr="00BB6F27" w:rsidP="00A34482" w14:paraId="241E49F6" w14:textId="77777777">
      <w:pPr>
        <w:pStyle w:val="NormalHanging12a"/>
      </w:pPr>
      <w:r w:rsidRPr="00BB6F27">
        <w:t>6.</w:t>
      </w:r>
      <w:r w:rsidRPr="00BB6F27">
        <w:tab/>
        <w:t>vítá, že v Albánii pokračuje proces reformy soudnictví, včetně prověřování soudců a státních zástupců, což přispívá ke zvýšení odpovědnosti a integrity v soudnictví této země; chválí Vysokou radu pro soudnictví za to, že jmenovala nové soudce a státní zástupce, a přispěla tak ke snížení počtu neobsazených míst; zdůrazňuje, že ochrana nezávislosti soudnictví má i nadále zásadní význam pro právní stát, spolu s pokračujícím úsilím o další posílení odpovědnosti, kvality a účinnosti soudnictví;</w:t>
      </w:r>
      <w:r w:rsidRPr="00BB6F27">
        <w:rPr>
          <w:b/>
          <w:i/>
        </w:rPr>
        <w:t xml:space="preserve"> </w:t>
      </w:r>
      <w:r w:rsidRPr="00BB6F27">
        <w:t>bere však na vědomí přetrvávající problémy týkající se účinnosti soudnictví, účinného vymáhání pravomocných rozhodnutí soudu, hromadění nevyřízených případů, jednotnosti judikatury a pokusů o nepřípustné ovlivňování;</w:t>
      </w:r>
    </w:p>
    <w:p w:rsidR="00F36746" w:rsidRPr="00BB6F27" w:rsidP="00A34482" w14:paraId="390825F4" w14:textId="77777777">
      <w:pPr>
        <w:pStyle w:val="NormalHanging12a"/>
      </w:pPr>
      <w:r w:rsidRPr="00BB6F27">
        <w:t>7.</w:t>
      </w:r>
      <w:r w:rsidRPr="00BB6F27">
        <w:tab/>
        <w:t>připomíná, že parlamentní imunita je součástí albánského ústavního rámce, jehož cílem je zajistit řádné fungování demokratických institucí; zdůrazňuje, že veškerá rozhodnutí v tomto ohledu by měla být přijímána výhradně v souladu s ústavními ustanoveními a zavedenými právními postupy bez politického vměšování a bez zbytečného odkladu;</w:t>
      </w:r>
    </w:p>
    <w:p w:rsidR="00F36746" w:rsidRPr="00BB6F27" w:rsidP="00A34482" w14:paraId="08A4E0D7" w14:textId="77777777">
      <w:pPr>
        <w:pStyle w:val="NormalHanging12a"/>
        <w:rPr>
          <w:bCs/>
          <w:iCs/>
        </w:rPr>
      </w:pPr>
      <w:r w:rsidRPr="00BB6F27">
        <w:t>8.</w:t>
      </w:r>
      <w:r w:rsidRPr="00BB6F27">
        <w:tab/>
        <w:t>chválí albánské orgány za neustálé zlepšování účinnosti ústavního soudu této země; vyzývá však k dalšímu posílení orgánů soudní správy a k trvalým investicím do soudní infrastruktury a digitalizace; připomíná, že soudnictví i nadále čelí politickým tlakům a hrozbám, které mohou ohrozit jeho nezávislost; zdůrazňuje, že je důležité, aby jak orgány výkonné, tak soudní moci včas a v plném rozsahu prováděly rozhodnutí ústavního soudu, neboť to představuje zásadní prvek právního státu a institucionální rovnováhy;</w:t>
      </w:r>
    </w:p>
    <w:p w:rsidR="00F36746" w:rsidRPr="00BB6F27" w:rsidP="00A34482" w14:paraId="38525626" w14:textId="77777777">
      <w:pPr>
        <w:pStyle w:val="NormalHanging12a"/>
        <w:rPr>
          <w:bCs/>
          <w:iCs/>
        </w:rPr>
      </w:pPr>
      <w:r w:rsidRPr="00BB6F27">
        <w:t>9.</w:t>
      </w:r>
      <w:r w:rsidRPr="00BB6F27">
        <w:tab/>
        <w:t xml:space="preserve">vyjadřuje politování nad tím, že podle hodnocení, které zveřejnila organizace </w:t>
      </w:r>
      <w:r w:rsidRPr="00BB6F27">
        <w:t>Transparency</w:t>
      </w:r>
      <w:r w:rsidRPr="00BB6F27">
        <w:t xml:space="preserve"> International v rámci indexu vnímání korupce za rok 2025, klesla Albánie na 91. místo, zatímco v roce 2024 se umístila na 80. místě; zdůrazňuje, že korupce vzbuzuje i nadále velké obavy a že navzdory pokroku dosaženému v právním </w:t>
      </w:r>
      <w:r w:rsidRPr="00BB6F27">
        <w:t xml:space="preserve">a institucionálním rámci musí Albánie dále posilovat své policejní kapacity se zaměřením na tuto oblast a upevňovat své výsledky v oblasti vyšetřování, stíhání a pravomocných odsouzení, zejména v případech korupce na vysoké úrovni; vítá přijetí klíčových protikorupčních právních předpisů, včetně předpisů o ochraně oznamovatelů a střetu zájmů, a vyzývá k jejich důkladnému provádění; vítá pokračující činnost specializovaných protikorupčních orgánů a orgánů pro boj proti organizované trestné činnosti, včetně zvláštní struktury pro boj proti korupci a organizované trestné činnosti (SPAK), a vyzývá k zajištění jejich trvalé nezávislosti, odpovídajícího financování a dostatečné operační kapacity, aniž by byly omezovány jejich vyšetřovací pravomoci nebo narušována jejich činnost; vyzývá k většímu úsilí o zajištění účinného vysledování, zmrazení, konfiskace a správy majetku pocházejícího z trestné činnosti, mimo jiné prostřednictvím systematického finančního vyšetřování, lepší </w:t>
      </w:r>
      <w:r w:rsidRPr="00BB6F27">
        <w:t>meziagenturní</w:t>
      </w:r>
      <w:r w:rsidRPr="00BB6F27">
        <w:t xml:space="preserve"> a přeshraniční spolupráce a plného využívání konfiskačních nástrojů v souladu se základními právy;</w:t>
      </w:r>
    </w:p>
    <w:p w:rsidR="00F36746" w:rsidRPr="00BB6F27" w:rsidP="00A34482" w14:paraId="49BFB291" w14:textId="77777777">
      <w:pPr>
        <w:pStyle w:val="NormalHanging12a"/>
      </w:pPr>
      <w:r w:rsidRPr="00BB6F27">
        <w:t>10.</w:t>
      </w:r>
      <w:r w:rsidRPr="00BB6F27">
        <w:tab/>
        <w:t>trvá na tom, že korupci je třeba řešit na všech úrovních, aby se posílila důvěra občanů ve státní instituce a zajistilo se předvídatelné podnikatelské prostředí; vyzývá k posílení transparentnosti, kontrol střetu zájmů, posuzování rizik integrity a cílených preventivních opatření ve vysoce rizikových odvětvích, zejména v oblasti zadávání veřejných zakázek a koncesí, udělování licencí a inspekcí a stavebnictví a územního plánování;</w:t>
      </w:r>
    </w:p>
    <w:p w:rsidR="00F36746" w:rsidRPr="00BB6F27" w:rsidP="00A34482" w14:paraId="5A323872" w14:textId="77777777">
      <w:pPr>
        <w:pStyle w:val="NormalHanging12a"/>
      </w:pPr>
      <w:r w:rsidRPr="00BB6F27">
        <w:t>11.</w:t>
      </w:r>
      <w:r w:rsidRPr="00BB6F27">
        <w:tab/>
        <w:t>vyzývá Albánii, aby rozhodujícím způsobem pokročila v oblasti prvotní evidence nemovitostí a spravedlivé a obecně uznávané náhrady a zlepšila transparentnost státního katastru nemovitostí a kvalitu katastrálních údajů v katastru nemovitostí a zajistila dodržování práva na spravedlivý proces a práva na účinnou soudní ochranu v případech vyvlastnění a odebrání nemovitostí;</w:t>
      </w:r>
    </w:p>
    <w:p w:rsidR="00F36746" w:rsidRPr="00BB6F27" w:rsidP="00A34482" w14:paraId="53AC4A19" w14:textId="77777777">
      <w:pPr>
        <w:pStyle w:val="NormalHanging12a"/>
        <w:rPr>
          <w:bCs/>
          <w:iCs/>
        </w:rPr>
      </w:pPr>
      <w:r w:rsidRPr="00BB6F27">
        <w:t>12.</w:t>
      </w:r>
      <w:r w:rsidRPr="00BB6F27">
        <w:tab/>
        <w:t>zdůrazňuje, že je důležité účinně bojovat proti organizované trestné činnosti, včetně praní peněz a sítí pro obchodování s drogami, a vyzývá k intenzivnější spolupráci s agenturami EU, jako je Europol a </w:t>
      </w:r>
      <w:r w:rsidRPr="00BB6F27">
        <w:t>Eurojust</w:t>
      </w:r>
      <w:r w:rsidRPr="00BB6F27">
        <w:t>; vyzývá albánské orgány, aby zintenzivnily úsilí o sladění albánského právního rámce pro organizovanou trestnou činnost s </w:t>
      </w:r>
      <w:r w:rsidRPr="00BB6F27">
        <w:rPr>
          <w:i/>
          <w:iCs/>
        </w:rPr>
        <w:t>acquis</w:t>
      </w:r>
      <w:r w:rsidRPr="00BB6F27">
        <w:t xml:space="preserve"> EU, posílily kapacitu donucovacích orgánů a zlepšily účinnost vyšetřování;</w:t>
      </w:r>
    </w:p>
    <w:p w:rsidR="00F36746" w:rsidRPr="00BB6F27" w:rsidP="00A34482" w14:paraId="13A39560" w14:textId="77777777">
      <w:pPr>
        <w:pStyle w:val="NormalHanging12a"/>
      </w:pPr>
      <w:r w:rsidRPr="00BB6F27">
        <w:t>13.</w:t>
      </w:r>
      <w:r w:rsidRPr="00BB6F27">
        <w:tab/>
        <w:t>vítá skutečnost, že banky v Albánii oficiálně začaly provádět přeshraniční transakce v eurech prostřednictvím systému SEPA; oceňuje albánské orgány za to, že vyvinuly značné úsilí v boji proti praní peněz a přijaly národní strategii pro boj proti praní peněz a financování terorismu na období 2024–2030; bere na vědomí iniciativu „Albánie bez hotovosti 2030“, jejímž cílem je řešit vysokou míru neformálnosti v oblasti podnikání a nezákonných peněžních toků;</w:t>
      </w:r>
    </w:p>
    <w:p w:rsidR="00F36746" w:rsidRPr="00BB6F27" w:rsidP="00A34482" w14:paraId="05A633C2" w14:textId="77777777">
      <w:pPr>
        <w:pStyle w:val="NormalHanging12a"/>
        <w:rPr>
          <w:b/>
          <w:bCs/>
          <w:i/>
          <w:iCs/>
        </w:rPr>
      </w:pPr>
      <w:r w:rsidRPr="00BB6F27">
        <w:rPr>
          <w:b/>
          <w:i/>
        </w:rPr>
        <w:t>Základní práva a svoboda sdělovacích prostředků</w:t>
      </w:r>
    </w:p>
    <w:p w:rsidR="00F36746" w:rsidRPr="00BB6F27" w:rsidP="00A34482" w14:paraId="541C4F93" w14:textId="77777777">
      <w:pPr>
        <w:pStyle w:val="NormalHanging12a"/>
        <w:rPr>
          <w:bCs/>
          <w:iCs/>
        </w:rPr>
      </w:pPr>
      <w:r w:rsidRPr="00BB6F27">
        <w:t>14.</w:t>
      </w:r>
      <w:r w:rsidRPr="00BB6F27">
        <w:tab/>
        <w:t xml:space="preserve">vítá skutečnost, že v rámci světového indexu svobody tisku za rok 2025, který zveřejňuje organizace Reportéři bez hranic, se Albánie v žebříčku posunula směrem nahoru, a to z 99. místa (rok 2024) na 80. místo (rok 2025); vyzývá k dalšímu úsilí o ochranu svobody projevu a plurality sdělovacích prostředků v Albánii, včetně větší transparentnosti, pokud jde o možné střety zájmů vlastníků sdělovacích prostředků, záruk proti politickému a ekonomickému nátlaku na novináře a účinného vyšetřování hrozeb a útoků zaměřených na pracovníky sdělovacích prostředků; vyzývá rovněž k větší transparentnosti struktur vlastnictví sdělovacích prostředků a k transparentní </w:t>
      </w:r>
      <w:r w:rsidRPr="00BB6F27">
        <w:t>distribuci státní reklamy s cílem zajistit redakční nezávislost a pluralitu sdělovacích prostředků;</w:t>
      </w:r>
    </w:p>
    <w:p w:rsidR="00F36746" w:rsidRPr="00BB6F27" w:rsidP="00A34482" w14:paraId="5D2599C9" w14:textId="77777777">
      <w:pPr>
        <w:pStyle w:val="NormalHanging12a"/>
        <w:rPr>
          <w:bCs/>
          <w:iCs/>
        </w:rPr>
      </w:pPr>
      <w:r w:rsidRPr="00BB6F27">
        <w:t>15.</w:t>
      </w:r>
      <w:r w:rsidRPr="00BB6F27">
        <w:tab/>
        <w:t>důrazně odsuzuje nepřátelství vůči nezávislým novinářům a pracovníkům sdělovacích prostředků v Albánii, včetně slovních útoků a </w:t>
      </w:r>
      <w:r w:rsidRPr="00BB6F27">
        <w:t>protimediální</w:t>
      </w:r>
      <w:r w:rsidRPr="00BB6F27">
        <w:t xml:space="preserve"> rétoriky vysoce postavených představitelů, očerňujících kampaní a </w:t>
      </w:r>
      <w:r w:rsidRPr="00BB6F27">
        <w:t>misogynního</w:t>
      </w:r>
      <w:r w:rsidRPr="00BB6F27">
        <w:t xml:space="preserve"> obtěžování na internetu, jež často cílí na novináře, kteří informují o právním státu, korupci a spravedlnosti; dále vyjadřuje znepokojení nad vysokým počtem soudních řízení proti novinářům; vítá nedávné změny trestního zákoníku Albánie; vyjadřuje však politování nad tím, že nevedly k úplné dekriminalizaci pomluvy a urážky v souladu s unijními a mezinárodními normami;</w:t>
      </w:r>
    </w:p>
    <w:p w:rsidR="00F36746" w:rsidRPr="00BB6F27" w:rsidP="00A34482" w14:paraId="068996A1" w14:textId="77777777">
      <w:pPr>
        <w:pStyle w:val="NormalHanging12a"/>
      </w:pPr>
      <w:r w:rsidRPr="00BB6F27">
        <w:t>16.</w:t>
      </w:r>
      <w:r w:rsidRPr="00BB6F27">
        <w:tab/>
        <w:t>vyzývá albánské orgány, aby podporovaly mediální a digitální gramotnost jako doplňkové opatření k posílení odolnosti informačního prostředí, mimo jiné začleněním iniciativ v oblasti mediální gramotnosti do celého vzdělávacího systému, podporovaly odbornou přípravu učitelů a moderní zdroje vzdělávání a posílily spolupráci s nezávislými sdělovacími prostředky a příslušnými programy EU na podporu kritického myšlení a odpovědného využívání digitální komunikace;</w:t>
      </w:r>
    </w:p>
    <w:p w:rsidR="00F36746" w:rsidRPr="00BB6F27" w:rsidP="00A34482" w14:paraId="67645376" w14:textId="77777777">
      <w:pPr>
        <w:pStyle w:val="NormalHanging12a"/>
      </w:pPr>
      <w:r w:rsidRPr="00BB6F27">
        <w:t>17.</w:t>
      </w:r>
      <w:r w:rsidRPr="00BB6F27">
        <w:tab/>
        <w:t xml:space="preserve">vybízí Albánii, aby posílila institucionální rámec pro ochranu a podporu práv příslušníků etnických a náboženských menšin a osob náležejících ke zranitelným skupinám, včetně Romů a Egypťanů, osob se zdravotním postižením, migrujících pracovníků a osob LGBTIQ+, a aby zajistila účinné provádění antidiskriminačních právních předpisů a lepší přístup etnických a náboženských menšin a zranitelných skupin k veřejným službám a jejich smysluplnou účast na společenském, hospodářském a politickém životě; je znepokojen tím, že v politickém diskursu v Albánii je slyšet </w:t>
      </w:r>
      <w:r w:rsidRPr="00BB6F27">
        <w:t>protigenderová</w:t>
      </w:r>
      <w:r w:rsidRPr="00BB6F27">
        <w:t xml:space="preserve"> rétorika; konstatuje, že posílení institucionálního rámce na ochranu práv menšin musí být doprovázeno účinnými opatřeními, která zajistí plné a účinné uplatňování těchto práv v praxi;</w:t>
      </w:r>
    </w:p>
    <w:p w:rsidR="00F36746" w:rsidRPr="00BB6F27" w:rsidP="00A34482" w14:paraId="0EE2BFD2" w14:textId="77777777">
      <w:pPr>
        <w:pStyle w:val="NormalHanging12a"/>
      </w:pPr>
      <w:r w:rsidRPr="00BB6F27">
        <w:t>18.</w:t>
      </w:r>
      <w:r w:rsidRPr="00BB6F27">
        <w:tab/>
        <w:t>vyzývá albánské orgány, aby zajistily udržitelný přístup uznávaných národnostních menšin ke vzdělávání v menšinových jazycích a podporovaly odpovídající odbornou přípravu učitelů, vydávání učebnic a zachování kulturní identity;</w:t>
      </w:r>
    </w:p>
    <w:p w:rsidR="00F36746" w:rsidRPr="00BB6F27" w:rsidP="00A34482" w14:paraId="2BE5889F" w14:textId="77777777">
      <w:pPr>
        <w:pStyle w:val="NormalHanging12a"/>
        <w:rPr>
          <w:bCs/>
          <w:iCs/>
        </w:rPr>
      </w:pPr>
      <w:r w:rsidRPr="00BB6F27">
        <w:t>19.</w:t>
      </w:r>
      <w:r w:rsidRPr="00BB6F27">
        <w:tab/>
        <w:t>oceňuje, že byl v Albánii přijat zákon o rovnosti žen a mužů, který je v souladu s </w:t>
      </w:r>
      <w:r w:rsidRPr="00BB6F27">
        <w:rPr>
          <w:i/>
          <w:iCs/>
        </w:rPr>
        <w:t>acquis</w:t>
      </w:r>
      <w:r w:rsidRPr="00BB6F27">
        <w:t xml:space="preserve"> EU a mezinárodními normami v oblasti lidských práv; je však znepokojen vlnami dezinformací a nenávisti vůči LGBTIQ+ osobám, včetně kampaní očerňujících práci organizací občanské společnosti, které usilují o rovnost LGBTIQ+ osob; vyzývá albánské orgány k zajištění toho, aby se osoby šířící diskriminační rétoriku zodpovídaly před zákonem; vyzývá albánskou vládu, aby navrhla právní opatření, jako je registrované partnerství, s cílem uznat a chránit páry stejného pohlaví v souladu se svým závazkem v národním akčním plánu pro osoby LGBTI (2021–2027) a uvést albánské právní předpisy v oblasti lidských práv do souladu s </w:t>
      </w:r>
      <w:r w:rsidRPr="00BB6F27">
        <w:rPr>
          <w:i/>
          <w:iCs/>
        </w:rPr>
        <w:t>acquis</w:t>
      </w:r>
      <w:r w:rsidRPr="00BB6F27">
        <w:t xml:space="preserve"> EU;</w:t>
      </w:r>
    </w:p>
    <w:p w:rsidR="00F36746" w:rsidRPr="00BB6F27" w:rsidP="00A34482" w14:paraId="1FB7117B" w14:textId="77777777">
      <w:pPr>
        <w:pStyle w:val="NormalHanging12a"/>
        <w:rPr>
          <w:bCs/>
          <w:iCs/>
        </w:rPr>
      </w:pPr>
      <w:r w:rsidRPr="00BB6F27">
        <w:t>20.</w:t>
      </w:r>
      <w:r w:rsidRPr="00BB6F27">
        <w:tab/>
        <w:t xml:space="preserve">s potěšením bere na vědomí, že je uznávána dlouhodobá historická přítomnost bulharské komunity v regionech, jako jsou </w:t>
      </w:r>
      <w:r w:rsidRPr="00BB6F27">
        <w:t>Prespa</w:t>
      </w:r>
      <w:r w:rsidRPr="00BB6F27">
        <w:t xml:space="preserve">, </w:t>
      </w:r>
      <w:r w:rsidRPr="00BB6F27">
        <w:t>Gollobordë</w:t>
      </w:r>
      <w:r w:rsidRPr="00BB6F27">
        <w:t xml:space="preserve"> a Gora, a vybízí albánské orgány, aby zajistily plné dodržování jazykových, kulturních a vzdělávacích práv této komunity, ale i jiných uznaných národnostních menšin Albánie;</w:t>
      </w:r>
    </w:p>
    <w:p w:rsidR="00F36746" w:rsidP="00A34482" w14:paraId="4D266DBB" w14:textId="77777777">
      <w:pPr>
        <w:pStyle w:val="NormalHanging12a"/>
      </w:pPr>
      <w:r w:rsidRPr="00BB6F27">
        <w:t>21.</w:t>
      </w:r>
      <w:r w:rsidRPr="00BB6F27">
        <w:tab/>
        <w:t xml:space="preserve">vyjadřuje politování nad tím, že problémy diskriminace a sociálního vyloučení, které postihují menšinové skupiny v Albánii, zejména pokud jde o přístup ke vzdělání, </w:t>
      </w:r>
      <w:r w:rsidRPr="00BB6F27">
        <w:t>zaměstnání a veřejným službám, stále přetrvávají; vyzývá albánskou vládu, aby plně sladila antidiskriminační politiky a práva menšin s </w:t>
      </w:r>
      <w:r w:rsidRPr="00BB6F27">
        <w:rPr>
          <w:i/>
          <w:iCs/>
        </w:rPr>
        <w:t>acquis</w:t>
      </w:r>
      <w:r w:rsidRPr="00BB6F27">
        <w:t xml:space="preserve"> EU; zdůrazňuje, že je třeba zlepšit přístup ke spravedlnosti a politickou účast, zejména pro zranitelné a </w:t>
      </w:r>
      <w:r w:rsidRPr="00BB6F27">
        <w:t>marginalizované</w:t>
      </w:r>
      <w:r w:rsidRPr="00BB6F27">
        <w:t xml:space="preserve"> skupiny;</w:t>
      </w:r>
    </w:p>
    <w:p w:rsidR="00953976" w:rsidRPr="00BB6F27" w:rsidP="00A34482" w14:paraId="5351B2EC" w14:textId="61276FF6">
      <w:pPr>
        <w:pStyle w:val="NormalHanging12a"/>
      </w:pPr>
      <w:r w:rsidRPr="00953976">
        <w:t>2</w:t>
      </w:r>
      <w:r w:rsidR="00340BFE">
        <w:t>2</w:t>
      </w:r>
      <w:r w:rsidRPr="00953976">
        <w:t>.</w:t>
      </w:r>
      <w:r w:rsidRPr="00953976">
        <w:tab/>
        <w:t>uznává, že řecká národnostní menšina je zde s ohledem na dějiny regionu stále početná, zejména v jižní Albánii, a vyzývá Albánii, aby zajistila ochranu práva na vlastnictví</w:t>
      </w:r>
      <w:r>
        <w:t>;</w:t>
      </w:r>
    </w:p>
    <w:p w:rsidR="00F36746" w:rsidRPr="00BB6F27" w:rsidP="00A34482" w14:paraId="564C74CD" w14:textId="21C8D34D">
      <w:pPr>
        <w:pStyle w:val="NormalHanging12a"/>
      </w:pPr>
      <w:r w:rsidRPr="00BB6F27">
        <w:t>2</w:t>
      </w:r>
      <w:r w:rsidR="00340BFE">
        <w:t>3</w:t>
      </w:r>
      <w:r w:rsidRPr="00BB6F27">
        <w:t>.</w:t>
      </w:r>
      <w:r w:rsidRPr="00BB6F27">
        <w:tab/>
        <w:t>zdůrazňuje rovněž, že je důležité zachovat památná místa související s komunistickou diktaturou a podporovat vzpomínkové akce a vzdělávací iniciativy, které posilují historické povědomí a demokratickou kulturu, zejména mezi mladšími generacemi;</w:t>
      </w:r>
    </w:p>
    <w:p w:rsidR="00F36746" w:rsidRPr="00BB6F27" w:rsidP="00A34482" w14:paraId="4E29BC75" w14:textId="305EE247">
      <w:pPr>
        <w:pStyle w:val="NormalHanging12a"/>
      </w:pPr>
      <w:r w:rsidRPr="00BB6F27">
        <w:t>2</w:t>
      </w:r>
      <w:r w:rsidR="00340BFE">
        <w:t>4</w:t>
      </w:r>
      <w:r w:rsidRPr="00BB6F27">
        <w:t>.</w:t>
      </w:r>
      <w:r w:rsidRPr="00BB6F27">
        <w:tab/>
        <w:t>vítá dynamickou a konstruktivní občanskou společnost Albánie, která hraje v reformním procesu klíčovou a pozitivní úlohu; vybízí albánskou vládu, aby budovala vztahy založené na spolupráci a již od rané fáze skutečně zapojovala občanskou společnost do transparentního legislativního procesu; vyjadřuje však politování nad tím, že organizace občanské společnosti v Albánii čelí i nadále obtížím a dostávají omezené veřejné finanční prostředky; dále vyzývá albánskou vládu, aby pro občanskou společnost zajistila příznivé, bezpečné a nediskriminační prostředí;</w:t>
      </w:r>
    </w:p>
    <w:p w:rsidR="00F36746" w:rsidRPr="00BB6F27" w:rsidP="00A34482" w14:paraId="322FA221" w14:textId="431B8533">
      <w:pPr>
        <w:pStyle w:val="NormalHanging12a"/>
      </w:pPr>
      <w:r w:rsidRPr="00BB6F27">
        <w:t>2</w:t>
      </w:r>
      <w:r w:rsidR="00340BFE">
        <w:t>5</w:t>
      </w:r>
      <w:r w:rsidRPr="00BB6F27">
        <w:t>.</w:t>
      </w:r>
      <w:r w:rsidRPr="00BB6F27">
        <w:tab/>
        <w:t>je znepokojen tím, že podle celosvětového hodnocení zprávy Světového ekonomického fóra o globálních genderových rozdílech z roku 2025 klesla Albánie z 23. místa v roce 2024 na 36. místo v roce 2025, což naznačuje prohlubující se rozdíly mezi ženami a muži; vyjadřuje politování nad tím, že právní rámec Albánie pro boj proti genderově podmíněnému násilí dosud není v souladu s Istanbulskou úmluvou; naléhavě vyzývá albánskou vládu k posílení podpůrných služeb pro oběti, zejména v oblasti zdravotní péče, financování azylových domů pro ženy, bezplatné právní pomoci a programů opětovného začlenění a rehabilitace;</w:t>
      </w:r>
    </w:p>
    <w:p w:rsidR="00F36746" w:rsidRPr="00BB6F27" w:rsidP="00A34482" w14:paraId="686BACB8" w14:textId="11D1D357">
      <w:pPr>
        <w:pStyle w:val="NormalHanging12a"/>
      </w:pPr>
      <w:r w:rsidRPr="00BB6F27">
        <w:t>2</w:t>
      </w:r>
      <w:r w:rsidR="00340BFE">
        <w:t>6</w:t>
      </w:r>
      <w:r w:rsidRPr="00BB6F27">
        <w:t>.</w:t>
      </w:r>
      <w:r w:rsidRPr="00BB6F27">
        <w:tab/>
        <w:t>je znepokojen skutečností, že albánská národní agenda v oblasti práv dítěte (NARC) na období 2021–2026 dosud není plně prováděna a že přístupu dětí ke spravedlnosti brání zpoždění, omezená právní pomoc a nedostatečná institucionální koordinace; vyjadřuje politování nad tím, že většina dětí v Albánii je i nadále ohrožena chudobou; vyzývá albánské orgány, aby účinně prováděly agendu NARC tím, že budou poskytovat pomoc dětem čelícím vyloučení a chudobě;</w:t>
      </w:r>
    </w:p>
    <w:p w:rsidR="00F36746" w:rsidRPr="00BB6F27" w:rsidP="00A34482" w14:paraId="05CDFBCB" w14:textId="77777777">
      <w:pPr>
        <w:pStyle w:val="NormalHanging12a"/>
        <w:rPr>
          <w:b/>
          <w:bCs/>
          <w:i/>
          <w:iCs/>
        </w:rPr>
      </w:pPr>
      <w:r w:rsidRPr="00BB6F27">
        <w:rPr>
          <w:b/>
          <w:i/>
        </w:rPr>
        <w:t>Reforma veřejné správy a správa věcí veřejných</w:t>
      </w:r>
    </w:p>
    <w:p w:rsidR="00F36746" w:rsidRPr="00BB6F27" w:rsidP="00A34482" w14:paraId="4A415245" w14:textId="39A573F7">
      <w:pPr>
        <w:pStyle w:val="NormalHanging12a"/>
        <w:rPr>
          <w:bCs/>
          <w:iCs/>
        </w:rPr>
      </w:pPr>
      <w:r w:rsidRPr="00BB6F27">
        <w:t>2</w:t>
      </w:r>
      <w:r w:rsidR="00340BFE">
        <w:t>7</w:t>
      </w:r>
      <w:r w:rsidRPr="00BB6F27">
        <w:t>.</w:t>
      </w:r>
      <w:r w:rsidRPr="00BB6F27">
        <w:tab/>
        <w:t>uznává pokrok dosažený v reformě veřejné správy, včetně strategického plánování a koordinace; vítá přijetí průřezové strategie pro reformu veřejné správy na období 2025–2030; zdůrazňuje však, že je třeba vyvinout další úsilí k zajištění toho, aby pracovníci ve veřejné službě byli přijímání na základě zásluh a aby došlo k jejímu odpolitizování, včetně přijetí a provádění nového legislativního rámce pro veřejnou službu;</w:t>
      </w:r>
    </w:p>
    <w:p w:rsidR="00F36746" w:rsidRPr="00BB6F27" w:rsidP="00A34482" w14:paraId="46FDEB65" w14:textId="1B5EAFE3">
      <w:pPr>
        <w:pStyle w:val="NormalHanging12a"/>
        <w:rPr>
          <w:bCs/>
        </w:rPr>
      </w:pPr>
      <w:r w:rsidRPr="00BB6F27">
        <w:t>2</w:t>
      </w:r>
      <w:r w:rsidR="00340BFE">
        <w:t>8</w:t>
      </w:r>
      <w:r w:rsidRPr="00BB6F27">
        <w:t>.</w:t>
      </w:r>
      <w:r w:rsidRPr="00BB6F27">
        <w:tab/>
        <w:t>je znepokojen tím, že právní rámec pro zadávání veřejných zakázek ani právní předpisy v oblasti práva obchodních společností nejsou plně v souladu s </w:t>
      </w:r>
      <w:r w:rsidRPr="00BB6F27">
        <w:rPr>
          <w:i/>
          <w:iCs/>
        </w:rPr>
        <w:t>acquis</w:t>
      </w:r>
      <w:r w:rsidRPr="00BB6F27">
        <w:t xml:space="preserve"> EU; vyzývá albánské orgány, aby pokračovaly ve svém úsilí o plné sladění albánských právních předpisů s </w:t>
      </w:r>
      <w:r w:rsidRPr="00BB6F27">
        <w:rPr>
          <w:i/>
          <w:iCs/>
        </w:rPr>
        <w:t>acquis</w:t>
      </w:r>
      <w:r w:rsidRPr="00BB6F27">
        <w:t xml:space="preserve"> EU; vyzývá k posílení parlamentního dohledu, nezávislých auditů a plné transparentnosti postupů zadávání veřejných zakázek s cílem zajistit soulad s normami EU v oblasti hospodářské soutěže, ochrany údajů a boje proti korupci;</w:t>
      </w:r>
    </w:p>
    <w:p w:rsidR="00F36746" w:rsidRPr="00BB6F27" w:rsidP="00A34482" w14:paraId="163C62BA" w14:textId="1A8E532F">
      <w:pPr>
        <w:pStyle w:val="NormalHanging12a"/>
        <w:rPr>
          <w:bCs/>
        </w:rPr>
      </w:pPr>
      <w:r w:rsidRPr="00BB6F27">
        <w:t>2</w:t>
      </w:r>
      <w:r w:rsidR="00340BFE">
        <w:t>9</w:t>
      </w:r>
      <w:r w:rsidRPr="00BB6F27">
        <w:t>.</w:t>
      </w:r>
      <w:r w:rsidRPr="00BB6F27">
        <w:tab/>
        <w:t>s potěšením bere na vědomí, že v Albánii vznikl mezistranický parlamentní výbor, který pracuje na územní reformě; zdůrazňuje, že reformy v této oblasti je třeba vždy provádět prostřednictvím inkluzivního procesu a že musí být založeny na objektivních socioekonomických kritériích a evropských normách místní samosprávy;</w:t>
      </w:r>
    </w:p>
    <w:p w:rsidR="00F36746" w:rsidRPr="00BB6F27" w:rsidP="00A34482" w14:paraId="25A435AA" w14:textId="611A02FF">
      <w:pPr>
        <w:pStyle w:val="NormalHanging12a"/>
        <w:rPr>
          <w:bCs/>
          <w:iCs/>
        </w:rPr>
      </w:pPr>
      <w:r>
        <w:t>30</w:t>
      </w:r>
      <w:r w:rsidRPr="00BB6F27">
        <w:t>.</w:t>
      </w:r>
      <w:r w:rsidRPr="00BB6F27">
        <w:tab/>
        <w:t>vyzývá ke zlepšení politického plánování, rozhodování založeného na faktech a transparentních rozpočtových procesů, včetně posíleného parlamentního dohledu nad veřejnými financemi; trvá na tom, že je nutné navýšit finanční zdroje, rozšířit správní kapacitu a zvýšit fiskální autonomii místních orgánů;</w:t>
      </w:r>
    </w:p>
    <w:p w:rsidR="00F36746" w:rsidRPr="00BB6F27" w:rsidP="00A34482" w14:paraId="27AB8829" w14:textId="3DF1D112">
      <w:pPr>
        <w:pStyle w:val="NormalHanging12a"/>
        <w:rPr>
          <w:bCs/>
          <w:iCs/>
        </w:rPr>
      </w:pPr>
      <w:r w:rsidRPr="00BB6F27">
        <w:t>3</w:t>
      </w:r>
      <w:r w:rsidR="00340BFE">
        <w:t>1</w:t>
      </w:r>
      <w:r w:rsidRPr="00BB6F27">
        <w:t>.</w:t>
      </w:r>
      <w:r w:rsidRPr="00BB6F27">
        <w:tab/>
        <w:t>oceňuje albánské orgány za nedávné přijetí národní strategie kybernetické bezpečnosti na období 2025–2030; vítá sladění stávajícího albánského zákona o kybernetické bezpečnosti se směrnicí EU o bezpečnosti sítí a informací 2</w:t>
      </w:r>
      <w:r>
        <w:rPr>
          <w:rStyle w:val="FootnoteReference"/>
          <w:bCs/>
          <w:iCs/>
        </w:rPr>
        <w:footnoteReference w:id="6"/>
      </w:r>
      <w:r w:rsidRPr="00BB6F27">
        <w:t>; chválí albánské orgány za přijetí aktualizovaného seznamu provozovatelů kritické a důležité informační infrastruktury;</w:t>
      </w:r>
    </w:p>
    <w:p w:rsidR="00F36746" w:rsidRPr="00BB6F27" w:rsidP="00A34482" w14:paraId="7A9358B8" w14:textId="00EE709E">
      <w:pPr>
        <w:pStyle w:val="NormalHanging12a"/>
        <w:rPr>
          <w:bCs/>
          <w:iCs/>
        </w:rPr>
      </w:pPr>
      <w:r w:rsidRPr="00BB6F27">
        <w:t>3</w:t>
      </w:r>
      <w:r w:rsidR="00340BFE">
        <w:t>2</w:t>
      </w:r>
      <w:r w:rsidRPr="00BB6F27">
        <w:t>.</w:t>
      </w:r>
      <w:r w:rsidRPr="00BB6F27">
        <w:tab/>
        <w:t xml:space="preserve">s potěšením bere na vědomí, že Albánie neustále zlepšuje předávání údajů </w:t>
      </w:r>
      <w:r w:rsidRPr="00BB6F27">
        <w:t>Eurostatu</w:t>
      </w:r>
      <w:r w:rsidRPr="00BB6F27">
        <w:t>; vyzývá albánské orgány, aby dále zvýšily svou produkci a distribuci vysoce kvalitních údajů;</w:t>
      </w:r>
    </w:p>
    <w:p w:rsidR="00F36746" w:rsidRPr="00BB6F27" w:rsidP="00A34482" w14:paraId="01BF8428" w14:textId="5662FF0A">
      <w:pPr>
        <w:pStyle w:val="NormalHanging12a"/>
        <w:rPr>
          <w:bCs/>
          <w:iCs/>
        </w:rPr>
      </w:pPr>
      <w:r w:rsidRPr="00BB6F27">
        <w:t>3</w:t>
      </w:r>
      <w:r w:rsidR="00340BFE">
        <w:t>3</w:t>
      </w:r>
      <w:r w:rsidRPr="00BB6F27">
        <w:t>.</w:t>
      </w:r>
      <w:r w:rsidRPr="00BB6F27">
        <w:tab/>
        <w:t>chválí albánskou vládu za přijetí nových zákonů o ochranných známkách a patentech; vyzývá albánské orgány, aby plně sladily albánské právo duševního vlastnictví s </w:t>
      </w:r>
      <w:r w:rsidRPr="00BB6F27">
        <w:rPr>
          <w:i/>
          <w:iCs/>
        </w:rPr>
        <w:t>acquis</w:t>
      </w:r>
      <w:r w:rsidRPr="00BB6F27">
        <w:t xml:space="preserve"> EU a pokračovaly v jeho posilování;</w:t>
      </w:r>
    </w:p>
    <w:p w:rsidR="00F36746" w:rsidRPr="00BB6F27" w:rsidP="00A34482" w14:paraId="2B3DA901" w14:textId="77777777">
      <w:pPr>
        <w:pStyle w:val="NormalHanging12a"/>
        <w:rPr>
          <w:b/>
          <w:bCs/>
          <w:i/>
          <w:iCs/>
        </w:rPr>
      </w:pPr>
      <w:r w:rsidRPr="00BB6F27">
        <w:rPr>
          <w:b/>
          <w:i/>
        </w:rPr>
        <w:t>Socioekonomické reformy a životní prostředí</w:t>
      </w:r>
    </w:p>
    <w:p w:rsidR="00F36746" w:rsidRPr="00BB6F27" w:rsidP="00A34482" w14:paraId="7789673A" w14:textId="2EDF11D4">
      <w:pPr>
        <w:pStyle w:val="NormalHanging12a"/>
      </w:pPr>
      <w:r w:rsidRPr="00BB6F27">
        <w:t>3</w:t>
      </w:r>
      <w:r w:rsidR="00340BFE">
        <w:t>4</w:t>
      </w:r>
      <w:r w:rsidRPr="00BB6F27">
        <w:t>.</w:t>
      </w:r>
      <w:r w:rsidRPr="00BB6F27">
        <w:tab/>
        <w:t>vítá zapojení Albánie do provádění plánu růstu EU pro západní Balkán; konstatuje však, že přetrvávají strukturální nedostatky, včetně neformální ekonomiky, omezeného růstu produktivity a náročného podnikatelského prostředí; vyjadřuje politování nad tím, že rozsáhlá neformální ekonomika škodí podnikatelskému prostředí a hospodářské soutěži; znovu opakuje, že je důležité zlepšit dopravní infrastrukturu mezi zeměmi západního Balkánu a dále rozvíjet železniční a letecké propojení s členskými státy EU; oceňuje, že albánské orgány umožňují osvobození od DPH u projektů v Albánii financovaných Evropskou unií;</w:t>
      </w:r>
    </w:p>
    <w:p w:rsidR="00F36746" w:rsidRPr="00BB6F27" w:rsidP="00A34482" w14:paraId="6D4A0112" w14:textId="3EBBC63C">
      <w:pPr>
        <w:pStyle w:val="NormalHanging12a"/>
        <w:rPr>
          <w:bCs/>
          <w:iCs/>
        </w:rPr>
      </w:pPr>
      <w:r w:rsidRPr="00BB6F27">
        <w:t>3</w:t>
      </w:r>
      <w:r w:rsidR="00340BFE">
        <w:t>5</w:t>
      </w:r>
      <w:r w:rsidRPr="00BB6F27">
        <w:t>.</w:t>
      </w:r>
      <w:r w:rsidRPr="00BB6F27">
        <w:tab/>
        <w:t>připomíná potenciál hospodářského a investičního plánu pro západní Balkán, pokud jde o zajištění většího regionálního propojení prostřednictvím železničních a silničních sítí; v této souvislosti naléhavě vyzývá orgány všech dotčených zemí, aby dokončily projekty v rámci koridoru VIII spojujícího Albánii, Severní Makedonii a Bulharsko;</w:t>
      </w:r>
    </w:p>
    <w:p w:rsidR="00F36746" w:rsidRPr="00BB6F27" w:rsidP="00A34482" w14:paraId="4B180A0C" w14:textId="44B0CBEE">
      <w:pPr>
        <w:pStyle w:val="NormalHanging12a"/>
        <w:rPr>
          <w:bCs/>
          <w:iCs/>
        </w:rPr>
      </w:pPr>
      <w:r w:rsidRPr="00BB6F27">
        <w:t>3</w:t>
      </w:r>
      <w:r w:rsidR="00340BFE">
        <w:t>6</w:t>
      </w:r>
      <w:r w:rsidRPr="00BB6F27">
        <w:t>.</w:t>
      </w:r>
      <w:r w:rsidRPr="00BB6F27">
        <w:tab/>
        <w:t>vyzývá k zavedení komplexního mechanismu prověřování přímých zahraničních investic jako strategické iniciativy na ochranu národních zájmů Albánie, zvýšení bezpečnosti a zajištění předvídatelnosti pro investory a souladu s normami EU;</w:t>
      </w:r>
    </w:p>
    <w:p w:rsidR="00F36746" w:rsidRPr="00BB6F27" w:rsidP="00A34482" w14:paraId="74464799" w14:textId="4D8C4506">
      <w:pPr>
        <w:pStyle w:val="NormalHanging12a"/>
        <w:rPr>
          <w:bCs/>
          <w:iCs/>
        </w:rPr>
      </w:pPr>
      <w:r w:rsidRPr="00BB6F27">
        <w:t>3</w:t>
      </w:r>
      <w:r w:rsidR="00340BFE">
        <w:t>7</w:t>
      </w:r>
      <w:r w:rsidRPr="00BB6F27">
        <w:t>.</w:t>
      </w:r>
      <w:r w:rsidRPr="00BB6F27">
        <w:tab/>
        <w:t xml:space="preserve">zdůrazňuje skutečnost, že systém vnitřní kontroly albánské veřejné vnitřní finanční kontroly je i nadále pouze částečně účinný; vyzývá Albánii, aby zvýšila odpovědnost </w:t>
      </w:r>
      <w:r w:rsidRPr="00BB6F27">
        <w:t>a transparentnost státních podniků tím, že zveřejní jejich výroční zprávy o finanční výkonnosti; vyzývá albánské orgány, aby plně provedly doporučení albánského Nejvyššího kontrolního úřadu;</w:t>
      </w:r>
    </w:p>
    <w:p w:rsidR="00F36746" w:rsidRPr="00BB6F27" w:rsidP="00A34482" w14:paraId="47359F3C" w14:textId="1940CFAC">
      <w:pPr>
        <w:pStyle w:val="NormalHanging12a"/>
        <w:rPr>
          <w:bCs/>
          <w:iCs/>
        </w:rPr>
      </w:pPr>
      <w:r w:rsidRPr="00BB6F27">
        <w:t>3</w:t>
      </w:r>
      <w:r w:rsidR="00340BFE">
        <w:t>8</w:t>
      </w:r>
      <w:r w:rsidRPr="00BB6F27">
        <w:t>.</w:t>
      </w:r>
      <w:r w:rsidRPr="00BB6F27">
        <w:tab/>
        <w:t>s potěšením bere na vědomí, že země přijala strategii modernizace a harmonizace albánských celních informačních systémů se systémy EU na období 2025–2030; chválí albánské orgány za jejich úsilí o splnění norem EU harmonizací a zlepšením celní infrastruktury;</w:t>
      </w:r>
      <w:r w:rsidR="00953976">
        <w:t xml:space="preserve"> </w:t>
      </w:r>
      <w:r w:rsidRPr="00953976" w:rsidR="00953976">
        <w:t>zdůrazňuje, že celní informační systémy potřebují podstatnou modernizaci, aby bylo dosaženo plné harmonizace s normami EU, a vyzývá albánské orgány, aby v tomto ohledu urychlily nezbytné investice a reformy</w:t>
      </w:r>
      <w:r w:rsidR="00953976">
        <w:t>;</w:t>
      </w:r>
    </w:p>
    <w:p w:rsidR="00F36746" w:rsidRPr="00BB6F27" w:rsidP="00A34482" w14:paraId="6F2A94F0" w14:textId="666BC0D0">
      <w:pPr>
        <w:pStyle w:val="NormalHanging12a"/>
        <w:rPr>
          <w:bCs/>
          <w:iCs/>
        </w:rPr>
      </w:pPr>
      <w:r w:rsidRPr="00BB6F27">
        <w:t>3</w:t>
      </w:r>
      <w:r w:rsidR="00340BFE">
        <w:t>9</w:t>
      </w:r>
      <w:r w:rsidRPr="00BB6F27">
        <w:t>.</w:t>
      </w:r>
      <w:r w:rsidRPr="00BB6F27">
        <w:tab/>
        <w:t>oceňuje, že albánské orgány sladily právní předpisy týkající se soukromých penzijních fondů s </w:t>
      </w:r>
      <w:r w:rsidRPr="00BB6F27">
        <w:rPr>
          <w:i/>
          <w:iCs/>
        </w:rPr>
        <w:t>acquis</w:t>
      </w:r>
      <w:r w:rsidRPr="00BB6F27">
        <w:t xml:space="preserve"> EU; vyzývá Albánii, aby dokončila harmonizaci s </w:t>
      </w:r>
      <w:r w:rsidRPr="00BB6F27">
        <w:rPr>
          <w:i/>
          <w:iCs/>
        </w:rPr>
        <w:t>acquis</w:t>
      </w:r>
      <w:r w:rsidRPr="00BB6F27">
        <w:t xml:space="preserve"> EU v oblasti pojišťovnictví, kapitálových trhů, trhů s cennými papíry, investičních fondů a infrastruktury finančních trhů;</w:t>
      </w:r>
    </w:p>
    <w:p w:rsidR="00F36746" w:rsidRPr="00BB6F27" w:rsidP="00A34482" w14:paraId="4FA0BAB7" w14:textId="3F7E950C">
      <w:pPr>
        <w:pStyle w:val="NormalHanging12a"/>
        <w:rPr>
          <w:bCs/>
          <w:iCs/>
        </w:rPr>
      </w:pPr>
      <w:r>
        <w:t>40</w:t>
      </w:r>
      <w:r w:rsidRPr="00BB6F27">
        <w:t>.</w:t>
      </w:r>
      <w:r w:rsidRPr="00BB6F27">
        <w:tab/>
      </w:r>
      <w:r w:rsidRPr="00953976" w:rsidR="00953976">
        <w:t>s nadšením vítá návrh Komise a zmocnění Rady k zahájení jednání o rozšíření režimu EU „</w:t>
      </w:r>
      <w:r w:rsidRPr="00953976" w:rsidR="00953976">
        <w:t>Roam</w:t>
      </w:r>
      <w:r w:rsidRPr="00953976" w:rsidR="00953976">
        <w:t xml:space="preserve"> </w:t>
      </w:r>
      <w:r w:rsidRPr="00953976" w:rsidR="00953976">
        <w:t>Like</w:t>
      </w:r>
      <w:r w:rsidRPr="00953976" w:rsidR="00953976">
        <w:t xml:space="preserve"> </w:t>
      </w:r>
      <w:r w:rsidRPr="00953976" w:rsidR="00953976">
        <w:t>at</w:t>
      </w:r>
      <w:r w:rsidRPr="00953976" w:rsidR="00953976">
        <w:t xml:space="preserve"> </w:t>
      </w:r>
      <w:r w:rsidRPr="00953976" w:rsidR="00953976">
        <w:t>Home</w:t>
      </w:r>
      <w:r w:rsidRPr="00953976" w:rsidR="00953976">
        <w:t xml:space="preserve">“ (roaming za domácích podmínek) na západní Balkán a vyzývá Komisi a partnery ze západního Balkánu, aby urychleně podnikli nezbytné kroky k vzájemnému otevření roamingových trhů EU a </w:t>
      </w:r>
      <w:r w:rsidRPr="00953976" w:rsidR="00953976">
        <w:t>západobalkánských</w:t>
      </w:r>
      <w:r w:rsidRPr="00953976" w:rsidR="00953976">
        <w:t xml:space="preserve"> partnerů, aby tak občané a podniky mohli využívat roamingových služeb bez dodatečných poplatků</w:t>
      </w:r>
      <w:r w:rsidRPr="00BB6F27">
        <w:t>;</w:t>
      </w:r>
    </w:p>
    <w:p w:rsidR="00F36746" w:rsidRPr="00BB6F27" w:rsidP="00A34482" w14:paraId="6427DE50" w14:textId="7628D223">
      <w:pPr>
        <w:pStyle w:val="NormalHanging12a"/>
        <w:rPr>
          <w:bCs/>
          <w:iCs/>
        </w:rPr>
      </w:pPr>
      <w:r w:rsidRPr="00BB6F27">
        <w:t>4</w:t>
      </w:r>
      <w:r w:rsidR="00340BFE">
        <w:t>1</w:t>
      </w:r>
      <w:r w:rsidRPr="00BB6F27">
        <w:t>.</w:t>
      </w:r>
      <w:r w:rsidRPr="00BB6F27">
        <w:tab/>
        <w:t>zdůrazňuje, že je důležité investovat do vzdělávání, rozvoje dovedností a inovací s cílem podpořit udržitelný růst a sociální soudržnost; chválí albánskou vládu za přijetí legislativních aktů zajišťujících reformu vysokoškolského vzdělávání a za provádění národní strategie vzdělávání na období 2021–2026; vyzývá albánské orgány, aby dokončily prováděcí předpisy k zákonu o kulturním dědictví a muzeích; podporuje rozvoj politiky zaměřené na snížení emigrace mladých lidí a posílení příležitostí pro mladé odborníky prostřednictvím lepších podmínek na trhu práce, reformy vzdělávání a podpory inovací;</w:t>
      </w:r>
    </w:p>
    <w:p w:rsidR="00F36746" w:rsidRPr="00BB6F27" w:rsidP="00A34482" w14:paraId="6888891D" w14:textId="17126E52">
      <w:pPr>
        <w:pStyle w:val="NormalHanging12a"/>
        <w:rPr>
          <w:bCs/>
          <w:iCs/>
        </w:rPr>
      </w:pPr>
      <w:r w:rsidRPr="00BB6F27">
        <w:t>4</w:t>
      </w:r>
      <w:r w:rsidR="00340BFE">
        <w:t>2</w:t>
      </w:r>
      <w:r w:rsidRPr="00BB6F27">
        <w:t>.</w:t>
      </w:r>
      <w:r w:rsidRPr="00BB6F27">
        <w:tab/>
        <w:t>vyzývá k dalšímu rozvoji a účinnému provádění rámce pro sociální bydlení v Albánii na základě pokračování a zlepšení Národní strategie pro sociální bydlení na období 2016–2025 s cílem zajistit stabilní a důstojné životní podmínky pro skupiny s nižšími příjmy a zranitelné skupiny; zdůrazňuje zejména význam přístupného a cenově dostupného sociálního bydlení pro mladé lidi, včetně studentů a učňů, neboť podporuje jejich geografickou mobilitu, přístup ke vzdělávání a odborné přípravě a úspěšné začlenění na trh práce;</w:t>
      </w:r>
    </w:p>
    <w:p w:rsidR="00F36746" w:rsidRPr="00BB6F27" w:rsidP="00A34482" w14:paraId="59010682" w14:textId="391EFEF4">
      <w:pPr>
        <w:pStyle w:val="NormalHanging12a"/>
      </w:pPr>
      <w:r w:rsidRPr="00BB6F27">
        <w:t>4</w:t>
      </w:r>
      <w:r w:rsidR="00340BFE">
        <w:t>3</w:t>
      </w:r>
      <w:r w:rsidRPr="00BB6F27">
        <w:t>.</w:t>
      </w:r>
      <w:r w:rsidRPr="00BB6F27">
        <w:tab/>
        <w:t>zdůrazňuje zásadní význam skutečného sociálního dialogu, který přispívá k tomu, aby se přínosy rozšíření EU dostaly k různým skupinám obyvatelstva; vítá zlepšení přenosu databází a včasné propojení se sítí evropských služeb zaměstnanosti (EURES), které bylo umožněno plným sladěním národního seznamu povolání s mnohojazyčnou klasifikací evropských dovedností, kompetencí, kvalifikací a povolání (ESCO); vyjadřuje nicméně politování nad nízkou četností zasedání Národní rady práce; vyzývá k posílení procesu třístranných konzultací, včetně odpovídajícího zastoupení odborů; zdůrazňuje, že je třeba dále podporovat budování kapacit sociálních partnerů;</w:t>
      </w:r>
    </w:p>
    <w:p w:rsidR="00F36746" w:rsidRPr="00BB6F27" w:rsidP="00A34482" w14:paraId="1763956D" w14:textId="7527B532">
      <w:pPr>
        <w:pStyle w:val="NormalHanging12a"/>
        <w:rPr>
          <w:bCs/>
          <w:iCs/>
        </w:rPr>
      </w:pPr>
      <w:r w:rsidRPr="00BB6F27">
        <w:t>4</w:t>
      </w:r>
      <w:r w:rsidR="00340BFE">
        <w:t>4</w:t>
      </w:r>
      <w:r w:rsidRPr="00BB6F27">
        <w:t>.</w:t>
      </w:r>
      <w:r w:rsidRPr="00BB6F27">
        <w:tab/>
        <w:t xml:space="preserve">vyzývá k posílení úsilí o podporu dodržování pracovního práva EU a rámce EU pro bezpečnost a ochranu zdraví při práci, včetně plného provádění nediskriminačních </w:t>
      </w:r>
      <w:r w:rsidRPr="00BB6F27">
        <w:t>politik a opatření v oblasti rovnosti, a naléhavě vyzývá příslušné vnitrostátní orgány, aby zajistily účinné monitorování, prosazování a odpovídající sankce v případě nedodržování předpisů;</w:t>
      </w:r>
    </w:p>
    <w:p w:rsidR="00F36746" w:rsidRPr="00BB6F27" w:rsidP="00A34482" w14:paraId="62683529" w14:textId="0F5F4836">
      <w:pPr>
        <w:pStyle w:val="NormalHanging12a"/>
        <w:rPr>
          <w:bCs/>
          <w:iCs/>
        </w:rPr>
      </w:pPr>
      <w:r w:rsidRPr="00BB6F27">
        <w:t>4</w:t>
      </w:r>
      <w:r w:rsidR="00340BFE">
        <w:t>5</w:t>
      </w:r>
      <w:r w:rsidRPr="00BB6F27">
        <w:t>.</w:t>
      </w:r>
      <w:r w:rsidRPr="00BB6F27">
        <w:tab/>
        <w:t xml:space="preserve">zdůrazňuje, že pokrok na cestě k přistoupení k EU vyžaduje skutečné výsledky při provádění a prosazování </w:t>
      </w:r>
      <w:r w:rsidRPr="00BB6F27">
        <w:rPr>
          <w:i/>
          <w:iCs/>
        </w:rPr>
        <w:t>acquis</w:t>
      </w:r>
      <w:r w:rsidRPr="00BB6F27">
        <w:t xml:space="preserve"> v oblasti životního prostředí, zejména pokud jde o posuzování vlivů na životní prostředí, právní předpisy na ochranu přírody a práva na účast veřejnosti;</w:t>
      </w:r>
    </w:p>
    <w:p w:rsidR="00F36746" w:rsidRPr="00BB6F27" w:rsidP="00A34482" w14:paraId="52CC596F" w14:textId="5561FBA2">
      <w:pPr>
        <w:pStyle w:val="NormalHanging12a"/>
      </w:pPr>
      <w:r w:rsidRPr="00BB6F27">
        <w:t>4</w:t>
      </w:r>
      <w:r w:rsidR="00340BFE">
        <w:t>6</w:t>
      </w:r>
      <w:r w:rsidRPr="00BB6F27">
        <w:t>.</w:t>
      </w:r>
      <w:r w:rsidRPr="00BB6F27">
        <w:tab/>
        <w:t>bere na vědomí oznámení albánské vlády, že hodlá provést reformu odvětví nakládání s odpady v této zemi, zaměřenou na centralizaci a zlepšení sběru odpadu a nakládání s ním; se znepokojením však bere na vědomí hodnocení Komise, podle nějž v průběhu sledovaného období nedošlo k žádnému pokroku v oblasti životního prostředí ani změny klimatu; naléhavě vyzývá albánskou vládu, aby upřednostnila uplatňování strategií zaměřených na přizpůsobení se změně klimatu, rozvoj obnovitelných zdrojů energie a podporu udržitelného hospodářského růstu;</w:t>
      </w:r>
    </w:p>
    <w:p w:rsidR="00F36746" w:rsidP="00A34482" w14:paraId="048FD49D" w14:textId="2AFF62A6">
      <w:pPr>
        <w:pStyle w:val="NormalHanging12a"/>
      </w:pPr>
      <w:r w:rsidRPr="00BB6F27">
        <w:t>4</w:t>
      </w:r>
      <w:r w:rsidR="00340BFE">
        <w:t>7</w:t>
      </w:r>
      <w:r w:rsidRPr="00BB6F27">
        <w:t>.</w:t>
      </w:r>
      <w:r w:rsidRPr="00BB6F27">
        <w:tab/>
        <w:t>vyjadřuje hluboké politování nad prodloužením platnosti albánského zákona o strategických investicích z roku 2015 vzhledem k jeho ustanovením, která umožňují zrychlená povolovací řízení a omezenou kontrolu z hlediska životního prostředí, což může mít nepříznivý dopad na chráněné oblasti a další environmentálně citlivé zóny; vyzývá ke zrušení změn zákona o chráněných oblastech z roku 2024, které umožňují rozvoj rozsáhlé infrastruktury cestovního ruchu v chráněných oblastech a přenášejí klíčové správní a rozhodovací pravomoci na Národní radu pro územní plánování, čímž oslabují dohled nad životním prostředím;</w:t>
      </w:r>
    </w:p>
    <w:p w:rsidR="00953976" w:rsidP="00A34482" w14:paraId="6331DB86" w14:textId="7C5A2565">
      <w:pPr>
        <w:pStyle w:val="NormalHanging12a"/>
        <w:rPr>
          <w:bCs/>
          <w:iCs/>
        </w:rPr>
      </w:pPr>
      <w:r w:rsidRPr="00953976">
        <w:rPr>
          <w:bCs/>
          <w:iCs/>
        </w:rPr>
        <w:t>4</w:t>
      </w:r>
      <w:r w:rsidR="00340BFE">
        <w:rPr>
          <w:bCs/>
          <w:iCs/>
        </w:rPr>
        <w:t>8</w:t>
      </w:r>
      <w:r w:rsidRPr="00953976">
        <w:rPr>
          <w:bCs/>
          <w:iCs/>
        </w:rPr>
        <w:t>.</w:t>
      </w:r>
      <w:r w:rsidRPr="00953976">
        <w:rPr>
          <w:bCs/>
          <w:iCs/>
        </w:rPr>
        <w:tab/>
        <w:t>zdůrazňuje skutečnost, že Komise Albánii varovala před jednáním, které by mohlo mít dopad na její přistoupení k EU, a to v souvislosti s protesty probíhajícími v této zemi kvůli rozsáhlému projektu luxusního rezortu, který ohrožuje chráněnou přírodní oblast, v níž žijí plameňáci a tuleni a hnízdí mořské želvy; přidává se v tomto ohledu ke kritice ze strany Komise a připomíná, že předpokladem pro přistoupení k EU je soulad s pravidly EU pro životní prostředí, včetně směrnice o ochraně ptáků</w:t>
      </w:r>
      <w:r>
        <w:rPr>
          <w:rStyle w:val="FootnoteReference"/>
          <w:bCs/>
          <w:iCs/>
        </w:rPr>
        <w:footnoteReference w:id="7"/>
      </w:r>
      <w:r w:rsidRPr="00953976">
        <w:rPr>
          <w:bCs/>
          <w:iCs/>
        </w:rPr>
        <w:t xml:space="preserve"> a směrnice o ochraně přírodních stanovišť</w:t>
      </w:r>
      <w:r>
        <w:rPr>
          <w:rStyle w:val="FootnoteReference"/>
          <w:bCs/>
          <w:iCs/>
        </w:rPr>
        <w:footnoteReference w:id="8"/>
      </w:r>
      <w:r>
        <w:rPr>
          <w:bCs/>
          <w:iCs/>
        </w:rPr>
        <w:t>;</w:t>
      </w:r>
    </w:p>
    <w:p w:rsidR="0079583D" w:rsidRPr="00BB6F27" w:rsidP="00A34482" w14:paraId="4CA9CB65" w14:textId="414ABD17">
      <w:pPr>
        <w:pStyle w:val="NormalHanging12a"/>
        <w:rPr>
          <w:bCs/>
          <w:iCs/>
        </w:rPr>
      </w:pPr>
      <w:r w:rsidRPr="0079583D">
        <w:rPr>
          <w:bCs/>
          <w:iCs/>
        </w:rPr>
        <w:t>4</w:t>
      </w:r>
      <w:r w:rsidR="00340BFE">
        <w:rPr>
          <w:bCs/>
          <w:iCs/>
        </w:rPr>
        <w:t>9</w:t>
      </w:r>
      <w:r w:rsidRPr="0079583D">
        <w:rPr>
          <w:bCs/>
          <w:iCs/>
        </w:rPr>
        <w:t>.</w:t>
      </w:r>
      <w:r w:rsidRPr="0079583D">
        <w:rPr>
          <w:bCs/>
          <w:iCs/>
        </w:rPr>
        <w:tab/>
        <w:t xml:space="preserve">vyjadřuje vážné znepokojení nad tím, že aktuální výstavba v chráněné oblasti </w:t>
      </w:r>
      <w:r w:rsidRPr="0079583D">
        <w:rPr>
          <w:bCs/>
          <w:iCs/>
        </w:rPr>
        <w:t>Vjosa-Narta</w:t>
      </w:r>
      <w:r w:rsidRPr="0079583D">
        <w:rPr>
          <w:bCs/>
          <w:iCs/>
        </w:rPr>
        <w:t xml:space="preserve"> ukazuje praktické důsledky těchto legislativních změn a z nich vyplývající rizika pro oblasti s uznávanou ekologickou hodnotou; pozorně sleduje v tomto ohledu probíhající masové pokojné protesty; vyzývá albánské orgány, aby na základě dlouhodobé žádosti Komise a Parlamentu a v souladu s kritérii pro uzavření kapitoly 27 okamžitě zavedly moratorium na všechny nové povolovací postupy, stavební práce a developerské zásahy v chráněných oblastech, dokud nebudou zrušena ustanovení pozměněného zákona o chráněných oblastech neslučitelná s normami EU a dokud nebude zajištěn plný soulad s normami EU v oblasti ochrany přírody; zdůrazňuje, že všechny stavební projekty v této oblasti musí projít komplexním posouzením dopadů na </w:t>
      </w:r>
      <w:r w:rsidRPr="0079583D">
        <w:rPr>
          <w:bCs/>
          <w:iCs/>
        </w:rPr>
        <w:t>životní prostředí, které bude plně v souladu s normami EU, včetně transparentního procesu účasti veřejnosti se zapojením místních komunit, vědců a občanské společnosti;</w:t>
      </w:r>
    </w:p>
    <w:p w:rsidR="00F36746" w:rsidRPr="00BB6F27" w:rsidP="00A34482" w14:paraId="1CDC43FC" w14:textId="77777777">
      <w:pPr>
        <w:pStyle w:val="NormalHanging12a"/>
        <w:rPr>
          <w:b/>
          <w:bCs/>
          <w:i/>
          <w:iCs/>
        </w:rPr>
      </w:pPr>
      <w:r w:rsidRPr="00BB6F27">
        <w:rPr>
          <w:b/>
          <w:i/>
        </w:rPr>
        <w:t>Zahraniční politika a regionální spolupráce</w:t>
      </w:r>
    </w:p>
    <w:p w:rsidR="00F36746" w:rsidRPr="00BB6F27" w:rsidP="00A34482" w14:paraId="4928CFD2" w14:textId="22784A41">
      <w:pPr>
        <w:pStyle w:val="NormalHanging12a"/>
      </w:pPr>
      <w:r>
        <w:t>50</w:t>
      </w:r>
      <w:r w:rsidRPr="00BB6F27">
        <w:t>.</w:t>
      </w:r>
      <w:r w:rsidRPr="00BB6F27">
        <w:tab/>
        <w:t>oceňuje, že Albánie nadále postupuje plně v souladu se společnou zahraniční a bezpečnostní politikou EU, včetně omezujících opatření, že se nadále zapojuje do misí a operací společné bezpečnostní a obranné politiky a že má konstruktivní úlohu při podpoře regionální stability, což svědčí o silné euroatlantické orientaci země; vítá posílenou spolupráci v otázkách bezpečnosti a obrany prostřednictvím partnerství v oblasti bezpečnosti a obrany mezi EU a Albánií a dialogů o bezpečnosti a obraně; zdůrazňuje, že v zájmu řešení regionálních a globálních bezpečnostních výzev je důležité spolupracovat i v dalších oblastech, jako jsou společné iniciativy v oblasti odborné přípravy, sdílené zpravodajské kapacity a zpřísněná opatření v oblasti bezpečnosti hranic;</w:t>
      </w:r>
    </w:p>
    <w:p w:rsidR="00F36746" w:rsidRPr="00BB6F27" w:rsidP="00A34482" w14:paraId="3DB98AC0" w14:textId="7BC5722E">
      <w:pPr>
        <w:pStyle w:val="NormalHanging12a"/>
      </w:pPr>
      <w:r>
        <w:t>51</w:t>
      </w:r>
      <w:r w:rsidRPr="00BB6F27">
        <w:t>.</w:t>
      </w:r>
      <w:r w:rsidRPr="00BB6F27">
        <w:tab/>
        <w:t>zdůrazňuje, že zapojení do mezinárodních iniciativ a organizací by mělo být i nadále v souladu s hodnotami EU, regionální stabilitou a cíli Albánie v oblasti integrace do EU; zdůrazňuje význam transparentnosti a náležité parlamentní kontroly při rozhodování o mezinárodních závazcích;</w:t>
      </w:r>
    </w:p>
    <w:p w:rsidR="00F36746" w:rsidRPr="00BB6F27" w:rsidP="00A34482" w14:paraId="120CAAF7" w14:textId="60BA555B">
      <w:pPr>
        <w:pStyle w:val="NormalHanging12a"/>
        <w:rPr>
          <w:bCs/>
          <w:iCs/>
        </w:rPr>
      </w:pPr>
      <w:r>
        <w:t>52</w:t>
      </w:r>
      <w:r w:rsidRPr="00BB6F27">
        <w:t>.</w:t>
      </w:r>
      <w:r w:rsidRPr="00BB6F27">
        <w:tab/>
        <w:t>zdůrazňuje význam dobrých sousedských vztahů a regionální spolupráce jako základních složek procesu rozšíření EU a vítá aktivní účast Albánie na regionálních iniciativách; poukazuje na potřebu hlubší bezpečnostní spolupráce v rámci západního Balkánu, která by podpořila užší koordinaci činnosti mezi regionálními partnery v boji proti organizované trestné činnosti, kybernetickým hrozbám a hybridním výzvám; je si pilně vědom strategického významu jadransko-jónského regionu pro evropskou bezpečnost a hospodářskou stabilitu; vyzývá Albánii, aby v koordinované spolupráci s EU a NATO posílila své kapacity v oblasti námořní bezpečnosti, včetně posílení námořní struktury, zlepšení systémů dohledu a zintenzivnění úsilí v boji proti nezákonným činnostem, jako je obchodování s lidmi; vybízí Albánii k hlubší spolupráci v rámci pobřežních států EU s cílem zajistit ochranu kritických námořních tras a environmentální udržitelnost v regionu;</w:t>
      </w:r>
    </w:p>
    <w:p w:rsidR="00F36746" w:rsidRPr="00BB6F27" w:rsidP="00A34482" w14:paraId="0B077696" w14:textId="67696DA1">
      <w:pPr>
        <w:pStyle w:val="NormalHanging12a"/>
        <w:rPr>
          <w:bCs/>
          <w:iCs/>
        </w:rPr>
      </w:pPr>
      <w:r w:rsidRPr="00BB6F27">
        <w:t>5</w:t>
      </w:r>
      <w:r w:rsidR="00340BFE">
        <w:t>3</w:t>
      </w:r>
      <w:r w:rsidRPr="00BB6F27">
        <w:t>.</w:t>
      </w:r>
      <w:r w:rsidRPr="00BB6F27">
        <w:tab/>
        <w:t>upozorňuje, že iniciativy vyvíjené mimo rámec EU, včetně tzv. iniciativy „Otevřený Balkán“, mohou vytvářet paralelní struktury, které by mohly ohrozit berlínský proces a společný regionální trh západního Balkánu;</w:t>
      </w:r>
    </w:p>
    <w:p w:rsidR="00F36746" w:rsidRPr="00BB6F27" w:rsidP="00A34482" w14:paraId="385D1C74" w14:textId="77777777">
      <w:pPr>
        <w:pStyle w:val="NormalHanging12a"/>
        <w:rPr>
          <w:b/>
          <w:bCs/>
          <w:i/>
          <w:iCs/>
        </w:rPr>
      </w:pPr>
      <w:r w:rsidRPr="00BB6F27">
        <w:rPr>
          <w:b/>
          <w:i/>
        </w:rPr>
        <w:t>Podpora ze strany EU</w:t>
      </w:r>
    </w:p>
    <w:p w:rsidR="00F36746" w:rsidRPr="00BB6F27" w:rsidP="00A34482" w14:paraId="67195E50" w14:textId="529FB711">
      <w:pPr>
        <w:pStyle w:val="NormalHanging12a"/>
      </w:pPr>
      <w:r w:rsidRPr="00BB6F27">
        <w:t>5</w:t>
      </w:r>
      <w:r w:rsidR="00340BFE">
        <w:t>4</w:t>
      </w:r>
      <w:r w:rsidRPr="00BB6F27">
        <w:t>.</w:t>
      </w:r>
      <w:r w:rsidRPr="00BB6F27">
        <w:tab/>
        <w:t>s potěšením bere na vědomí, že EU poskytuje Albánii finanční a technickou pomoc v rámci NPP III a Nástroje pro reformy a růst, a zdůrazňuje, že tato podpora musí zůstat důsledně podmíněna prováděním konkrétních reforem a měřitelnými výsledky; vyzývá EU k větší podpoře regionálních bezpečnostních iniciativ, které posilují stabilitu a odolnost na celém západním Balkáně; vítá opatření dvoustranné pomoci v rámci Evropského mírového nástroje na podporu albánských ozbrojených sil, která zvyšují potenciál Albánie přispívat k misím a operacím společné bezpečnostní a obranné politiky EU;</w:t>
      </w:r>
    </w:p>
    <w:p w:rsidR="00F36746" w:rsidRPr="00BB6F27" w:rsidP="00A34482" w14:paraId="53440A8A" w14:textId="543EF180">
      <w:pPr>
        <w:pStyle w:val="NormalHanging12a"/>
        <w:rPr>
          <w:bCs/>
          <w:iCs/>
        </w:rPr>
      </w:pPr>
      <w:r w:rsidRPr="00BB6F27">
        <w:t>5</w:t>
      </w:r>
      <w:r w:rsidR="00340BFE">
        <w:t>5</w:t>
      </w:r>
      <w:r w:rsidRPr="00BB6F27">
        <w:t>.</w:t>
      </w:r>
      <w:r w:rsidRPr="00BB6F27">
        <w:tab/>
        <w:t xml:space="preserve">vyzývá k posílení dohledu a smysluplné účasti organizací občanské společnosti, podnikatelských sdružení a sociálních partnerů ve všech fázích Nástroje pro reformy </w:t>
      </w:r>
      <w:r w:rsidRPr="00BB6F27">
        <w:t>a růst pro západní Balkán, včetně navrhování reformních opatření, provádění projektů a monitorování výsledků;</w:t>
      </w:r>
    </w:p>
    <w:p w:rsidR="00F36746" w:rsidRPr="00BB6F27" w:rsidP="00A34482" w14:paraId="7455240D" w14:textId="0DC38BAD">
      <w:pPr>
        <w:pStyle w:val="NormalHanging12a"/>
        <w:rPr>
          <w:bCs/>
          <w:iCs/>
        </w:rPr>
      </w:pPr>
      <w:r w:rsidRPr="00BB6F27">
        <w:t>5</w:t>
      </w:r>
      <w:r w:rsidR="00340BFE">
        <w:t>6</w:t>
      </w:r>
      <w:r w:rsidRPr="00BB6F27">
        <w:t>.</w:t>
      </w:r>
      <w:r w:rsidRPr="00BB6F27">
        <w:tab/>
        <w:t>vyzývá EU, aby Albánii poskytla dodatečnou finanční a technickou pomoc na podporu udržitelného rozvoje venkova a snížení rozdílů mezi městy a venkovem v souladu s politikami soudržnosti EU;</w:t>
      </w:r>
    </w:p>
    <w:p w:rsidR="00F36746" w:rsidRPr="00BB6F27" w:rsidP="00A34482" w14:paraId="0154F15A" w14:textId="21D22CF6">
      <w:pPr>
        <w:pStyle w:val="NormalHanging12a"/>
        <w:rPr>
          <w:bCs/>
          <w:iCs/>
        </w:rPr>
      </w:pPr>
      <w:r w:rsidRPr="00BB6F27">
        <w:t>5</w:t>
      </w:r>
      <w:r w:rsidR="00340BFE">
        <w:t>7</w:t>
      </w:r>
      <w:r w:rsidRPr="00BB6F27">
        <w:t>.</w:t>
      </w:r>
      <w:r w:rsidRPr="00BB6F27">
        <w:tab/>
        <w:t>vyjadřuje znepokojení nad závažnými nesrovnalostmi, které zjistil Evropský úřad pro boj proti podvodům při provádění programu nástroje předvstupní pomoci EU pro rozvoj venkova (IPARD II) v Albánii; zdůrazňuje, že je důležité zajistit plnou transparentnost, odpovědnost a účinné kontrolní mechanismy při využívání finanční pomoci EU s cílem chránit finanční zájmy EU a zachovat důvěru veřejnosti; vyzývá k okamžitému provedení nezbytných nápravných opatření;</w:t>
      </w:r>
    </w:p>
    <w:p w:rsidR="00F36746" w:rsidRPr="00BB6F27" w:rsidP="00A34482" w14:paraId="32BBA917" w14:textId="1713AD4A">
      <w:pPr>
        <w:pStyle w:val="NormalHanging12a"/>
        <w:rPr>
          <w:bCs/>
          <w:iCs/>
        </w:rPr>
      </w:pPr>
      <w:r w:rsidRPr="00BB6F27">
        <w:t>5</w:t>
      </w:r>
      <w:r w:rsidR="00340BFE">
        <w:t>8</w:t>
      </w:r>
      <w:r w:rsidRPr="00BB6F27">
        <w:t>.</w:t>
      </w:r>
      <w:r w:rsidRPr="00BB6F27">
        <w:tab/>
        <w:t>vyzývá Komisi, aby i nadále poskytovala jasné pokyny ohledně priorit reforem a zajistila transparentní a přísné sledování pokroku v jejich provádění; dále vyzývá Komisi, aby ve všech členských státech a v Albánii zahájila informační kampaň, která občanům objasní, jaký přínos bude pro ně mít rozšíření EU;</w:t>
      </w:r>
    </w:p>
    <w:p w:rsidR="00F36746" w:rsidRPr="00BB6F27" w:rsidP="00A34482" w14:paraId="6452B551" w14:textId="68EBB424">
      <w:pPr>
        <w:pStyle w:val="NormalHanging12a"/>
        <w:rPr>
          <w:bCs/>
          <w:iCs/>
        </w:rPr>
      </w:pPr>
      <w:r w:rsidRPr="00BB6F27">
        <w:t>5</w:t>
      </w:r>
      <w:r w:rsidR="00340BFE">
        <w:t>9</w:t>
      </w:r>
      <w:r w:rsidRPr="00BB6F27">
        <w:t>.</w:t>
      </w:r>
      <w:r w:rsidRPr="00BB6F27">
        <w:tab/>
        <w:t>vybízí Komisi, aby spolu s Evropskou službou pro vnější činnost dále pomáhala zvyšovat odolnost Albánie vůči hybridním hrozbám, v oblasti kybernetické bezpečnosti, manipulace s informacemi a ochrany kritické infrastruktury; zdůrazňuje, že je třeba zlepšit koordinaci a potírat dezinformace a hybridní hrozby, jejichž cílem je oslabit podporu albánské veřejnosti pro vstup do EU, strategičtějším zdůrazňováním významu EU pro obyvatele západního Balkánu;</w:t>
      </w:r>
    </w:p>
    <w:p w:rsidR="00A34482" w:rsidRPr="00BB6F27" w:rsidP="002F0A32" w14:paraId="2026C7CF" w14:textId="77777777">
      <w:pPr>
        <w:pStyle w:val="NormalHanging12a"/>
        <w:widowControl/>
        <w:jc w:val="center"/>
      </w:pPr>
      <w:r w:rsidRPr="00BB6F27">
        <w:t>°</w:t>
      </w:r>
    </w:p>
    <w:p w:rsidR="00A34482" w:rsidRPr="00BB6F27" w:rsidP="002F0A32" w14:paraId="6222DAB2" w14:textId="77777777">
      <w:pPr>
        <w:pStyle w:val="NormalHanging12a"/>
        <w:widowControl/>
        <w:jc w:val="center"/>
      </w:pPr>
      <w:r w:rsidRPr="00BB6F27">
        <w:t>°     °</w:t>
      </w:r>
    </w:p>
    <w:p w:rsidR="00F138EF" w:rsidRPr="00BB6F27" w:rsidP="00A34482" w14:paraId="1F0EEAE2" w14:textId="356AB520">
      <w:pPr>
        <w:pStyle w:val="NormalHanging12a"/>
      </w:pPr>
      <w:r>
        <w:t>60</w:t>
      </w:r>
      <w:r w:rsidRPr="00BB6F27" w:rsidR="00F36746">
        <w:t>.</w:t>
      </w:r>
      <w:r w:rsidRPr="00BB6F27" w:rsidR="00F36746">
        <w:tab/>
        <w:t>pověřuje svou předsedkyni, aby předala toto usnesení Radě a Komisi, předsedovi Evropské rady, místopředsedkyni Komise, vysoké představitelce Unie pro zahraniční věci a bezpečnostní politiku, vládám a parlamentům členských států a prezidentovi, vládě a parlamentu Albánské republiky.</w:t>
      </w:r>
    </w:p>
    <w:p w:rsidR="00E365E1" w:rsidRPr="00BB6F27" w:rsidP="000F45CF" w14:paraId="2DA6393B" w14:textId="365E7A65"/>
    <w:sectPr w:rsidSect="00F138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38EF" w14:paraId="1196FED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38EF" w14:paraId="6957044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38EF" w14:paraId="27AFA0E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F45CF" w:rsidRPr="00F138EF" w14:paraId="4E487009" w14:textId="77777777">
      <w:r w:rsidRPr="00F138EF">
        <w:separator/>
      </w:r>
    </w:p>
  </w:footnote>
  <w:footnote w:type="continuationSeparator" w:id="1">
    <w:p w:rsidR="000F45CF" w:rsidRPr="00F138EF" w14:paraId="0ED99E23" w14:textId="77777777">
      <w:r w:rsidRPr="00F138EF">
        <w:continuationSeparator/>
      </w:r>
    </w:p>
  </w:footnote>
  <w:footnote w:id="2">
    <w:p w:rsidR="00F36746" w:rsidRPr="00F138EF" w:rsidP="00F138EF" w14:paraId="63166363" w14:textId="4881F82E">
      <w:pPr>
        <w:pStyle w:val="FootnoteText"/>
        <w:ind w:left="567" w:hanging="567"/>
        <w:rPr>
          <w:sz w:val="24"/>
          <w:lang w:val="cs-CZ"/>
        </w:rPr>
      </w:pPr>
      <w:r w:rsidRPr="00F138EF">
        <w:rPr>
          <w:rStyle w:val="FootnoteReference"/>
          <w:sz w:val="24"/>
          <w:lang w:val="cs-CZ"/>
        </w:rPr>
        <w:footnoteRef/>
      </w:r>
      <w:r w:rsidRPr="00F138EF" w:rsidR="00F138EF">
        <w:rPr>
          <w:sz w:val="24"/>
          <w:lang w:val="cs-CZ"/>
        </w:rPr>
        <w:t xml:space="preserve"> </w:t>
      </w:r>
      <w:r w:rsidRPr="00F138EF" w:rsidR="00F138EF">
        <w:rPr>
          <w:sz w:val="24"/>
          <w:lang w:val="cs-CZ"/>
        </w:rPr>
        <w:tab/>
      </w:r>
      <w:r w:rsidRPr="00F138EF">
        <w:rPr>
          <w:sz w:val="24"/>
          <w:lang w:val="cs-CZ"/>
        </w:rPr>
        <w:t>Úř</w:t>
      </w:r>
      <w:r w:rsidRPr="00F138EF">
        <w:rPr>
          <w:sz w:val="24"/>
          <w:lang w:val="cs-CZ"/>
        </w:rPr>
        <w:t xml:space="preserve">. </w:t>
      </w:r>
      <w:r w:rsidRPr="00F138EF">
        <w:rPr>
          <w:sz w:val="24"/>
          <w:lang w:val="cs-CZ"/>
        </w:rPr>
        <w:t>věst</w:t>
      </w:r>
      <w:r w:rsidRPr="00F138EF">
        <w:rPr>
          <w:sz w:val="24"/>
          <w:lang w:val="cs-CZ"/>
        </w:rPr>
        <w:t xml:space="preserve">. L 107, 28.4.2009, s. 166, ELI: </w:t>
      </w:r>
      <w:hyperlink r:id="rId1" w:history="1">
        <w:r w:rsidR="00BB6F27">
          <w:rPr>
            <w:rStyle w:val="Hyperlink"/>
            <w:sz w:val="24"/>
            <w:lang w:val="cs-CZ"/>
          </w:rPr>
          <w:t>http://data.europa.eu/eli/agree_internation/2009/332/oj</w:t>
        </w:r>
      </w:hyperlink>
      <w:r w:rsidRPr="00F138EF">
        <w:rPr>
          <w:sz w:val="24"/>
          <w:lang w:val="cs-CZ"/>
        </w:rPr>
        <w:t>.</w:t>
      </w:r>
    </w:p>
  </w:footnote>
  <w:footnote w:id="3">
    <w:p w:rsidR="00F36746" w:rsidRPr="00F138EF" w:rsidP="00F138EF" w14:paraId="6CEFC872" w14:textId="6C967574">
      <w:pPr>
        <w:pStyle w:val="FootnoteText"/>
        <w:ind w:left="567" w:hanging="567"/>
        <w:rPr>
          <w:sz w:val="24"/>
          <w:lang w:val="cs-CZ"/>
        </w:rPr>
      </w:pPr>
      <w:r w:rsidRPr="00F138EF">
        <w:rPr>
          <w:rStyle w:val="FootnoteReference"/>
          <w:sz w:val="24"/>
          <w:lang w:val="cs-CZ"/>
        </w:rPr>
        <w:footnoteRef/>
      </w:r>
      <w:r w:rsidRPr="00F138EF" w:rsidR="00F138EF">
        <w:rPr>
          <w:sz w:val="24"/>
          <w:lang w:val="cs-CZ"/>
        </w:rPr>
        <w:t xml:space="preserve"> </w:t>
      </w:r>
      <w:r w:rsidRPr="00F138EF" w:rsidR="00F138EF">
        <w:rPr>
          <w:sz w:val="24"/>
          <w:lang w:val="cs-CZ"/>
        </w:rPr>
        <w:tab/>
      </w:r>
      <w:r w:rsidRPr="00F138EF">
        <w:rPr>
          <w:sz w:val="24"/>
          <w:lang w:val="cs-CZ"/>
        </w:rPr>
        <w:t>Úř</w:t>
      </w:r>
      <w:r w:rsidRPr="00F138EF">
        <w:rPr>
          <w:sz w:val="24"/>
          <w:lang w:val="cs-CZ"/>
        </w:rPr>
        <w:t xml:space="preserve">. </w:t>
      </w:r>
      <w:r w:rsidRPr="00F138EF">
        <w:rPr>
          <w:sz w:val="24"/>
          <w:lang w:val="cs-CZ"/>
        </w:rPr>
        <w:t>věst</w:t>
      </w:r>
      <w:r w:rsidRPr="00F138EF">
        <w:rPr>
          <w:sz w:val="24"/>
          <w:lang w:val="cs-CZ"/>
        </w:rPr>
        <w:t xml:space="preserve">. L 330, 20.9.2021, s. 1, ELI: </w:t>
      </w:r>
      <w:hyperlink r:id="rId2" w:history="1">
        <w:r w:rsidR="00BB6F27">
          <w:rPr>
            <w:rStyle w:val="Hyperlink"/>
            <w:sz w:val="24"/>
            <w:lang w:val="cs-CZ"/>
          </w:rPr>
          <w:t>http://data.europa.eu/eli/reg/2021/1529/oj</w:t>
        </w:r>
      </w:hyperlink>
      <w:r w:rsidRPr="00F138EF">
        <w:rPr>
          <w:sz w:val="24"/>
          <w:lang w:val="cs-CZ"/>
        </w:rPr>
        <w:t>.</w:t>
      </w:r>
    </w:p>
  </w:footnote>
  <w:footnote w:id="4">
    <w:p w:rsidR="00F36746" w:rsidRPr="00F138EF" w:rsidP="00F138EF" w14:paraId="45E9A471" w14:textId="3B67434E">
      <w:pPr>
        <w:pStyle w:val="FootnoteText"/>
        <w:ind w:left="567" w:hanging="567"/>
        <w:rPr>
          <w:sz w:val="24"/>
          <w:lang w:val="cs-CZ"/>
        </w:rPr>
      </w:pPr>
      <w:r w:rsidRPr="00F138EF">
        <w:rPr>
          <w:rStyle w:val="FootnoteReference"/>
          <w:sz w:val="24"/>
          <w:lang w:val="cs-CZ"/>
        </w:rPr>
        <w:footnoteRef/>
      </w:r>
      <w:r w:rsidRPr="00F138EF" w:rsidR="00F138EF">
        <w:rPr>
          <w:sz w:val="24"/>
          <w:lang w:val="cs-CZ"/>
        </w:rPr>
        <w:t xml:space="preserve"> </w:t>
      </w:r>
      <w:r w:rsidRPr="00F138EF" w:rsidR="00F138EF">
        <w:rPr>
          <w:sz w:val="24"/>
          <w:lang w:val="cs-CZ"/>
        </w:rPr>
        <w:tab/>
      </w:r>
      <w:r w:rsidRPr="00F138EF">
        <w:rPr>
          <w:sz w:val="24"/>
          <w:lang w:val="cs-CZ"/>
        </w:rPr>
        <w:t>Úř</w:t>
      </w:r>
      <w:r w:rsidRPr="00F138EF">
        <w:rPr>
          <w:sz w:val="24"/>
          <w:lang w:val="cs-CZ"/>
        </w:rPr>
        <w:t xml:space="preserve">. </w:t>
      </w:r>
      <w:r w:rsidRPr="00F138EF">
        <w:rPr>
          <w:sz w:val="24"/>
          <w:lang w:val="cs-CZ"/>
        </w:rPr>
        <w:t>věst</w:t>
      </w:r>
      <w:r w:rsidRPr="00F138EF">
        <w:rPr>
          <w:sz w:val="24"/>
          <w:lang w:val="cs-CZ"/>
        </w:rPr>
        <w:t xml:space="preserve">. L, 2024/1449, 24.5.2024, ELI: </w:t>
      </w:r>
      <w:hyperlink r:id="rId3" w:history="1">
        <w:r w:rsidR="00BB6F27">
          <w:rPr>
            <w:rStyle w:val="Hyperlink"/>
            <w:sz w:val="24"/>
            <w:lang w:val="cs-CZ"/>
          </w:rPr>
          <w:t>http://data.europa.eu/eli/reg/2024/1449/oj</w:t>
        </w:r>
      </w:hyperlink>
      <w:r w:rsidRPr="00F138EF">
        <w:rPr>
          <w:sz w:val="24"/>
          <w:lang w:val="cs-CZ"/>
        </w:rPr>
        <w:t>.</w:t>
      </w:r>
    </w:p>
  </w:footnote>
  <w:footnote w:id="5">
    <w:p w:rsidR="00F36746" w:rsidRPr="00F138EF" w:rsidP="00F138EF" w14:paraId="2F56539A" w14:textId="1C4FB968">
      <w:pPr>
        <w:pStyle w:val="FootnoteText"/>
        <w:ind w:left="567" w:hanging="567"/>
        <w:rPr>
          <w:sz w:val="24"/>
          <w:lang w:val="cs-CZ"/>
        </w:rPr>
      </w:pPr>
      <w:r w:rsidRPr="00F138EF">
        <w:rPr>
          <w:rStyle w:val="FootnoteReference"/>
          <w:sz w:val="24"/>
          <w:lang w:val="cs-CZ"/>
        </w:rPr>
        <w:footnoteRef/>
      </w:r>
      <w:r w:rsidRPr="00F138EF" w:rsidR="00F138EF">
        <w:rPr>
          <w:sz w:val="24"/>
          <w:lang w:val="cs-CZ"/>
        </w:rPr>
        <w:t xml:space="preserve"> </w:t>
      </w:r>
      <w:r w:rsidRPr="00F138EF" w:rsidR="00F138EF">
        <w:rPr>
          <w:sz w:val="24"/>
          <w:lang w:val="cs-CZ"/>
        </w:rPr>
        <w:tab/>
      </w:r>
      <w:r w:rsidRPr="00F138EF">
        <w:rPr>
          <w:sz w:val="24"/>
          <w:lang w:val="cs-CZ"/>
        </w:rPr>
        <w:t>Přijaté texty, P10_</w:t>
      </w:r>
      <w:r w:rsidRPr="00F138EF">
        <w:rPr>
          <w:sz w:val="24"/>
          <w:lang w:val="cs-CZ"/>
        </w:rPr>
        <w:t>TA(</w:t>
      </w:r>
      <w:r w:rsidRPr="00F138EF">
        <w:rPr>
          <w:sz w:val="24"/>
          <w:lang w:val="cs-CZ"/>
        </w:rPr>
        <w:t>2026)0077.</w:t>
      </w:r>
    </w:p>
  </w:footnote>
  <w:footnote w:id="6">
    <w:p w:rsidR="00F36746" w:rsidRPr="00F138EF" w:rsidP="00F138EF" w14:paraId="1DD1F88A" w14:textId="016659CE">
      <w:pPr>
        <w:pStyle w:val="FootnoteText"/>
        <w:ind w:left="567" w:hanging="567"/>
        <w:rPr>
          <w:sz w:val="24"/>
          <w:lang w:val="cs-CZ"/>
        </w:rPr>
      </w:pPr>
      <w:r w:rsidRPr="00F138EF">
        <w:rPr>
          <w:rStyle w:val="FootnoteReference"/>
          <w:sz w:val="24"/>
          <w:lang w:val="cs-CZ"/>
        </w:rPr>
        <w:footnoteRef/>
      </w:r>
      <w:r w:rsidRPr="00F138EF" w:rsidR="00F138EF">
        <w:rPr>
          <w:sz w:val="24"/>
          <w:lang w:val="cs-CZ"/>
        </w:rPr>
        <w:t xml:space="preserve"> </w:t>
      </w:r>
      <w:r w:rsidRPr="00F138EF" w:rsidR="00F138EF">
        <w:rPr>
          <w:sz w:val="24"/>
          <w:lang w:val="cs-CZ"/>
        </w:rPr>
        <w:tab/>
      </w:r>
      <w:r w:rsidRPr="00F138EF">
        <w:rPr>
          <w:sz w:val="24"/>
          <w:lang w:val="cs-CZ"/>
        </w:rPr>
        <w:t>Směrnice Evropského parlamentu a Rady (EU) 2022/2555 ze dne 14. prosince 2022 o opatřeních k zajištění vysoké společné úrovně kybernetické bezpečnosti v Unii a o změně nařízení (EU) č. 910/2014 a směrnice (EU) 2018/1972 a o zrušení směrnice (EU) 2016/1148 (směrnice NIS 2) (</w:t>
      </w:r>
      <w:r w:rsidRPr="00F138EF">
        <w:rPr>
          <w:sz w:val="24"/>
          <w:lang w:val="cs-CZ"/>
        </w:rPr>
        <w:t>Úř</w:t>
      </w:r>
      <w:r w:rsidRPr="00F138EF">
        <w:rPr>
          <w:sz w:val="24"/>
          <w:lang w:val="cs-CZ"/>
        </w:rPr>
        <w:t>. </w:t>
      </w:r>
      <w:r w:rsidRPr="00F138EF">
        <w:rPr>
          <w:sz w:val="24"/>
          <w:lang w:val="cs-CZ"/>
        </w:rPr>
        <w:t>věst</w:t>
      </w:r>
      <w:r w:rsidRPr="00F138EF">
        <w:rPr>
          <w:sz w:val="24"/>
          <w:lang w:val="cs-CZ"/>
        </w:rPr>
        <w:t>. L 333, 27.12.2022, s. 80, ELI: </w:t>
      </w:r>
      <w:hyperlink r:id="rId4" w:history="1">
        <w:r w:rsidR="00BB6F27">
          <w:rPr>
            <w:rStyle w:val="Hyperlink"/>
            <w:sz w:val="24"/>
            <w:lang w:val="cs-CZ"/>
          </w:rPr>
          <w:t>http://data.europa.eu/</w:t>
        </w:r>
        <w:r w:rsidR="00BB6F27">
          <w:rPr>
            <w:rStyle w:val="Hyperlink"/>
            <w:sz w:val="24"/>
            <w:lang w:val="cs-CZ"/>
          </w:rPr>
          <w:t>eli</w:t>
        </w:r>
        <w:r w:rsidR="00BB6F27">
          <w:rPr>
            <w:rStyle w:val="Hyperlink"/>
            <w:sz w:val="24"/>
            <w:lang w:val="cs-CZ"/>
          </w:rPr>
          <w:t>/</w:t>
        </w:r>
        <w:r w:rsidR="00BB6F27">
          <w:rPr>
            <w:rStyle w:val="Hyperlink"/>
            <w:sz w:val="24"/>
            <w:lang w:val="cs-CZ"/>
          </w:rPr>
          <w:t>dir</w:t>
        </w:r>
        <w:r w:rsidR="00BB6F27">
          <w:rPr>
            <w:rStyle w:val="Hyperlink"/>
            <w:sz w:val="24"/>
            <w:lang w:val="cs-CZ"/>
          </w:rPr>
          <w:t>/2022/2555/oj</w:t>
        </w:r>
      </w:hyperlink>
      <w:r w:rsidRPr="00F138EF">
        <w:rPr>
          <w:sz w:val="24"/>
          <w:lang w:val="cs-CZ"/>
        </w:rPr>
        <w:t>).</w:t>
      </w:r>
    </w:p>
  </w:footnote>
  <w:footnote w:id="7">
    <w:p w:rsidR="00953976" w:rsidRPr="002F0A32" w:rsidP="002F0A32" w14:paraId="00037BA6" w14:textId="6BE501F0">
      <w:pPr>
        <w:pStyle w:val="FootnoteText"/>
        <w:ind w:left="567" w:hanging="567"/>
        <w:rPr>
          <w:sz w:val="24"/>
          <w:szCs w:val="24"/>
          <w:lang w:val="cs-CZ"/>
        </w:rPr>
      </w:pPr>
      <w:r w:rsidRPr="002F0A32">
        <w:rPr>
          <w:rStyle w:val="FootnoteReference"/>
          <w:sz w:val="24"/>
          <w:szCs w:val="24"/>
        </w:rPr>
        <w:footnoteRef/>
      </w:r>
      <w:r w:rsidRPr="002F0A32">
        <w:rPr>
          <w:sz w:val="24"/>
          <w:szCs w:val="24"/>
          <w:lang w:val="cs-CZ"/>
        </w:rPr>
        <w:t xml:space="preserve"> </w:t>
      </w:r>
      <w:r w:rsidRPr="002F0A32">
        <w:rPr>
          <w:sz w:val="24"/>
          <w:szCs w:val="24"/>
          <w:lang w:val="cs-CZ"/>
        </w:rPr>
        <w:tab/>
        <w:t>Směrnice Evropského parlamentu a Rady 2009/147/ES ze dne 30. listopadu 2009 o ochraně volně žijících ptáků (</w:t>
      </w:r>
      <w:r w:rsidRPr="002F0A32">
        <w:rPr>
          <w:sz w:val="24"/>
          <w:szCs w:val="24"/>
          <w:lang w:val="cs-CZ"/>
        </w:rPr>
        <w:t>Úř</w:t>
      </w:r>
      <w:r w:rsidRPr="002F0A32">
        <w:rPr>
          <w:sz w:val="24"/>
          <w:szCs w:val="24"/>
          <w:lang w:val="cs-CZ"/>
        </w:rPr>
        <w:t xml:space="preserve">. </w:t>
      </w:r>
      <w:r w:rsidRPr="002F0A32">
        <w:rPr>
          <w:sz w:val="24"/>
          <w:szCs w:val="24"/>
          <w:lang w:val="cs-CZ"/>
        </w:rPr>
        <w:t>věst</w:t>
      </w:r>
      <w:r w:rsidRPr="002F0A32">
        <w:rPr>
          <w:sz w:val="24"/>
          <w:szCs w:val="24"/>
          <w:lang w:val="cs-CZ"/>
        </w:rPr>
        <w:t>. L 20, 26.1.2010, s. 7, ELI: </w:t>
      </w:r>
      <w:hyperlink r:id="rId5" w:tooltip="Umožňuje přístup k dokumentu prostřednictvím identifikátoru ELI URI." w:history="1">
        <w:r w:rsidRPr="002F0A32">
          <w:rPr>
            <w:rStyle w:val="Hyperlink"/>
            <w:sz w:val="24"/>
            <w:szCs w:val="24"/>
            <w:lang w:val="cs-CZ"/>
          </w:rPr>
          <w:t>http://data.europa.eu/</w:t>
        </w:r>
        <w:r w:rsidRPr="002F0A32">
          <w:rPr>
            <w:rStyle w:val="Hyperlink"/>
            <w:sz w:val="24"/>
            <w:szCs w:val="24"/>
            <w:lang w:val="cs-CZ"/>
          </w:rPr>
          <w:t>eli</w:t>
        </w:r>
        <w:r w:rsidRPr="002F0A32">
          <w:rPr>
            <w:rStyle w:val="Hyperlink"/>
            <w:sz w:val="24"/>
            <w:szCs w:val="24"/>
            <w:lang w:val="cs-CZ"/>
          </w:rPr>
          <w:t>/</w:t>
        </w:r>
        <w:r w:rsidRPr="002F0A32">
          <w:rPr>
            <w:rStyle w:val="Hyperlink"/>
            <w:sz w:val="24"/>
            <w:szCs w:val="24"/>
            <w:lang w:val="cs-CZ"/>
          </w:rPr>
          <w:t>dir</w:t>
        </w:r>
        <w:r w:rsidRPr="002F0A32">
          <w:rPr>
            <w:rStyle w:val="Hyperlink"/>
            <w:sz w:val="24"/>
            <w:szCs w:val="24"/>
            <w:lang w:val="cs-CZ"/>
          </w:rPr>
          <w:t>/2009/147/oj</w:t>
        </w:r>
      </w:hyperlink>
      <w:r w:rsidRPr="002F0A32">
        <w:rPr>
          <w:sz w:val="24"/>
          <w:szCs w:val="24"/>
          <w:lang w:val="cs-CZ"/>
        </w:rPr>
        <w:t>).</w:t>
      </w:r>
    </w:p>
  </w:footnote>
  <w:footnote w:id="8">
    <w:p w:rsidR="00953976" w:rsidRPr="002F0A32" w:rsidP="002F0A32" w14:paraId="0F8240D2" w14:textId="3B5D71FD">
      <w:pPr>
        <w:pStyle w:val="FootnoteText"/>
        <w:ind w:left="567" w:hanging="567"/>
        <w:rPr>
          <w:sz w:val="24"/>
          <w:szCs w:val="24"/>
          <w:lang w:val="cs-CZ"/>
        </w:rPr>
      </w:pPr>
      <w:r w:rsidRPr="002F0A32">
        <w:rPr>
          <w:rStyle w:val="FootnoteReference"/>
          <w:sz w:val="24"/>
          <w:szCs w:val="24"/>
        </w:rPr>
        <w:footnoteRef/>
      </w:r>
      <w:r w:rsidRPr="002F0A32">
        <w:rPr>
          <w:sz w:val="24"/>
          <w:szCs w:val="24"/>
          <w:lang w:val="cs-CZ"/>
        </w:rPr>
        <w:t xml:space="preserve"> </w:t>
      </w:r>
      <w:r w:rsidRPr="002F0A32">
        <w:rPr>
          <w:sz w:val="24"/>
          <w:szCs w:val="24"/>
          <w:lang w:val="cs-CZ"/>
        </w:rPr>
        <w:tab/>
        <w:t>Směrnice Rady 92/43/EHS ze dne 21. května 1992 o ochraně přírodních stanovišť, volně žijících živočichů a planě rostoucích rostlin (</w:t>
      </w:r>
      <w:r w:rsidRPr="002F0A32">
        <w:rPr>
          <w:sz w:val="24"/>
          <w:szCs w:val="24"/>
          <w:lang w:val="cs-CZ"/>
        </w:rPr>
        <w:t>Úř</w:t>
      </w:r>
      <w:r w:rsidRPr="002F0A32">
        <w:rPr>
          <w:sz w:val="24"/>
          <w:szCs w:val="24"/>
          <w:lang w:val="cs-CZ"/>
        </w:rPr>
        <w:t>. </w:t>
      </w:r>
      <w:r w:rsidRPr="002F0A32">
        <w:rPr>
          <w:sz w:val="24"/>
          <w:szCs w:val="24"/>
          <w:lang w:val="cs-CZ"/>
        </w:rPr>
        <w:t>věst</w:t>
      </w:r>
      <w:r w:rsidRPr="002F0A32">
        <w:rPr>
          <w:sz w:val="24"/>
          <w:szCs w:val="24"/>
          <w:lang w:val="cs-CZ"/>
        </w:rPr>
        <w:t>. L 206, 22.7.1992, s. 7, ELI: </w:t>
      </w:r>
      <w:hyperlink r:id="rId6" w:tooltip="Umožňuje přístup k dokumentu prostřednictvím identifikátoru ELI URI." w:history="1">
        <w:r w:rsidRPr="002F0A32">
          <w:rPr>
            <w:rStyle w:val="Hyperlink"/>
            <w:sz w:val="24"/>
            <w:szCs w:val="24"/>
            <w:lang w:val="cs-CZ"/>
          </w:rPr>
          <w:t>http://data.europa.eu/</w:t>
        </w:r>
        <w:r w:rsidRPr="002F0A32">
          <w:rPr>
            <w:rStyle w:val="Hyperlink"/>
            <w:sz w:val="24"/>
            <w:szCs w:val="24"/>
            <w:lang w:val="cs-CZ"/>
          </w:rPr>
          <w:t>eli</w:t>
        </w:r>
        <w:r w:rsidRPr="002F0A32">
          <w:rPr>
            <w:rStyle w:val="Hyperlink"/>
            <w:sz w:val="24"/>
            <w:szCs w:val="24"/>
            <w:lang w:val="cs-CZ"/>
          </w:rPr>
          <w:t>/</w:t>
        </w:r>
        <w:r w:rsidRPr="002F0A32">
          <w:rPr>
            <w:rStyle w:val="Hyperlink"/>
            <w:sz w:val="24"/>
            <w:szCs w:val="24"/>
            <w:lang w:val="cs-CZ"/>
          </w:rPr>
          <w:t>dir</w:t>
        </w:r>
        <w:r w:rsidRPr="002F0A32">
          <w:rPr>
            <w:rStyle w:val="Hyperlink"/>
            <w:sz w:val="24"/>
            <w:szCs w:val="24"/>
            <w:lang w:val="cs-CZ"/>
          </w:rPr>
          <w:t>/1992/43/oj</w:t>
        </w:r>
      </w:hyperlink>
      <w:r w:rsidRPr="002F0A32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38EF" w14:paraId="5F8667A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38EF" w14:paraId="0C3B2AE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38EF" w14:paraId="5C933BC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40693346">
    <w:abstractNumId w:val="9"/>
  </w:num>
  <w:num w:numId="2" w16cid:durableId="938677892">
    <w:abstractNumId w:val="9"/>
  </w:num>
  <w:num w:numId="3" w16cid:durableId="186455039">
    <w:abstractNumId w:val="7"/>
  </w:num>
  <w:num w:numId="4" w16cid:durableId="360789260">
    <w:abstractNumId w:val="7"/>
  </w:num>
  <w:num w:numId="5" w16cid:durableId="510418778">
    <w:abstractNumId w:val="6"/>
  </w:num>
  <w:num w:numId="6" w16cid:durableId="1091242778">
    <w:abstractNumId w:val="6"/>
  </w:num>
  <w:num w:numId="7" w16cid:durableId="35348864">
    <w:abstractNumId w:val="5"/>
  </w:num>
  <w:num w:numId="8" w16cid:durableId="1440880742">
    <w:abstractNumId w:val="5"/>
  </w:num>
  <w:num w:numId="9" w16cid:durableId="1239099123">
    <w:abstractNumId w:val="4"/>
  </w:num>
  <w:num w:numId="10" w16cid:durableId="1357081973">
    <w:abstractNumId w:val="4"/>
  </w:num>
  <w:num w:numId="11" w16cid:durableId="553929398">
    <w:abstractNumId w:val="8"/>
  </w:num>
  <w:num w:numId="12" w16cid:durableId="857548680">
    <w:abstractNumId w:val="8"/>
  </w:num>
  <w:num w:numId="13" w16cid:durableId="1801074591">
    <w:abstractNumId w:val="3"/>
  </w:num>
  <w:num w:numId="14" w16cid:durableId="361631565">
    <w:abstractNumId w:val="3"/>
  </w:num>
  <w:num w:numId="15" w16cid:durableId="952903615">
    <w:abstractNumId w:val="2"/>
  </w:num>
  <w:num w:numId="16" w16cid:durableId="1047147381">
    <w:abstractNumId w:val="2"/>
  </w:num>
  <w:num w:numId="17" w16cid:durableId="1387294743">
    <w:abstractNumId w:val="1"/>
  </w:num>
  <w:num w:numId="18" w16cid:durableId="1390151740">
    <w:abstractNumId w:val="1"/>
  </w:num>
  <w:num w:numId="19" w16cid:durableId="7802031">
    <w:abstractNumId w:val="0"/>
  </w:num>
  <w:num w:numId="20" w16cid:durableId="1399670372">
    <w:abstractNumId w:val="0"/>
  </w:num>
  <w:num w:numId="21" w16cid:durableId="230897236">
    <w:abstractNumId w:val="9"/>
  </w:num>
  <w:num w:numId="22" w16cid:durableId="1108701955">
    <w:abstractNumId w:val="7"/>
  </w:num>
  <w:num w:numId="23" w16cid:durableId="1394306434">
    <w:abstractNumId w:val="6"/>
  </w:num>
  <w:num w:numId="24" w16cid:durableId="1928224521">
    <w:abstractNumId w:val="5"/>
  </w:num>
  <w:num w:numId="25" w16cid:durableId="1123884725">
    <w:abstractNumId w:val="4"/>
  </w:num>
  <w:num w:numId="26" w16cid:durableId="1359696331">
    <w:abstractNumId w:val="8"/>
  </w:num>
  <w:num w:numId="27" w16cid:durableId="629214908">
    <w:abstractNumId w:val="3"/>
  </w:num>
  <w:num w:numId="28" w16cid:durableId="501162072">
    <w:abstractNumId w:val="2"/>
  </w:num>
  <w:num w:numId="29" w16cid:durableId="674187560">
    <w:abstractNumId w:val="1"/>
  </w:num>
  <w:num w:numId="30" w16cid:durableId="1915386082">
    <w:abstractNumId w:val="0"/>
  </w:num>
  <w:num w:numId="31" w16cid:durableId="1996955744">
    <w:abstractNumId w:val="9"/>
  </w:num>
  <w:num w:numId="32" w16cid:durableId="2139909458">
    <w:abstractNumId w:val="7"/>
  </w:num>
  <w:num w:numId="33" w16cid:durableId="715742658">
    <w:abstractNumId w:val="6"/>
  </w:num>
  <w:num w:numId="34" w16cid:durableId="1551574007">
    <w:abstractNumId w:val="5"/>
  </w:num>
  <w:num w:numId="35" w16cid:durableId="1181822827">
    <w:abstractNumId w:val="4"/>
  </w:num>
  <w:num w:numId="36" w16cid:durableId="1389499273">
    <w:abstractNumId w:val="8"/>
  </w:num>
  <w:num w:numId="37" w16cid:durableId="234050410">
    <w:abstractNumId w:val="3"/>
  </w:num>
  <w:num w:numId="38" w16cid:durableId="1619675522">
    <w:abstractNumId w:val="2"/>
  </w:num>
  <w:num w:numId="39" w16cid:durableId="1392117225">
    <w:abstractNumId w:val="1"/>
  </w:num>
  <w:num w:numId="40" w16cid:durableId="2117602020">
    <w:abstractNumId w:val="0"/>
  </w:num>
  <w:num w:numId="41" w16cid:durableId="49690288">
    <w:abstractNumId w:val="10"/>
  </w:num>
  <w:num w:numId="42" w16cid:durableId="1283879651">
    <w:abstractNumId w:val="10"/>
  </w:num>
  <w:num w:numId="43" w16cid:durableId="1025710477">
    <w:abstractNumId w:val="10"/>
  </w:num>
  <w:num w:numId="44" w16cid:durableId="12102665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5CF"/>
    <w:rsid w:val="00002272"/>
    <w:rsid w:val="00064002"/>
    <w:rsid w:val="000677B9"/>
    <w:rsid w:val="000831BA"/>
    <w:rsid w:val="000A42CC"/>
    <w:rsid w:val="000E7DD9"/>
    <w:rsid w:val="000F45CF"/>
    <w:rsid w:val="0010095E"/>
    <w:rsid w:val="00125B37"/>
    <w:rsid w:val="00187494"/>
    <w:rsid w:val="001F32AE"/>
    <w:rsid w:val="002767FF"/>
    <w:rsid w:val="002B18FE"/>
    <w:rsid w:val="002B5493"/>
    <w:rsid w:val="002F0A32"/>
    <w:rsid w:val="00340BF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74D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06A1"/>
    <w:rsid w:val="00762C74"/>
    <w:rsid w:val="00786EC0"/>
    <w:rsid w:val="0079583D"/>
    <w:rsid w:val="007D1690"/>
    <w:rsid w:val="007D2A13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976"/>
    <w:rsid w:val="00981893"/>
    <w:rsid w:val="00A1687D"/>
    <w:rsid w:val="00A3448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F2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38EF"/>
    <w:rsid w:val="00F149E9"/>
    <w:rsid w:val="00F36746"/>
    <w:rsid w:val="00F5134D"/>
    <w:rsid w:val="00F74202"/>
    <w:rsid w:val="00F84C89"/>
    <w:rsid w:val="00F87713"/>
    <w:rsid w:val="00FB4360"/>
    <w:rsid w:val="00FD0C70"/>
  </w:rsids>
  <w:docVars>
    <w:docVar w:name="dvdocse" w:val="A10-0141/2026"/>
    <w:docVar w:name="dvlangue" w:val="CS"/>
    <w:docVar w:name="dvnumam" w:val="0"/>
    <w:docVar w:name="dvpe" w:val="784.259"/>
    <w:docVar w:name="dvrapporteur" w:val="Zpravodaj: "/>
    <w:docVar w:name="dvtitre" w:val="Usnesení Evropského parlamentu ze dne 17. června 2026 o zprávě Komise o Albánii za rok 2025(2025/2250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C960614"/>
  <w15:chartTrackingRefBased/>
  <w15:docId w15:val="{7169F143-943D-45C8-9B5A-E2D1359E6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36746"/>
    <w:pPr>
      <w:spacing w:after="240"/>
      <w:ind w:left="567" w:hanging="567"/>
    </w:pPr>
  </w:style>
  <w:style w:type="paragraph" w:customStyle="1" w:styleId="EPComma">
    <w:name w:val="EPComma"/>
    <w:basedOn w:val="Normal"/>
    <w:rsid w:val="00F36746"/>
    <w:pPr>
      <w:spacing w:before="480" w:after="240"/>
    </w:pPr>
  </w:style>
  <w:style w:type="character" w:styleId="Hyperlink">
    <w:name w:val="Hyperlink"/>
    <w:basedOn w:val="DefaultParagraphFont"/>
    <w:rsid w:val="00F3674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F36746"/>
    <w:rPr>
      <w:sz w:val="24"/>
      <w:lang w:val="cs-CZ"/>
    </w:rPr>
  </w:style>
  <w:style w:type="paragraph" w:styleId="Revision">
    <w:name w:val="Revision"/>
    <w:hidden/>
    <w:uiPriority w:val="99"/>
    <w:semiHidden/>
    <w:rsid w:val="00A34482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BB6F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09/332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dir/2022/2555/oj" TargetMode="External" /><Relationship Id="rId5" Type="http://schemas.openxmlformats.org/officeDocument/2006/relationships/hyperlink" Target="http://data.europa.eu/eli/dir/2009/147/oj" TargetMode="External" /><Relationship Id="rId6" Type="http://schemas.openxmlformats.org/officeDocument/2006/relationships/hyperlink" Target="http://data.europa.eu/eli/dir/1992/4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4923</Words>
  <Characters>30201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2026-06-17T14:22:00Z</dcterms:created>
  <dcterms:modified xsi:type="dcterms:W3CDTF">2026-06-17T14:22:00Z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A10-0141/2026</vt:lpwstr>
  </property>
  <property fmtid="{D5CDD505-2E9C-101B-9397-08002B2CF9AE}" pid="4" name="&lt;Type&gt;">
    <vt:lpwstr>RR</vt:lpwstr>
  </property>
</Properties>
</file>