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A693C97" w14:textId="77777777" w:rsidTr="0010095E">
        <w:tblPrEx>
          <w:tblW w:w="9072" w:type="dxa"/>
          <w:tblLook w:val="01E0"/>
        </w:tblPrEx>
        <w:trPr>
          <w:trHeight w:hRule="exact" w:val="1418"/>
        </w:trPr>
        <w:tc>
          <w:tcPr>
            <w:tcW w:w="6804" w:type="dxa"/>
            <w:shd w:val="clear" w:color="auto" w:fill="auto"/>
            <w:vAlign w:val="center"/>
          </w:tcPr>
          <w:p w:rsidR="00751A4A" w:rsidRPr="00EE7822" w:rsidP="0010095E" w14:paraId="6167B601" w14:textId="7C78766B">
            <w:pPr>
              <w:pStyle w:val="EPName"/>
            </w:pPr>
            <w:r w:rsidRPr="00EE7822">
              <w:t>Europa-Parlamentet</w:t>
            </w:r>
          </w:p>
          <w:p w:rsidR="00751A4A" w:rsidRPr="00EE7822" w:rsidP="005F1B17" w14:paraId="62BE30C8" w14:textId="77777777">
            <w:pPr>
              <w:pStyle w:val="EPTerm"/>
              <w:rPr>
                <w:rStyle w:val="HideTWBExt"/>
                <w:noProof w:val="0"/>
                <w:vanish w:val="0"/>
                <w:color w:val="auto"/>
              </w:rPr>
            </w:pPr>
            <w:r w:rsidRPr="00EE7822">
              <w:t>2024</w:t>
            </w:r>
            <w:r w:rsidRPr="00EE7822" w:rsidR="00817416">
              <w:t>-202</w:t>
            </w:r>
            <w:r w:rsidRPr="00EE7822">
              <w:t>9</w:t>
            </w:r>
          </w:p>
        </w:tc>
        <w:tc>
          <w:tcPr>
            <w:tcW w:w="2268" w:type="dxa"/>
            <w:shd w:val="clear" w:color="auto" w:fill="auto"/>
          </w:tcPr>
          <w:p w:rsidR="00751A4A" w:rsidRPr="00EE7822" w:rsidP="0010095E" w14:paraId="3562627E" w14:textId="77777777">
            <w:pPr>
              <w:pStyle w:val="EPLogo"/>
            </w:pPr>
            <w:r w:rsidRPr="00EE782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E7822" w:rsidP="004C5D52" w14:paraId="524624E7" w14:textId="77777777">
      <w:pPr>
        <w:pStyle w:val="LineTop"/>
      </w:pPr>
    </w:p>
    <w:p w:rsidR="00680577" w:rsidRPr="00EE7822" w:rsidP="00680577" w14:paraId="680286A9" w14:textId="77821733">
      <w:pPr>
        <w:pStyle w:val="EPBodyTA1"/>
      </w:pPr>
      <w:r w:rsidRPr="00EE7822">
        <w:t>VEDTAGNE TEKSTER</w:t>
      </w:r>
    </w:p>
    <w:p w:rsidR="00D058B8" w:rsidRPr="00EE7822" w:rsidP="00D058B8" w14:paraId="43F4EBF1" w14:textId="77777777">
      <w:pPr>
        <w:pStyle w:val="LineBottom"/>
      </w:pPr>
    </w:p>
    <w:p w:rsidR="00150F5A" w:rsidRPr="00AF0EEF" w:rsidP="00150F5A" w14:paraId="4A0A1669" w14:textId="3F876FF8">
      <w:pPr>
        <w:pStyle w:val="ATHeading1"/>
      </w:pPr>
      <w:bookmarkStart w:id="0" w:name="TANumber"/>
      <w:r w:rsidRPr="00AF0EEF">
        <w:t>P10_</w:t>
      </w:r>
      <w:r w:rsidRPr="00AF0EEF">
        <w:t>TA(</w:t>
      </w:r>
      <w:r w:rsidRPr="00AF0EEF">
        <w:t>2026)0</w:t>
      </w:r>
      <w:bookmarkEnd w:id="0"/>
      <w:r w:rsidRPr="00AF0EEF" w:rsidR="00296443">
        <w:t>217</w:t>
      </w:r>
    </w:p>
    <w:p w:rsidR="00150F5A" w:rsidRPr="00AF0EEF" w:rsidP="00150F5A" w14:paraId="083B9309" w14:textId="4A5BA76C">
      <w:pPr>
        <w:pStyle w:val="ATHeading2"/>
      </w:pPr>
      <w:r w:rsidRPr="00AF0EEF">
        <w:rPr>
          <w:bCs/>
        </w:rPr>
        <w:t>Kommissionens 2025-rapport om Albanien</w:t>
      </w:r>
    </w:p>
    <w:p w:rsidR="00150F5A" w:rsidRPr="00EE7822" w:rsidP="00150F5A" w14:paraId="6878A043" w14:textId="77777777">
      <w:pPr>
        <w:rPr>
          <w:i/>
          <w:vanish/>
        </w:rPr>
      </w:pPr>
      <w:r>
        <w:rPr>
          <w:i/>
        </w:rPr>
        <w:fldChar w:fldCharType="begin"/>
      </w:r>
      <w:r w:rsidRPr="00EE7822">
        <w:rPr>
          <w:i/>
        </w:rPr>
        <w:instrText xml:space="preserve"> TC"(</w:instrText>
      </w:r>
      <w:bookmarkStart w:id="1" w:name="DocNumber"/>
      <w:r w:rsidRPr="00EE7822">
        <w:rPr>
          <w:i/>
        </w:rPr>
        <w:instrText>A10-0141/2026</w:instrText>
      </w:r>
      <w:bookmarkEnd w:id="1"/>
      <w:r w:rsidRPr="00EE7822">
        <w:rPr>
          <w:i/>
        </w:rPr>
        <w:instrText xml:space="preserve"> - Ordfører: Andreas </w:instrText>
      </w:r>
      <w:r w:rsidRPr="00EE7822">
        <w:rPr>
          <w:i/>
        </w:rPr>
        <w:instrText>Schieder</w:instrText>
      </w:r>
      <w:r w:rsidRPr="00EE7822">
        <w:rPr>
          <w:i/>
        </w:rPr>
        <w:instrText xml:space="preserve">)"\l3 \n&gt; \* MERGEFORMAT </w:instrText>
      </w:r>
      <w:r>
        <w:rPr>
          <w:i/>
        </w:rPr>
        <w:fldChar w:fldCharType="end"/>
      </w:r>
    </w:p>
    <w:p w:rsidR="00150F5A" w:rsidRPr="00EE7822" w:rsidP="00150F5A" w14:paraId="5C8542E5" w14:textId="77777777">
      <w:pPr>
        <w:rPr>
          <w:vanish/>
        </w:rPr>
      </w:pPr>
      <w:bookmarkStart w:id="2" w:name="Commission"/>
      <w:r w:rsidRPr="00EE7822">
        <w:rPr>
          <w:vanish/>
        </w:rPr>
        <w:t>Udenrigsudvalget</w:t>
      </w:r>
      <w:bookmarkEnd w:id="2"/>
    </w:p>
    <w:p w:rsidR="00150F5A" w:rsidRPr="00EE7822" w:rsidP="00150F5A" w14:paraId="2C9D3A2B" w14:textId="77777777">
      <w:pPr>
        <w:rPr>
          <w:vanish/>
        </w:rPr>
      </w:pPr>
      <w:bookmarkStart w:id="3" w:name="PE"/>
      <w:r w:rsidRPr="00EE7822">
        <w:rPr>
          <w:vanish/>
        </w:rPr>
        <w:t>PE784.259</w:t>
      </w:r>
      <w:bookmarkEnd w:id="3"/>
    </w:p>
    <w:p w:rsidR="00150F5A" w:rsidRPr="00256229" w:rsidP="00150F5A" w14:paraId="72A829FA" w14:textId="5D10A08F">
      <w:pPr>
        <w:pStyle w:val="ATHeading3"/>
      </w:pPr>
      <w:bookmarkStart w:id="4" w:name="Sujet"/>
      <w:r w:rsidRPr="00EE7822">
        <w:t xml:space="preserve">Europa-Parlamentets beslutning af </w:t>
      </w:r>
      <w:r w:rsidR="00C82083">
        <w:t>17</w:t>
      </w:r>
      <w:r w:rsidRPr="00EE7822">
        <w:t>.</w:t>
      </w:r>
      <w:r w:rsidR="00C51247">
        <w:t xml:space="preserve"> </w:t>
      </w:r>
      <w:r w:rsidRPr="00256229" w:rsidR="00C51247">
        <w:t>juni</w:t>
      </w:r>
      <w:r w:rsidRPr="00256229">
        <w:t xml:space="preserve"> 2026 om Kommissionens 2025-rapport om Albanien</w:t>
      </w:r>
      <w:bookmarkEnd w:id="4"/>
      <w:r w:rsidRPr="00256229">
        <w:t xml:space="preserve"> </w:t>
      </w:r>
      <w:bookmarkStart w:id="5" w:name="References"/>
      <w:r w:rsidRPr="00256229">
        <w:t>(2025/2250(INI))</w:t>
      </w:r>
      <w:bookmarkEnd w:id="5"/>
    </w:p>
    <w:p w:rsidR="00C33B05" w:rsidRPr="00EE7822" w:rsidP="00C33B05" w14:paraId="3B1AFB3F" w14:textId="77777777">
      <w:pPr>
        <w:pStyle w:val="EPComma"/>
      </w:pPr>
      <w:r w:rsidRPr="00EE7822">
        <w:rPr>
          <w:i/>
        </w:rPr>
        <w:t>Europa-Parlamentet</w:t>
      </w:r>
      <w:r w:rsidRPr="00EE7822">
        <w:t>,</w:t>
      </w:r>
    </w:p>
    <w:p w:rsidR="00C33B05" w:rsidRPr="00EE7822" w:rsidP="00C33B05" w14:paraId="1525686C" w14:textId="77777777">
      <w:pPr>
        <w:pStyle w:val="NormalHanging12a"/>
      </w:pPr>
      <w:r w:rsidRPr="00EE7822">
        <w:t>–</w:t>
      </w:r>
      <w:r w:rsidRPr="00EE7822">
        <w:tab/>
        <w:t>der henviser til stabiliserings- og associeringsaftalen mellem De Europæiske Fællesskaber og deres medlemsstater på den ene side og Republikken Albanien på den anden side</w:t>
      </w:r>
      <w:r>
        <w:rPr>
          <w:vertAlign w:val="superscript"/>
        </w:rPr>
        <w:footnoteReference w:id="2"/>
      </w:r>
      <w:r w:rsidRPr="00EE7822">
        <w:t>,</w:t>
      </w:r>
    </w:p>
    <w:p w:rsidR="00C33B05" w:rsidRPr="00EE7822" w:rsidP="00C33B05" w14:paraId="5723A41E" w14:textId="77777777">
      <w:pPr>
        <w:pStyle w:val="NormalHanging12a"/>
      </w:pPr>
      <w:r w:rsidRPr="00EE7822">
        <w:t>–</w:t>
      </w:r>
      <w:r w:rsidRPr="00EE7822">
        <w:tab/>
        <w:t>der henviser til Albaniens ansøgning om EU-medlemskab, der blev indgivet den 24. april 2009,</w:t>
      </w:r>
    </w:p>
    <w:p w:rsidR="00C33B05" w:rsidRPr="00EE7822" w:rsidP="00C33B05" w14:paraId="0D5BE52C" w14:textId="77777777">
      <w:pPr>
        <w:pStyle w:val="NormalHanging12a"/>
      </w:pPr>
      <w:r w:rsidRPr="00EE7822">
        <w:t>–</w:t>
      </w:r>
      <w:r w:rsidRPr="00EE7822">
        <w:tab/>
        <w:t xml:space="preserve">der henviser til Europa-Parlamentets og Rådets forordning (EU) 2021/1529 af 15. september 2021 om oprettelse af et instrument til </w:t>
      </w:r>
      <w:r w:rsidRPr="00EE7822">
        <w:t>førtiltrædelsesbistand</w:t>
      </w:r>
      <w:r w:rsidRPr="00EE7822">
        <w:t xml:space="preserve"> (IPA III)</w:t>
      </w:r>
      <w:r>
        <w:rPr>
          <w:vertAlign w:val="superscript"/>
        </w:rPr>
        <w:footnoteReference w:id="3"/>
      </w:r>
      <w:r w:rsidRPr="00EE7822">
        <w:t>,</w:t>
      </w:r>
    </w:p>
    <w:p w:rsidR="00C33B05" w:rsidRPr="00EE7822" w:rsidP="00C33B05" w14:paraId="19738D66" w14:textId="77777777">
      <w:pPr>
        <w:pStyle w:val="NormalHanging12a"/>
      </w:pPr>
      <w:r w:rsidRPr="00EE7822">
        <w:t>–</w:t>
      </w:r>
      <w:r w:rsidRPr="00EE7822">
        <w:tab/>
        <w:t>der henviser til Europa-Parlamentets og Rådets forordning (EU) 2024/1449 af 14. maj 2024 om oprettelse af reform- og vækstfaciliteten for Vestbalkan</w:t>
      </w:r>
      <w:r>
        <w:rPr>
          <w:vertAlign w:val="superscript"/>
        </w:rPr>
        <w:footnoteReference w:id="4"/>
      </w:r>
      <w:r w:rsidRPr="00EE7822">
        <w:t>,</w:t>
      </w:r>
    </w:p>
    <w:p w:rsidR="00C33B05" w:rsidRPr="00EE7822" w:rsidP="00C33B05" w14:paraId="01042F51" w14:textId="77777777">
      <w:pPr>
        <w:pStyle w:val="NormalHanging12a"/>
      </w:pPr>
      <w:r w:rsidRPr="00EE7822">
        <w:t>–</w:t>
      </w:r>
      <w:r w:rsidRPr="00EE7822">
        <w:tab/>
        <w:t>der henviser til Kommissionens meddelelse af 5. februar 2020 med titlen "Styrkelse af tiltrædelsesprocessen – Et troværdigt EU-perspektiv for landene på Vestbalkan" (</w:t>
      </w:r>
      <w:r w:rsidRPr="00EE7822">
        <w:t>COM(</w:t>
      </w:r>
      <w:r w:rsidRPr="00EE7822">
        <w:t>2020)0057),</w:t>
      </w:r>
    </w:p>
    <w:p w:rsidR="00C33B05" w:rsidRPr="00EE7822" w:rsidP="00C33B05" w14:paraId="1897DED1" w14:textId="77777777">
      <w:pPr>
        <w:pStyle w:val="NormalHanging12a"/>
        <w:rPr>
          <w:bCs/>
          <w:iCs/>
          <w:szCs w:val="24"/>
        </w:rPr>
      </w:pPr>
      <w:r w:rsidRPr="00EE7822">
        <w:t>–</w:t>
      </w:r>
      <w:r w:rsidRPr="00EE7822">
        <w:tab/>
        <w:t>der henviser til EU's forhandlingsramme for Albanien, der blev godkendt af Rådet i juli 2022, og som fastsætter retningslinjerne og principperne for EU-tiltrædelsesforhandlingerne med Albanien,</w:t>
      </w:r>
    </w:p>
    <w:p w:rsidR="00C33B05" w:rsidRPr="00EE7822" w:rsidP="00C33B05" w14:paraId="154BA7BC" w14:textId="77777777">
      <w:pPr>
        <w:pStyle w:val="NormalHanging12a"/>
      </w:pPr>
      <w:r w:rsidRPr="00EE7822">
        <w:t>–</w:t>
      </w:r>
      <w:r w:rsidRPr="00EE7822">
        <w:tab/>
        <w:t>der henviser til Kommissionens meddelelse af 8. november 2023 med titlen "Ny vækstplan for landene på Vestbalkan" (</w:t>
      </w:r>
      <w:r w:rsidRPr="00EE7822">
        <w:t>COM(</w:t>
      </w:r>
      <w:r w:rsidRPr="00EE7822">
        <w:t>2023)0691),</w:t>
      </w:r>
    </w:p>
    <w:p w:rsidR="00C33B05" w:rsidRPr="00EE7822" w:rsidP="00C33B05" w14:paraId="126E91EE" w14:textId="77777777">
      <w:pPr>
        <w:pStyle w:val="NormalHanging12a"/>
      </w:pPr>
      <w:r w:rsidRPr="00EE7822">
        <w:t>–</w:t>
      </w:r>
      <w:r w:rsidRPr="00EE7822">
        <w:tab/>
        <w:t xml:space="preserve">der henviser til Albaniens reformdagsorden, der blev forelagt inden for rammen af EU's reform- og vækstfacilitet for Vestbalkan, som godkendt af Kommissionen den </w:t>
      </w:r>
      <w:r w:rsidRPr="00EE7822">
        <w:t>23. oktober 2024,</w:t>
      </w:r>
    </w:p>
    <w:p w:rsidR="00C33B05" w:rsidRPr="00EE7822" w:rsidP="00C33B05" w14:paraId="36E12340" w14:textId="77777777">
      <w:pPr>
        <w:pStyle w:val="NormalHanging12a"/>
      </w:pPr>
      <w:r w:rsidRPr="00EE7822">
        <w:t>–</w:t>
      </w:r>
      <w:r w:rsidRPr="00EE7822">
        <w:tab/>
        <w:t>der henviser til Kommissionens meddelelse af 8. juli 2025 med titlen "Rapport om retsstatssituationen 2025" (</w:t>
      </w:r>
      <w:r w:rsidRPr="00EE7822">
        <w:t>COM(</w:t>
      </w:r>
      <w:r w:rsidRPr="00EE7822">
        <w:t xml:space="preserve">2025)0900), og til det ledsagende arbejdsdokument fra Kommissionens tjenestegrene med titlen "2025 </w:t>
      </w:r>
      <w:r w:rsidRPr="00EE7822">
        <w:t>Rule</w:t>
      </w:r>
      <w:r w:rsidRPr="00EE7822">
        <w:t xml:space="preserve"> of Law Report – Country </w:t>
      </w:r>
      <w:r w:rsidRPr="00EE7822">
        <w:t>Chapter</w:t>
      </w:r>
      <w:r w:rsidRPr="00EE7822">
        <w:t xml:space="preserve"> on the </w:t>
      </w:r>
      <w:r w:rsidRPr="00EE7822">
        <w:t>rule</w:t>
      </w:r>
      <w:r w:rsidRPr="00EE7822">
        <w:t xml:space="preserve"> of </w:t>
      </w:r>
      <w:r w:rsidRPr="00EE7822">
        <w:t>law</w:t>
      </w:r>
      <w:r w:rsidRPr="00EE7822">
        <w:t xml:space="preserve"> situation in </w:t>
      </w:r>
      <w:r w:rsidRPr="00EE7822">
        <w:t>Albania</w:t>
      </w:r>
      <w:r w:rsidRPr="00EE7822">
        <w:t>" (SWD(2025)0928),</w:t>
      </w:r>
    </w:p>
    <w:p w:rsidR="00C33B05" w:rsidRPr="00EE7822" w:rsidP="00C33B05" w14:paraId="761230E4" w14:textId="77777777">
      <w:pPr>
        <w:pStyle w:val="NormalHanging12a"/>
      </w:pPr>
      <w:r w:rsidRPr="00EE7822">
        <w:t>–</w:t>
      </w:r>
      <w:r w:rsidRPr="00EE7822">
        <w:tab/>
        <w:t>der henviser til Kommissionens meddelelse af 4. november 2025 med titlen "Meddelelse om EU's udvidelsespolitik 2025" (</w:t>
      </w:r>
      <w:r w:rsidRPr="00EE7822">
        <w:t>COM(</w:t>
      </w:r>
      <w:r w:rsidRPr="00EE7822">
        <w:t>2025)0690) og til det ledsagende arbejdsdokument fra Kommissionens tjenestegrene med titlen "</w:t>
      </w:r>
      <w:r w:rsidRPr="00EE7822">
        <w:t>Albania</w:t>
      </w:r>
      <w:r w:rsidRPr="00EE7822">
        <w:t xml:space="preserve"> 2025 Report" (SWD(2025)0750),</w:t>
      </w:r>
    </w:p>
    <w:p w:rsidR="00C33B05" w:rsidRPr="00EE7822" w:rsidP="00C33B05" w14:paraId="32EA8CDF" w14:textId="77777777">
      <w:pPr>
        <w:pStyle w:val="NormalHanging12a"/>
      </w:pPr>
      <w:r w:rsidRPr="00EE7822">
        <w:t>–</w:t>
      </w:r>
      <w:r w:rsidRPr="00EE7822">
        <w:tab/>
        <w:t>der henviser til den endelige rapport af 23. oktober 2025 fra valgobservationsmissionen under Organisationen for Sikkerhed og Samarbejde i Europas Kontor for Demokratiske Institutioner og Menneskerettigheder (ODIHR) om Albaniens parlamentsvalg den 11. maj 2025,</w:t>
      </w:r>
    </w:p>
    <w:p w:rsidR="00C33B05" w:rsidRPr="00EE7822" w:rsidP="00C33B05" w14:paraId="6B2B0C2B" w14:textId="77777777">
      <w:pPr>
        <w:pStyle w:val="NormalHanging12a"/>
      </w:pPr>
      <w:r w:rsidRPr="00EE7822">
        <w:t>–</w:t>
      </w:r>
      <w:r w:rsidRPr="00EE7822">
        <w:tab/>
        <w:t>der henviser til erklæringen fra topmødet mellem EU og Vestbalkan, der blev afholdt i Bruxelles den 17. december 2025,</w:t>
      </w:r>
    </w:p>
    <w:p w:rsidR="00C33B05" w:rsidRPr="00EE7822" w:rsidP="00C33B05" w14:paraId="6D7EC08F" w14:textId="77777777">
      <w:pPr>
        <w:pStyle w:val="NormalHanging12a"/>
        <w:rPr>
          <w:bCs/>
          <w:iCs/>
          <w:szCs w:val="24"/>
        </w:rPr>
      </w:pPr>
      <w:r w:rsidRPr="00EE7822">
        <w:t>–</w:t>
      </w:r>
      <w:r w:rsidRPr="00EE7822">
        <w:tab/>
        <w:t xml:space="preserve">der henviser til topmøderne mellem EU og Vestbalkan i Sofia, Zagreb og </w:t>
      </w:r>
      <w:r w:rsidRPr="00EE7822">
        <w:t>Brdo</w:t>
      </w:r>
      <w:r w:rsidRPr="00EE7822">
        <w:t xml:space="preserve"> </w:t>
      </w:r>
      <w:r w:rsidRPr="00EE7822">
        <w:t>pri</w:t>
      </w:r>
      <w:r w:rsidRPr="00EE7822">
        <w:t xml:space="preserve"> </w:t>
      </w:r>
      <w:r w:rsidRPr="00EE7822">
        <w:t>Kranju</w:t>
      </w:r>
      <w:r w:rsidRPr="00EE7822">
        <w:t xml:space="preserve"> i hhv. 2018, 2020 og 2021 samt til erklæringerne herfra,</w:t>
      </w:r>
    </w:p>
    <w:p w:rsidR="00C33B05" w:rsidRPr="00EE7822" w:rsidP="00C33B05" w14:paraId="32AE205E" w14:textId="77777777">
      <w:pPr>
        <w:pStyle w:val="NormalHanging12a"/>
      </w:pPr>
      <w:r w:rsidRPr="00EE7822">
        <w:t>–</w:t>
      </w:r>
      <w:r w:rsidRPr="00EE7822">
        <w:tab/>
        <w:t>der henviser til sine tidligere beslutninger om Albanien,</w:t>
      </w:r>
    </w:p>
    <w:p w:rsidR="00C33B05" w:rsidRPr="00EE7822" w:rsidP="00C33B05" w14:paraId="5D1C77B6" w14:textId="77777777">
      <w:pPr>
        <w:pStyle w:val="NormalHanging12a"/>
      </w:pPr>
      <w:r w:rsidRPr="00EE7822">
        <w:t>–</w:t>
      </w:r>
      <w:r w:rsidRPr="00EE7822">
        <w:tab/>
        <w:t>der henviser til sin beslutning af 11. marts 2026 om EU's udvidelsesstrategi</w:t>
      </w:r>
      <w:r>
        <w:rPr>
          <w:rStyle w:val="FootnoteReference"/>
        </w:rPr>
        <w:footnoteReference w:id="5"/>
      </w:r>
      <w:r w:rsidRPr="00EE7822">
        <w:t>,</w:t>
      </w:r>
    </w:p>
    <w:p w:rsidR="00C33B05" w:rsidRPr="00EE7822" w:rsidP="00C33B05" w14:paraId="2829587C" w14:textId="77777777">
      <w:pPr>
        <w:pStyle w:val="NormalHanging12a"/>
      </w:pPr>
      <w:r w:rsidRPr="00EE7822">
        <w:t>–</w:t>
      </w:r>
      <w:r w:rsidRPr="00EE7822">
        <w:tab/>
        <w:t xml:space="preserve">der henviser til korruptionsindekset for 2025, som blev offentliggjort af </w:t>
      </w:r>
      <w:r w:rsidRPr="00EE7822">
        <w:t>Transparency</w:t>
      </w:r>
      <w:r w:rsidRPr="00EE7822">
        <w:t xml:space="preserve"> International i februar 2026,</w:t>
      </w:r>
    </w:p>
    <w:p w:rsidR="00C33B05" w:rsidRPr="00EE7822" w:rsidP="00C33B05" w14:paraId="55345EF1" w14:textId="77777777">
      <w:pPr>
        <w:pStyle w:val="NormalHanging12a"/>
      </w:pPr>
      <w:r w:rsidRPr="00EE7822">
        <w:t>–</w:t>
      </w:r>
      <w:r w:rsidRPr="00EE7822">
        <w:tab/>
        <w:t>der henviser til det internationale pressefrihedsindeks 2025, som blev udgivet af Journalister uden Grænser i marts 2025,</w:t>
      </w:r>
    </w:p>
    <w:p w:rsidR="00C33B05" w:rsidRPr="00EE7822" w:rsidP="00C33B05" w14:paraId="552B31D8" w14:textId="77777777">
      <w:pPr>
        <w:pStyle w:val="NormalHanging12a"/>
        <w:rPr>
          <w:bCs/>
          <w:iCs/>
          <w:szCs w:val="24"/>
        </w:rPr>
      </w:pPr>
      <w:r w:rsidRPr="00EE7822">
        <w:t>–</w:t>
      </w:r>
      <w:r w:rsidRPr="00EE7822">
        <w:tab/>
        <w:t xml:space="preserve">der henviser til rapporten af 11. juni 2025 fra Det Verdensøkonomiske Forum med titlen "Global </w:t>
      </w:r>
      <w:r w:rsidRPr="00EE7822">
        <w:t>Gender</w:t>
      </w:r>
      <w:r w:rsidRPr="00EE7822">
        <w:t xml:space="preserve"> Gap Report 2025" (rapport om kønsforskelle i verden 2025),</w:t>
      </w:r>
    </w:p>
    <w:p w:rsidR="00C33B05" w:rsidRPr="00EE7822" w:rsidP="00C33B05" w14:paraId="752413B1" w14:textId="77777777">
      <w:pPr>
        <w:pStyle w:val="NormalHanging12a"/>
      </w:pPr>
      <w:r w:rsidRPr="00EE7822">
        <w:t>–</w:t>
      </w:r>
      <w:r w:rsidRPr="00EE7822">
        <w:tab/>
        <w:t>der henviser til forretningsordenens artikel 55,</w:t>
      </w:r>
    </w:p>
    <w:p w:rsidR="00C33B05" w:rsidRPr="00EE7822" w:rsidP="00C33B05" w14:paraId="0414608B" w14:textId="77777777">
      <w:pPr>
        <w:pStyle w:val="NormalHanging12a"/>
      </w:pPr>
      <w:r w:rsidRPr="00EE7822">
        <w:t>–</w:t>
      </w:r>
      <w:r w:rsidRPr="00EE7822">
        <w:tab/>
        <w:t>der henviser til betænkning fra Udenrigsudvalget (A10-0141/2026),</w:t>
      </w:r>
    </w:p>
    <w:p w:rsidR="00C33B05" w:rsidRPr="00EE7822" w:rsidP="00C33B05" w14:paraId="1CC87610" w14:textId="77777777">
      <w:pPr>
        <w:pStyle w:val="NormalHanging12a"/>
      </w:pPr>
      <w:r w:rsidRPr="00EE7822">
        <w:t>A.</w:t>
      </w:r>
      <w:r w:rsidRPr="00EE7822">
        <w:tab/>
        <w:t>der henviser til, at EU's udvidelse fortsat er en strategisk investering i fred, sikkerhed og stabilitet samt i demokratisk og socioøkonomisk udvikling på hele det europæiske kontinent;</w:t>
      </w:r>
    </w:p>
    <w:p w:rsidR="00C33B05" w:rsidRPr="00EE7822" w:rsidP="00C33B05" w14:paraId="5165F4D1" w14:textId="77777777">
      <w:pPr>
        <w:pStyle w:val="NormalHanging12a"/>
      </w:pPr>
      <w:r w:rsidRPr="00EE7822">
        <w:t>B.</w:t>
      </w:r>
      <w:r w:rsidRPr="00EE7822">
        <w:tab/>
        <w:t>der henviser til, at Albanien har fastholdt en klar og konsekvent strategisk orientering mod EU-medlemskab og har vist fuld tilpasning til EU's fælles udenrigs- og sikkerhedspolitik, herunder EU's restriktive foranstaltninger over for Rusland og Belarus, samt ved at støtte Ukraine i afstemninger om resolutioner fra FN's Generalforsamling;</w:t>
      </w:r>
    </w:p>
    <w:p w:rsidR="00C33B05" w:rsidRPr="00EE7822" w:rsidP="00C33B05" w14:paraId="4F6DC7D2" w14:textId="77777777">
      <w:pPr>
        <w:pStyle w:val="NormalHanging12a"/>
      </w:pPr>
      <w:r w:rsidRPr="00EE7822">
        <w:t>C.</w:t>
      </w:r>
      <w:r w:rsidRPr="00EE7822">
        <w:tab/>
        <w:t xml:space="preserve">der henviser til, at Albanien blev tildelt status som EU-kandidatland i 2014, indledte </w:t>
      </w:r>
      <w:r w:rsidRPr="00EE7822">
        <w:t>tiltrædelsesforhandlinger i juli 2022, afsluttede screeningsprocessen med succes i november 2023 og åbnede alle forhandlingsklynger mellem den 15. oktober 2024 og 17. november 2025;</w:t>
      </w:r>
    </w:p>
    <w:p w:rsidR="00C33B05" w:rsidRPr="00EE7822" w:rsidP="00C33B05" w14:paraId="4197B195" w14:textId="77777777">
      <w:pPr>
        <w:pStyle w:val="NormalHanging12a"/>
      </w:pPr>
      <w:r w:rsidRPr="00EE7822">
        <w:t>D.</w:t>
      </w:r>
      <w:r w:rsidRPr="00EE7822">
        <w:tab/>
        <w:t>der henviser til, at det i Kommissionens 2025-rapport om Albanien bekræftes, at landet fortsat gør fremskridt på de fleste tiltrædelsesrelaterede områder, samtidig med at behovet for mere dybtgående, mere konsekvente og uigenkaldelige reformer fremhæves;</w:t>
      </w:r>
    </w:p>
    <w:p w:rsidR="00C33B05" w:rsidRPr="00EE7822" w:rsidP="00C33B05" w14:paraId="7384895A" w14:textId="77777777">
      <w:pPr>
        <w:pStyle w:val="NormalHanging12a"/>
        <w:rPr>
          <w:bCs/>
          <w:iCs/>
        </w:rPr>
      </w:pPr>
      <w:r w:rsidRPr="00EE7822">
        <w:t>E.</w:t>
      </w:r>
      <w:r w:rsidRPr="00EE7822">
        <w:tab/>
        <w:t xml:space="preserve">der henviser til, at troværdighed i EU's udvidelsesproces afhænger af streng </w:t>
      </w:r>
      <w:r w:rsidRPr="00EE7822">
        <w:t>konditionalitet</w:t>
      </w:r>
      <w:r w:rsidRPr="00EE7822">
        <w:t>, meritbaserede fremskridt og en effektiv gennemførelse af reformer snarere end formel vedtagelse af lovgivning alene; der henviser til, at Albaniens tiltrædelse af EU afhænger af varige, dybtgående og uigenkaldelige reformer på de områder, som inden for rammerne af tiltrædelsesforhandlingerne er omfattet af grundprincipklyngen, begyndende med retsstatsprincippet og de demokratiske institutioners funktionsmåde; der henviser til, at kvaliteten af de reformer, som et kandidatland gennemfører, afgør tidsplanen for landets tiltrædelse;</w:t>
      </w:r>
    </w:p>
    <w:p w:rsidR="00C33B05" w:rsidRPr="00EE7822" w:rsidP="00C33B05" w14:paraId="3E9634EF" w14:textId="77777777">
      <w:pPr>
        <w:pStyle w:val="NormalHanging12a"/>
      </w:pPr>
      <w:r w:rsidRPr="00EE7822">
        <w:t>F.</w:t>
      </w:r>
      <w:r w:rsidRPr="00EE7822">
        <w:tab/>
        <w:t>der henviser til, at styrkelse af de demokratiske institutioner, retsvæsenets uafhængighed, bestræbelserne på at bekæmpe korruption, mediefriheden og de grundlæggende rettigheder, herunder mindretalsrettigheder, fortsat er af afgørende betydning for Albaniens tiltrædelsesforløb;</w:t>
      </w:r>
    </w:p>
    <w:p w:rsidR="00C33B05" w:rsidRPr="00EE7822" w:rsidP="00C33B05" w14:paraId="23799CC0" w14:textId="77777777">
      <w:pPr>
        <w:pStyle w:val="NormalHanging12a"/>
        <w:rPr>
          <w:bCs/>
          <w:iCs/>
        </w:rPr>
      </w:pPr>
      <w:r w:rsidRPr="00EE7822">
        <w:t>G.</w:t>
      </w:r>
      <w:r w:rsidRPr="00EE7822">
        <w:tab/>
        <w:t>der henviser til, at beskyttelsen af integriteten af de demokratiske processer er blevet et centralt element i EU's udvidelsespolitik; der henviser til, at det albanske parlament i juli 2025 vedtog landets første nationale strategi mod udenlandsk indblanding og desinformation;</w:t>
      </w:r>
    </w:p>
    <w:p w:rsidR="00C33B05" w:rsidRPr="00EE7822" w:rsidP="00C33B05" w14:paraId="0B7F491F" w14:textId="77777777">
      <w:pPr>
        <w:pStyle w:val="NormalHanging12a"/>
      </w:pPr>
      <w:r w:rsidRPr="00EE7822">
        <w:t>H.</w:t>
      </w:r>
      <w:r w:rsidRPr="00EE7822">
        <w:tab/>
        <w:t xml:space="preserve">der henviser til, at </w:t>
      </w:r>
      <w:r w:rsidRPr="00EE7822">
        <w:t>ODIHR's</w:t>
      </w:r>
      <w:r w:rsidRPr="00EE7822">
        <w:t xml:space="preserve"> anbefalinger af 23. oktober 2025, som fulgte efter Albaniens parlamentsvalg den 11. maj 2025, og </w:t>
      </w:r>
      <w:r w:rsidRPr="00EE7822">
        <w:t>ODIHR's</w:t>
      </w:r>
      <w:r w:rsidRPr="00EE7822">
        <w:t xml:space="preserve"> tidligere anbefalinger om yderligere forbedring af afholdelsen af valg i Albanien endnu ikke er blevet efterkommet fuldt ud;</w:t>
      </w:r>
    </w:p>
    <w:p w:rsidR="00C33B05" w:rsidRPr="00EE7822" w:rsidP="00C33B05" w14:paraId="2D24D5CC" w14:textId="77777777">
      <w:pPr>
        <w:pStyle w:val="NormalHanging12a"/>
      </w:pPr>
      <w:r w:rsidRPr="00EE7822">
        <w:t>1.</w:t>
      </w:r>
      <w:r w:rsidRPr="00EE7822">
        <w:tab/>
        <w:t>glæder sig over Albaniens fremragende engagement i EU-integrationen, der er baseret på konsensus blandt alle dets politiske partier og overvældende støtte blandt dets borgere, og roser, at Albanien åbnede alle tiltrædelsesforhandlingernes klynger inden for blot 13 måneder; bemærker, at de albanske borgeres støtte til EU-medlemskab fortsat er høj og afspejler det albanske samfunds stærke europæiske forhåbninger; tilskynder landet til at fastholde det nuværende reformvenlige momentum og til at fortsætte tilpasningen til den gældende EU-ret, og understreger, at Albaniens fremskridt på sin europæiske vej bidrager til stabiliteten og sikkerheden på samt robustheden af det europæiske kontinent;</w:t>
      </w:r>
    </w:p>
    <w:p w:rsidR="00C33B05" w:rsidRPr="00EE7822" w:rsidP="00C33B05" w14:paraId="792ABB0A" w14:textId="77777777">
      <w:pPr>
        <w:pStyle w:val="NormalHanging12a"/>
      </w:pPr>
      <w:r w:rsidRPr="00EE7822">
        <w:t>2.</w:t>
      </w:r>
      <w:r w:rsidRPr="00EE7822">
        <w:tab/>
        <w:t>noterer sig Albaniens ambition om at afslutte tiltrædelsesforhandlingerne senest ved udgangen af 2027 og glæder sig over de hurtige fremskridt, der i den henseende er gjort i de seneste år; fremhæver nødvendigheden af, at de albanske myndigheder sikrer en omhyggelig gennemførelse af lovgivningen;</w:t>
      </w:r>
    </w:p>
    <w:p w:rsidR="00C33B05" w:rsidRPr="00EE7822" w:rsidP="00C33B05" w14:paraId="775656DB" w14:textId="77777777">
      <w:pPr>
        <w:pStyle w:val="NormalHanging12a"/>
      </w:pPr>
      <w:r w:rsidRPr="00EE7822">
        <w:t>3.</w:t>
      </w:r>
      <w:r w:rsidRPr="00EE7822">
        <w:tab/>
        <w:t xml:space="preserve">bemærker, at både Kommissionens rapport fra 2025 om Albanien og </w:t>
      </w:r>
      <w:r w:rsidRPr="00EE7822">
        <w:t>ODIHR's</w:t>
      </w:r>
      <w:r w:rsidRPr="00EE7822">
        <w:t xml:space="preserve"> rapport om parlamentsvalget i maj 2025 vurderer, at Albaniens valgrammer generelt er tilstrækkelige til at afholde konkurrenceprægede valg, samtidig med at de gentager bekymringerne vedrørende ulige vilkår for politiske aktører, misbrug af administrative </w:t>
      </w:r>
      <w:r w:rsidRPr="00EE7822">
        <w:t>ressourcer, der udvisker grænserne mellem statslige institutioner og partistrukturer, finansiering af politiske partier, påstande om køb af stemmer og pres på vælgere; opfordrer derfor Albaniens politiske flertal og dets opposition til konstruktivt og inklusivt at fortsætte en omfattende valgreform i tæt samarbejde med civilsamfundet og til fuldt ud at gennemføre udestående anbefalinger fra ODIHR og Venedigkommissionen i god tid forud for fremtidige valgcyklusser; understreger, at denne reform bør styrke valgrammerne, herunder gennemsigtigheden i forbindelse med finansieringen af kampagner, upartisk medieadgang, sikkerhedsforanstaltninger mod misbrug af administrative ressourcer samt sikring af, at valgrammerne håndhæves effektivt; understreger, at en bred politisk konsensus og en reel gennemførelse af disse reformer er af afgørende betydning for at sikre offentlighedens tillid i fremtidige valg;</w:t>
      </w:r>
    </w:p>
    <w:p w:rsidR="00C33B05" w:rsidRPr="00EE7822" w:rsidP="00C33B05" w14:paraId="464F02E0" w14:textId="77777777">
      <w:pPr>
        <w:pStyle w:val="NormalHanging12a"/>
      </w:pPr>
      <w:r w:rsidRPr="00EE7822">
        <w:t>4.</w:t>
      </w:r>
      <w:r w:rsidRPr="00EE7822">
        <w:tab/>
        <w:t>udtrykker bekymring over den fortsatte politiske polarisering og konfrontatoriske politiske debat, som undergraver den parlamentariske kontrol, offentlighedens tillid og de demokratiske institutioners effektive funktion; tilskynder de politiske aktører til at genoptage den konstruktive parlamentariske dialog og sikre, at det albanske parlament forbliver det centrale forum for demokratisk debat og demokratisk kontrol; understreger, at et velfungerende demokrati kræver, at oppositionen deltager på meningsfuld vis i de parlamentariske procedurer; minder om, at voldelige protester ikke hører hjemme i et velfungerende demokrati;</w:t>
      </w:r>
    </w:p>
    <w:p w:rsidR="00C33B05" w:rsidRPr="00EE7822" w:rsidP="00C33B05" w14:paraId="602E13D4" w14:textId="77777777">
      <w:pPr>
        <w:pStyle w:val="NormalHanging12a"/>
      </w:pPr>
      <w:r w:rsidRPr="00EE7822">
        <w:t>5.</w:t>
      </w:r>
      <w:r w:rsidRPr="00EE7822">
        <w:tab/>
        <w:t xml:space="preserve">tilskynder til at styrke den parlamentariske kontrol med den udøvende magt, til at øge gennemsigtigheden i lovgivningsprocedurerne og til på et tidligere stadie at gennemføre en mere meningsfuld høring af civilsamfundsorganisationer, arbejdsmarkedets parter og uafhængige institutioner; understreger, at der bør tilstræbes fremskridt i EU-integrationsprocessen uden at gå på kompromis med reformernes kvalitet og </w:t>
      </w:r>
      <w:r w:rsidRPr="00EE7822">
        <w:t>inklusivitet</w:t>
      </w:r>
      <w:r w:rsidRPr="00EE7822">
        <w:t xml:space="preserve">; fremhæver vigtigheden af tilstrækkelig interessentinddragelse og nationalt ejerskab for at sikre en bæredygtig gennemførelse og varige resultater; understreger, at det er vigtigt at styrke de albanske parlamentariske udvalgs rolle og kapacitet, herunder gennem forbedret adgang til information, </w:t>
      </w:r>
      <w:r w:rsidRPr="00EE7822">
        <w:t>ekspertstøtte</w:t>
      </w:r>
      <w:r w:rsidRPr="00EE7822">
        <w:t xml:space="preserve"> og gennemsigtige lovgivningsprocedurer;</w:t>
      </w:r>
    </w:p>
    <w:p w:rsidR="00C33B05" w:rsidRPr="00EE7822" w:rsidP="00C33B05" w14:paraId="52C2696C" w14:textId="77777777">
      <w:pPr>
        <w:pStyle w:val="NormalHanging12a"/>
        <w:rPr>
          <w:b/>
          <w:bCs/>
          <w:i/>
          <w:iCs/>
        </w:rPr>
      </w:pPr>
      <w:r w:rsidRPr="00EE7822">
        <w:rPr>
          <w:b/>
          <w:i/>
        </w:rPr>
        <w:t>Retsstatsprincippet, retsvæsenet og bekæmpelse af korruption</w:t>
      </w:r>
    </w:p>
    <w:p w:rsidR="00C33B05" w:rsidRPr="00EE7822" w:rsidP="00C33B05" w14:paraId="07533EA3" w14:textId="77777777">
      <w:pPr>
        <w:pStyle w:val="NormalHanging12a"/>
      </w:pPr>
      <w:r w:rsidRPr="00EE7822">
        <w:t>6.</w:t>
      </w:r>
      <w:r w:rsidRPr="00EE7822">
        <w:tab/>
        <w:t>glæder sig over Albaniens fortsatte gennemførelse af sin reform af retsvæsenet, herunder screeningen af dommere og anklagere, som har bidraget til øget ansvarlighed og integritet inden for dets retsvæsen; roser det øverste domstolsråd for de nye udnævnelser af dommere, hvilket bidrager til at reducere antallet af ledige stillinger; understreger, at beskyttelse af retsvæsenets uafhængighed fortsat er afgørende for retsstatsprincippet sideløbende med vedvarende bestræbelser på yderligere at forbedre retsvæsenets ansvarlighed, kvalitet og effektivitet;</w:t>
      </w:r>
      <w:r w:rsidRPr="00EE7822">
        <w:rPr>
          <w:b/>
          <w:i/>
        </w:rPr>
        <w:t xml:space="preserve"> </w:t>
      </w:r>
      <w:r w:rsidRPr="00EE7822">
        <w:t>noterer sig imidlertid de vedvarende udfordringer i forbindelse med retsvæsenets effektivitet, den effektive håndhævelse af endelige retsafgørelser, sagspukler, ensartet retspraksis og forsøg på at udøve utilbørlig påvirkning;</w:t>
      </w:r>
    </w:p>
    <w:p w:rsidR="00C33B05" w:rsidRPr="00EE7822" w:rsidP="00C33B05" w14:paraId="1F96A3FF" w14:textId="77777777">
      <w:pPr>
        <w:pStyle w:val="NormalHanging12a"/>
      </w:pPr>
      <w:r w:rsidRPr="00EE7822">
        <w:t>7.</w:t>
      </w:r>
      <w:r w:rsidRPr="00EE7822">
        <w:tab/>
        <w:t>minder om, at parlamentarisk immunitet er en del af Albaniens forfatningsmæssige ramme, der er udformet til at sikre korrekt funktion af de demokratiske institutioner; understreger, at enhver beslutning i den henseende bør tages i nøje overensstemmelse med de forfatningsmæssige bestemmelser og etablerede retlige fremgangsmåder, uden politisk indblanding og uden unødigt ophold;</w:t>
      </w:r>
    </w:p>
    <w:p w:rsidR="00C33B05" w:rsidRPr="00EE7822" w:rsidP="00C33B05" w14:paraId="711E2AA0" w14:textId="77777777">
      <w:pPr>
        <w:pStyle w:val="NormalHanging12a"/>
        <w:rPr>
          <w:bCs/>
          <w:iCs/>
        </w:rPr>
      </w:pPr>
      <w:r w:rsidRPr="00EE7822">
        <w:t>8.</w:t>
      </w:r>
      <w:r w:rsidRPr="00EE7822">
        <w:tab/>
        <w:t xml:space="preserve">roser de albanske myndigheder for den løbende forbedring af forfatningsdomstolens </w:t>
      </w:r>
      <w:r w:rsidRPr="00EE7822">
        <w:t>effektivitet; opfordrer dog til at styrke de bredere domstolsforvaltningsorganer yderligere og til at gennemføre vedvarende investeringer i domstolsinfrastruktur og digitalisering; minder om, at retsvæsenet fortsat udsættes for politisk pres og trusler, hvilket risikerer at undergrave retsvæsenets uafhængighed; fremhæver vigtigheden af, at den udøvende og den lovgivende magt gennemfører forfatningsdomstolens afgørelser rettidigt og fuldt ud, eftersom dette er et grundlæggende element i retsstatsprincippet og den institutionelle balance;</w:t>
      </w:r>
    </w:p>
    <w:p w:rsidR="00C33B05" w:rsidRPr="00EE7822" w:rsidP="00C33B05" w14:paraId="2D5636C9" w14:textId="77777777">
      <w:pPr>
        <w:pStyle w:val="NormalHanging12a"/>
        <w:rPr>
          <w:bCs/>
          <w:iCs/>
        </w:rPr>
      </w:pPr>
      <w:r w:rsidRPr="00EE7822">
        <w:t>9.</w:t>
      </w:r>
      <w:r w:rsidRPr="00EE7822">
        <w:tab/>
        <w:t xml:space="preserve">beklager, at Albanien ifølge </w:t>
      </w:r>
      <w:r w:rsidRPr="00EE7822">
        <w:t>Transparency</w:t>
      </w:r>
      <w:r w:rsidRPr="00EE7822">
        <w:t xml:space="preserve"> </w:t>
      </w:r>
      <w:r w:rsidRPr="00EE7822">
        <w:t>Internationals</w:t>
      </w:r>
      <w:r w:rsidRPr="00EE7822">
        <w:t xml:space="preserve"> korruptionsindeks for 2025 er faldet til 91.-pladsen sammenlignet med 80.-pladsen i 2024; understreger, at korruption fortsat er et alvorligt problem, og at Albanien på trods af fremskridt inden for dets retlige og institutionelle rammer skal øge sin politimæssige kapacitet yderligere og konsolidere sine resultater med hensyn til efterforskning, retsforfølgning og endelige domfældelser, navnlig i korruptionssager på højt niveau; glæder sig over vedtagelsen af central </w:t>
      </w:r>
      <w:r w:rsidRPr="00EE7822">
        <w:t>antikorruptionslovgivning</w:t>
      </w:r>
      <w:r w:rsidRPr="00EE7822">
        <w:t>, herunder vedrørende whistleblowerbeskyttelse og interessekonflikter, og opfordrer til grundig gennemførelse heraf; glæder sig over det fortsatte arbejde, som foretages af specialiserede korruptionsbekæmpende institutioner og institutioner til bekæmpelse af organiseret kriminalitet, herunder inden for rammerne af den særlige struktur for bekæmpelse af korruption og organiseret kriminalitet (SPAK), og opfordrer til at sikre deres fortsatte uafhængighed, tilstrækkelig finansiering og tilstrækkelig operationel kapacitet uden at begrænse deres efterforskningsbeføjelser eller undergrave deres arbejde; opfordrer til en styrket indsats for at sikre effektiv sporing, indefrysning, konfiskation og forvaltning af kriminelle aktiver, herunder gennem systematisk finansiel efterforskning, forbedret samarbejde mellem institutioner og på tværs af grænserne samt fuld brug af konfiskationsværktøjer i overensstemmelse med de grundlæggende rettigheder;</w:t>
      </w:r>
    </w:p>
    <w:p w:rsidR="00C33B05" w:rsidRPr="00EE7822" w:rsidP="00C33B05" w14:paraId="5F807DD5" w14:textId="77777777">
      <w:pPr>
        <w:pStyle w:val="NormalHanging12a"/>
      </w:pPr>
      <w:r w:rsidRPr="00EE7822">
        <w:t>10.</w:t>
      </w:r>
      <w:r w:rsidRPr="00EE7822">
        <w:tab/>
        <w:t>fastholder, at det er nødvendigt at bekæmpe korruption på alle niveauer for at styrke borgernes tillid til de statslige institutioner og muliggøre et forudsigeligt erhvervsmiljø; opfordrer til styrkelse af gennemsigtigheden, kontrolforanstaltninger vedrørende interessekonflikter og målrettede forebyggelsesforanstaltninger i højrisikosektorer, navnlig sektorerne for offentlige udbud og koncessionskontrakter, licensudstedelse og inspektioner samt byggeri og rumlig planlægning;</w:t>
      </w:r>
    </w:p>
    <w:p w:rsidR="00C33B05" w:rsidRPr="00EE7822" w:rsidP="00C33B05" w14:paraId="5F6832C9" w14:textId="77777777">
      <w:pPr>
        <w:pStyle w:val="NormalHanging12a"/>
      </w:pPr>
      <w:r w:rsidRPr="00EE7822">
        <w:t>11.</w:t>
      </w:r>
      <w:r w:rsidRPr="00EE7822">
        <w:tab/>
        <w:t>opfordrer Albanien til at gøre væsentlige fremskridt med hensyn til den indledende registrering af ejendom og med hensyn til rimelig, almindeligt accepteret kompensation, til at forbedre gennemsigtigheden i statens land- og ejendomsregister og kvaliteten af ​​matrikeldata i ejendomsregistret samt til at sikre, at retten til en retfærdig rettergang og retten til effektiv retsbeskyttelse respekteres i tilfælde af ekspropriation og fratagelse af fast ejendom;</w:t>
      </w:r>
    </w:p>
    <w:p w:rsidR="00C33B05" w:rsidRPr="00EE7822" w:rsidP="00C33B05" w14:paraId="3B714421" w14:textId="77777777">
      <w:pPr>
        <w:pStyle w:val="NormalHanging12a"/>
        <w:rPr>
          <w:bCs/>
          <w:iCs/>
        </w:rPr>
      </w:pPr>
      <w:r w:rsidRPr="00EE7822">
        <w:t>12.</w:t>
      </w:r>
      <w:r w:rsidRPr="00EE7822">
        <w:tab/>
        <w:t xml:space="preserve">fremhæver betydningen af effektivt at bekæmpe organiseret kriminalitet, herunder hvidvask af penge og narkotikahandelsnetværk, og opfordrer til at intensivere samarbejdet med EU-agenturer såsom Europol og </w:t>
      </w:r>
      <w:r w:rsidRPr="00EE7822">
        <w:t>Eurojust</w:t>
      </w:r>
      <w:r w:rsidRPr="00EE7822">
        <w:t>; opfordrer myndighederne til at fremskynde indsatsen i arbejdet med at tilpasse Albaniens retlige ramme vedrørende organiseret kriminalitet til EU-retten, styrke retshåndhævelseskapaciteten og forbedre effektiviteten af efterforskningerne;</w:t>
      </w:r>
    </w:p>
    <w:p w:rsidR="00C33B05" w:rsidRPr="00EE7822" w:rsidP="00C33B05" w14:paraId="034F6A2D" w14:textId="77777777">
      <w:pPr>
        <w:pStyle w:val="NormalHanging12a"/>
      </w:pPr>
      <w:r w:rsidRPr="00EE7822">
        <w:t>13.</w:t>
      </w:r>
      <w:r w:rsidRPr="00EE7822">
        <w:tab/>
        <w:t xml:space="preserve">glæder sig over, at banker i Albanien officielt er begyndt at gennemføre grænseoverskridende eurotransaktioner gennem SEPA-systemet; roser de albanske myndigheder for deres omfattende indsats for at bekæmpe hvidvask af penge ved at vedtage den nationale strategi for forhindring af hvidvask af penge og finansiering af </w:t>
      </w:r>
      <w:r w:rsidRPr="00EE7822">
        <w:t>terrorisme 2024-2030; noterer sig initiativet "</w:t>
      </w:r>
      <w:r w:rsidRPr="00EE7822">
        <w:t>Cashless</w:t>
      </w:r>
      <w:r w:rsidRPr="00EE7822">
        <w:t xml:space="preserve"> </w:t>
      </w:r>
      <w:r w:rsidRPr="00EE7822">
        <w:t>Albania</w:t>
      </w:r>
      <w:r w:rsidRPr="00EE7822">
        <w:t xml:space="preserve"> 2030", som har til formål at tackle den høje grad af uformel forretningsvirksomhed og ulovlige pengestrømme;</w:t>
      </w:r>
    </w:p>
    <w:p w:rsidR="00C33B05" w:rsidRPr="00EE7822" w:rsidP="00C33B05" w14:paraId="18A8FF11" w14:textId="77777777">
      <w:pPr>
        <w:pStyle w:val="NormalHanging12a"/>
        <w:rPr>
          <w:b/>
          <w:bCs/>
          <w:i/>
          <w:iCs/>
        </w:rPr>
      </w:pPr>
      <w:r w:rsidRPr="00EE7822">
        <w:rPr>
          <w:b/>
          <w:i/>
        </w:rPr>
        <w:t>Grundlæggende rettigheder og mediefrihed</w:t>
      </w:r>
    </w:p>
    <w:p w:rsidR="00C33B05" w:rsidRPr="00EE7822" w:rsidP="00C33B05" w14:paraId="264DE3EE" w14:textId="77777777">
      <w:pPr>
        <w:pStyle w:val="NormalHanging12a"/>
        <w:rPr>
          <w:bCs/>
          <w:iCs/>
        </w:rPr>
      </w:pPr>
      <w:r w:rsidRPr="00EE7822">
        <w:t>14.</w:t>
      </w:r>
      <w:r w:rsidRPr="00EE7822">
        <w:tab/>
        <w:t>glæder sig over, at Albanien i det internationale pressefrihedsindeks for 2025, der er offentliggjort af Journalister uden Grænser, er steget fra en 99. plads i 2024 til en 80. plads i 2025; opfordrer til, at der gøres en yderligere indsats for at beskytte ytringsfriheden og mediepluralismen i Albanien, herunder for så vidt angår øget gennemsigtighed med hensyn til mulige interessekonflikter for medieejere, indførelse af sikkerhedsforanstaltninger mod politisk og økonomisk pres på journalister samt effektiv efterforskning af trusler mod og angreb på mediefolk; opfordrer også til øget gennemsigtighed i medieejerskabsstrukturer og en gennemsigtig fordeling af statslig reklame for at beskytte den redaktionelle uafhængighed og mediepluralismen;</w:t>
      </w:r>
    </w:p>
    <w:p w:rsidR="00C33B05" w:rsidRPr="00EE7822" w:rsidP="00C33B05" w14:paraId="152DE726" w14:textId="77777777">
      <w:pPr>
        <w:pStyle w:val="NormalHanging12a"/>
        <w:rPr>
          <w:bCs/>
          <w:iCs/>
        </w:rPr>
      </w:pPr>
      <w:r w:rsidRPr="00EE7822">
        <w:t>15.</w:t>
      </w:r>
      <w:r w:rsidRPr="00EE7822">
        <w:tab/>
        <w:t>fordømmer på det kraftigste fjendtligheden over for uafhængige journalister og mediefolk i Albanien, herunder verbale angreb og mediefjendtlig retorik fra højtstående embedsmænd, smædekampagner og kvindefjendsk onlinechikane, der ofte er rettet mod journalister, der rapporterer om retsstatsprincippet, korruption og retfærdighed; udtrykker endvidere bekymring over det store antal retssager mod journalister; hilser de nylige ændringer i den albanske straffelov velkommen; beklager dog, at disse ikke har ført til fuld afkriminalisering af injurier og fornærmelser i overensstemmelse med EU's standarder og internationale standarder;</w:t>
      </w:r>
    </w:p>
    <w:p w:rsidR="00C33B05" w:rsidRPr="00EE7822" w:rsidP="00C33B05" w14:paraId="1D094D70" w14:textId="77777777">
      <w:pPr>
        <w:pStyle w:val="NormalHanging12a"/>
      </w:pPr>
      <w:r w:rsidRPr="00EE7822">
        <w:t>16.</w:t>
      </w:r>
      <w:r w:rsidRPr="00EE7822">
        <w:tab/>
        <w:t xml:space="preserve">opfordrer de albanske myndigheder til at fremme </w:t>
      </w:r>
      <w:r w:rsidRPr="00EE7822">
        <w:t>mediekendskab</w:t>
      </w:r>
      <w:r w:rsidRPr="00EE7822">
        <w:t xml:space="preserve"> og digital kunnen som en supplerende foranstaltning til at styrke informationsmiljøets modstandsdygtighed, herunder ved at integrere mediekendskabsinitiativer i hele uddannelsessystemet, støtte uddannelse til lærere og moderne læringsressourcer og styrke samarbejdet med uafhængige medier og relevante EU-programmer for at fremme kritisk tænkning og ansvarligt digitalt engagement;</w:t>
      </w:r>
    </w:p>
    <w:p w:rsidR="00C33B05" w:rsidRPr="00EE7822" w:rsidP="00C33B05" w14:paraId="08EC70BF" w14:textId="77777777">
      <w:pPr>
        <w:pStyle w:val="NormalHanging12a"/>
      </w:pPr>
      <w:r w:rsidRPr="00EE7822">
        <w:t>17.</w:t>
      </w:r>
      <w:r w:rsidRPr="00EE7822">
        <w:tab/>
        <w:t>opfordrer Albanien til at styrke den institutionelle ramme for beskyttelse og fremme af rettighederne for personer, der tilhører etniske og religiøse mindretal og sårbare grupper, herunder romaer og egyptere, personer med handicap, vandrende arbejdstagere og LGBTIQ+-personer, og til at sikre en effektiv gennemførelse af lovgivningen om bekæmpelse af forskelsbehandling samt forbedret adgang for etniske og religiøse mindretal og sårbare grupper til offentlige tjenester og meningsfuld deltagelse i det sociale, økonomiske og politiske liv; er bekymret over den kønsfjendtlige retorik, der eksisterer i den albanske politiske debat; noterer sig, at styrkelsen af ​​den institutionelle ramme for beskyttelse af mindretals rettigheder skal ledsages af effektive foranstaltninger, som sikrer fuld og effektiv gennemførelse af disse rettigheder i praksis;</w:t>
      </w:r>
    </w:p>
    <w:p w:rsidR="00C33B05" w:rsidRPr="00EE7822" w:rsidP="00C33B05" w14:paraId="71AE058F" w14:textId="77777777">
      <w:pPr>
        <w:pStyle w:val="NormalHanging12a"/>
      </w:pPr>
      <w:r w:rsidRPr="00EE7822">
        <w:t>18.</w:t>
      </w:r>
      <w:r w:rsidRPr="00EE7822">
        <w:tab/>
        <w:t>opfordrer de albanske myndigheder til at sikre bæredygtig adgang til uddannelse på mindretalssprog for anerkendte nationale mindretal og til at støtte tilsvarende uddannelse af lærere, udarbejdelse af lærebøger og bevarelse af kulturel identitet;</w:t>
      </w:r>
    </w:p>
    <w:p w:rsidR="00C33B05" w:rsidRPr="00EE7822" w:rsidP="00C33B05" w14:paraId="3C18254D" w14:textId="77777777">
      <w:pPr>
        <w:pStyle w:val="NormalHanging12a"/>
        <w:rPr>
          <w:bCs/>
          <w:iCs/>
        </w:rPr>
      </w:pPr>
      <w:r w:rsidRPr="00EE7822">
        <w:t>19.</w:t>
      </w:r>
      <w:r w:rsidRPr="00EE7822">
        <w:tab/>
        <w:t>roser Albaniens vedtagelse af loven om ligestilling mellem kønnene, som er i overensstemmelse med den gældende EU-ret og de internationale menneskerettighedsstandarder; er imidlertid alarmeret over bølgerne af desinformation og had mod LGBTIQ+-personer, herunder smædekampagner imod det arbejde, der udføres af civilsamfundsorganisationer, som arbejder for ligestilling af LGBTIQ+-</w:t>
      </w:r>
      <w:r w:rsidRPr="00EE7822">
        <w:t>personer; opfordrer de albanske myndigheder til at drage de personer, der spreder diskriminerende retorik, til ansvar efter loven; opfordrer den albanske regering til at udarbejde forslag til retlige foranstaltninger, f.eks. registreret partnerskab, for at anerkende og beskytte par af samme køn i overensstemmelse med sit tilsagn herom i den nationale handlingsplan for LGBTI-personer (2021-2027) og for at bringe Albaniens lovgivning om menneskerettigheder i overensstemmelse med den gældende EU-ret;</w:t>
      </w:r>
    </w:p>
    <w:p w:rsidR="00C33B05" w:rsidRPr="00EE7822" w:rsidP="00C33B05" w14:paraId="055BD99C" w14:textId="77777777">
      <w:pPr>
        <w:pStyle w:val="NormalHanging12a"/>
        <w:rPr>
          <w:bCs/>
          <w:iCs/>
        </w:rPr>
      </w:pPr>
      <w:r w:rsidRPr="00EE7822">
        <w:t>20.</w:t>
      </w:r>
      <w:r w:rsidRPr="00EE7822">
        <w:tab/>
        <w:t xml:space="preserve">glæder sig over anerkendelsen af det bulgarske samfunds mangeårige tilstedeværelse i regioner som </w:t>
      </w:r>
      <w:r w:rsidRPr="00EE7822">
        <w:t>Prespa</w:t>
      </w:r>
      <w:r w:rsidRPr="00EE7822">
        <w:t xml:space="preserve">, </w:t>
      </w:r>
      <w:r w:rsidRPr="00EE7822">
        <w:t>Gollobordë</w:t>
      </w:r>
      <w:r w:rsidRPr="00EE7822">
        <w:t xml:space="preserve"> og </w:t>
      </w:r>
      <w:r w:rsidRPr="00EE7822">
        <w:t>Gora</w:t>
      </w:r>
      <w:r w:rsidRPr="00EE7822">
        <w:t xml:space="preserve"> og tilskynder de albanske myndigheder til at sikre fuld respekt for deres sproglige, kulturelle og uddannelsesmæssige rettigheder samt for rettighederne for de øvrige anerkendte nationale mindretal i Albanien;</w:t>
      </w:r>
    </w:p>
    <w:p w:rsidR="00C33B05" w:rsidP="00C33B05" w14:paraId="2FB7F8F5" w14:textId="77777777">
      <w:pPr>
        <w:pStyle w:val="NormalHanging12a"/>
      </w:pPr>
      <w:r w:rsidRPr="00EE7822">
        <w:t>21.</w:t>
      </w:r>
      <w:r w:rsidRPr="00EE7822">
        <w:tab/>
        <w:t>beklager, at de vedvarende problemer med forskelsbehandling og social udstødelse, der påvirker mindretal i Albanien, især med hensyn til adgang til uddannelse, beskæftigelse og offentlige tjenester, stadig eksisterer; opfordrer den albanske regering til at tilpasse politikkerne for bekæmpelse af forskelsbehandling og for mindretals rettigheder fuldt ud til den gældende EU-ret; understreger behovet for at forbedre adgangen til domstolsprøvelse og politisk deltagelse, navnlig for sårbare og marginaliserede grupper;</w:t>
      </w:r>
    </w:p>
    <w:p w:rsidR="00E16664" w:rsidRPr="00EE7822" w:rsidP="00C33B05" w14:paraId="73914C93" w14:textId="5CED6359">
      <w:pPr>
        <w:pStyle w:val="NormalHanging12a"/>
      </w:pPr>
      <w:r>
        <w:t>22.</w:t>
      </w:r>
      <w:r>
        <w:tab/>
      </w:r>
      <w:r w:rsidRPr="00E16664">
        <w:t>anerkender, at det græske nationale mindretal bevarer sin stærke historiske tilstedeværelse, navnlig i det sydlige Albanien, og opfordrer Albanien til at sikre beskyttelsen af ejendomsretten;</w:t>
      </w:r>
    </w:p>
    <w:p w:rsidR="00C33B05" w:rsidRPr="00EE7822" w:rsidP="00C33B05" w14:paraId="3FD6AD30" w14:textId="35526E9A">
      <w:pPr>
        <w:pStyle w:val="NormalHanging12a"/>
      </w:pPr>
      <w:r>
        <w:t>23</w:t>
      </w:r>
      <w:r w:rsidRPr="00EE7822">
        <w:t>.</w:t>
      </w:r>
      <w:r w:rsidRPr="00EE7822">
        <w:tab/>
        <w:t>fremhæver også vigtigheden af at bevare mindesteder relateret til det kommunistiske diktatur og af at støtte historiebevidstheds- og uddannelsesinitiativer, der fremmer historisk bevidsthed og styrker demokratikulturen, især blandt de yngre generationer;</w:t>
      </w:r>
    </w:p>
    <w:p w:rsidR="00C33B05" w:rsidRPr="00EE7822" w:rsidP="00C33B05" w14:paraId="29BEF0A4" w14:textId="3669E12A">
      <w:pPr>
        <w:pStyle w:val="NormalHanging12a"/>
      </w:pPr>
      <w:r>
        <w:t>24</w:t>
      </w:r>
      <w:r w:rsidRPr="00EE7822">
        <w:t>.</w:t>
      </w:r>
      <w:r w:rsidRPr="00EE7822">
        <w:tab/>
        <w:t>glæder sig over Albaniens dynamiske og konstruktive civilsamfund, som spiller en afgørende og positiv rolle i reformprocessen; opfordrer den albanske regering til at opbygge samarbejdsrelationer og reelt inddrage civilsamfundet i en gennemsigtig lovgivningsproces fra et tidligt tidspunkt og fremefter; beklager imidlertid, at civilsamfundsorganisationerne i Albanien fortsat er konfronteret med udfordringer og modtager begrænset offentlig finansiering; opfordrer endvidere den albanske regering til at sikre et gunstigt, sikkert og ikkediskriminerende miljø for civilsamfundet;</w:t>
      </w:r>
    </w:p>
    <w:p w:rsidR="00C33B05" w:rsidRPr="00EE7822" w:rsidP="00C33B05" w14:paraId="1D229421" w14:textId="16EFCC38">
      <w:pPr>
        <w:pStyle w:val="NormalHanging12a"/>
      </w:pPr>
      <w:r>
        <w:t>25</w:t>
      </w:r>
      <w:r w:rsidRPr="00EE7822">
        <w:t>.</w:t>
      </w:r>
      <w:r w:rsidRPr="00EE7822">
        <w:tab/>
        <w:t xml:space="preserve">er bekymret over, at Albanien på den rangliste, som blev offentliggjort i Det Verdensøkonomiske Forums "Global </w:t>
      </w:r>
      <w:r w:rsidRPr="00EE7822">
        <w:t>Gender</w:t>
      </w:r>
      <w:r w:rsidRPr="00EE7822">
        <w:t xml:space="preserve"> Gap Report 2025" (rapport om kønsforskelle i verden 2025), faldt fra en 23. plads i 2024 til en 36. plads i 2025 globalt set, hvilket indikerer en voksende kønsforskel; beklager, at den retlige ramme for bekæmpelse af kønsbaseret vold endnu ikke er i overensstemmelse med Istanbulkonventionen; opfordrer indtrængende den albanske regering til at forbedre støttetjenesterne for ofre, navnlig i forbindelse med sundhedspleje, finansiering af kvindekrisecentre, gratis retshjælp og reintegrations- og rehabiliteringsprogrammer;</w:t>
      </w:r>
    </w:p>
    <w:p w:rsidR="00C33B05" w:rsidRPr="00EE7822" w:rsidP="00C33B05" w14:paraId="52997394" w14:textId="087A5085">
      <w:pPr>
        <w:pStyle w:val="NormalHanging12a"/>
      </w:pPr>
      <w:r>
        <w:t>26</w:t>
      </w:r>
      <w:r w:rsidRPr="00EE7822">
        <w:t>.</w:t>
      </w:r>
      <w:r w:rsidRPr="00EE7822">
        <w:tab/>
        <w:t>er bekymret over, at Albaniens dagsorden for børns rettigheder 2021-2026 endnu ikke er gennemført fuldt ud, og at børns adgang til domstolsprøvelse hindres af forsinkelser, begrænset retshjælp og en utilstrækkelig institutionel koordinering; beklager, at flertallet af børn i Albanien stadig er i risiko for fattigdom; opfordrer de albanske myndigheder til effektivt at gennemføre den nationale dagsorden for børns rettigheder ved at yde bistand til børn, der er konfronteret med udstødelse og fattigdom;</w:t>
      </w:r>
    </w:p>
    <w:p w:rsidR="00C33B05" w:rsidRPr="00EE7822" w:rsidP="00C33B05" w14:paraId="63F3DA71" w14:textId="77777777">
      <w:pPr>
        <w:pStyle w:val="NormalHanging12a"/>
        <w:rPr>
          <w:b/>
          <w:bCs/>
          <w:i/>
          <w:iCs/>
        </w:rPr>
      </w:pPr>
      <w:r w:rsidRPr="00EE7822">
        <w:rPr>
          <w:b/>
          <w:i/>
        </w:rPr>
        <w:t>Reform og styring af den offentlige forvaltning</w:t>
      </w:r>
    </w:p>
    <w:p w:rsidR="00C33B05" w:rsidRPr="00EE7822" w:rsidP="00C33B05" w14:paraId="1D100D8D" w14:textId="576FBF6E">
      <w:pPr>
        <w:pStyle w:val="NormalHanging12a"/>
        <w:rPr>
          <w:bCs/>
          <w:iCs/>
        </w:rPr>
      </w:pPr>
      <w:r>
        <w:t>27</w:t>
      </w:r>
      <w:r w:rsidRPr="00EE7822">
        <w:t>.</w:t>
      </w:r>
      <w:r w:rsidRPr="00EE7822">
        <w:tab/>
        <w:t>anerkender de fremskridt, som er gjort med hensyn til reformen af den offentlige forvaltning, herunder strategisk planlægning og koordinering; glæder sig over vedtagelsen af den tværgående strategi for reform af den offentlige forvaltning 2025-2030; understreger imidlertid, at der er behov for en yderligere indsats for at sikre meritbaseret rekruttering og afpolitisering af den offentlige forvaltning, herunder vedtagelse og gennemførelse af en ny lovramme for den offentlige forvaltning;</w:t>
      </w:r>
    </w:p>
    <w:p w:rsidR="00C33B05" w:rsidRPr="00EE7822" w:rsidP="00C33B05" w14:paraId="0BE48E4D" w14:textId="750FB2E1">
      <w:pPr>
        <w:pStyle w:val="NormalHanging12a"/>
        <w:rPr>
          <w:bCs/>
        </w:rPr>
      </w:pPr>
      <w:r>
        <w:t>28</w:t>
      </w:r>
      <w:r w:rsidRPr="00EE7822">
        <w:t>.</w:t>
      </w:r>
      <w:r w:rsidRPr="00EE7822">
        <w:tab/>
        <w:t>er bekymret over, at hverken den retlige ramme for offentlige udbud eller selskabslovgivningen er i fuld overensstemmelse med den gældende EU-ret; opfordrer de albanske myndigheder til at fortsætte deres indsats for fuldt ud at tilpasse Albaniens lovgivning til den gældende EU-ret; opfordrer til styrket parlamentarisk kontrol, uafhængige revisioner og fuld gennemsigtighed vedrørende offentlige udbudsprocedurer for at sikre overholdelse af EU-standarderne vedrørende konkurrence, databeskyttelse og bekæmpelse af korruption;</w:t>
      </w:r>
    </w:p>
    <w:p w:rsidR="00C33B05" w:rsidRPr="00EE7822" w:rsidP="00C33B05" w14:paraId="5A33DCAA" w14:textId="764E4C5C">
      <w:pPr>
        <w:pStyle w:val="NormalHanging12a"/>
        <w:rPr>
          <w:bCs/>
        </w:rPr>
      </w:pPr>
      <w:r>
        <w:t>29</w:t>
      </w:r>
      <w:r w:rsidRPr="00EE7822">
        <w:t>.</w:t>
      </w:r>
      <w:r w:rsidRPr="00EE7822">
        <w:tab/>
        <w:t>glæder sig over det igangværende arbejde i Albaniens tværpolitiske parlamentariske udvalg om territoriale reformer; understreger, at enhver reform på dette område bør gennemføres ved hjælp af en inklusiv proces og være baseret på objektive socioøkonomiske kriterier og europæiske standarder for lokalt selvstyre;</w:t>
      </w:r>
    </w:p>
    <w:p w:rsidR="00C33B05" w:rsidRPr="00EE7822" w:rsidP="00C33B05" w14:paraId="12A5448C" w14:textId="34D4518B">
      <w:pPr>
        <w:pStyle w:val="NormalHanging12a"/>
        <w:rPr>
          <w:bCs/>
          <w:iCs/>
        </w:rPr>
      </w:pPr>
      <w:r>
        <w:t>30</w:t>
      </w:r>
      <w:r w:rsidRPr="00EE7822">
        <w:t>.</w:t>
      </w:r>
      <w:r w:rsidRPr="00EE7822">
        <w:tab/>
        <w:t>opfordrer til forbedret politisk planlægning, evidensbaseret beslutningstagning og gennemsigtige budgetprocesser, herunder styrket parlamentarisk tilsyn med de offentlige finanser; insisterer på, at de lokale myndigheders finansielle ressourcer, administrative kapacitet og skattemæssige autonomi bør forbedres;</w:t>
      </w:r>
    </w:p>
    <w:p w:rsidR="00C33B05" w:rsidRPr="00EE7822" w:rsidP="00C33B05" w14:paraId="694359B7" w14:textId="50491F88">
      <w:pPr>
        <w:pStyle w:val="NormalHanging12a"/>
        <w:rPr>
          <w:bCs/>
          <w:iCs/>
        </w:rPr>
      </w:pPr>
      <w:r>
        <w:t>31</w:t>
      </w:r>
      <w:r w:rsidRPr="00EE7822">
        <w:t>.</w:t>
      </w:r>
      <w:r w:rsidRPr="00EE7822">
        <w:tab/>
        <w:t xml:space="preserve">roser de albanske myndigheder for den nylige vedtagelse af den nationale </w:t>
      </w:r>
      <w:r w:rsidRPr="00EE7822">
        <w:t>cybersikkerhedsstrategi</w:t>
      </w:r>
      <w:r w:rsidRPr="00EE7822">
        <w:t xml:space="preserve"> 2025-2030; glæder sig over tilpasningen af Albaniens nuværende lov om </w:t>
      </w:r>
      <w:r w:rsidRPr="00EE7822">
        <w:t>cybersikkerhed</w:t>
      </w:r>
      <w:r w:rsidRPr="00EE7822">
        <w:t xml:space="preserve"> til EU's NIS 2-direktiv</w:t>
      </w:r>
      <w:r>
        <w:rPr>
          <w:rStyle w:val="FootnoteReference"/>
          <w:bCs/>
          <w:iCs/>
        </w:rPr>
        <w:footnoteReference w:id="6"/>
      </w:r>
      <w:r w:rsidRPr="00EE7822">
        <w:t>; roser de albanske myndigheder for at vedtage en ajourført liste over operatører af kritisk og vigtig informationsinfrastruktur;</w:t>
      </w:r>
    </w:p>
    <w:p w:rsidR="00C33B05" w:rsidRPr="00EE7822" w:rsidP="00C33B05" w14:paraId="57D5BDC9" w14:textId="204B7CAD">
      <w:pPr>
        <w:pStyle w:val="NormalHanging12a"/>
        <w:rPr>
          <w:bCs/>
          <w:iCs/>
        </w:rPr>
      </w:pPr>
      <w:r>
        <w:t>32</w:t>
      </w:r>
      <w:r w:rsidRPr="00EE7822">
        <w:t>.</w:t>
      </w:r>
      <w:r w:rsidRPr="00EE7822">
        <w:tab/>
        <w:t>glæder sig over Albaniens løbende forbedring af indberetningen af data til Eurostat; opfordrer de albanske myndigheder til at øge produktionen og distributionen af data af høj kvalitet yderligere;</w:t>
      </w:r>
    </w:p>
    <w:p w:rsidR="00C33B05" w:rsidRPr="00EE7822" w:rsidP="00C33B05" w14:paraId="3DDEAEF9" w14:textId="0AFAAB47">
      <w:pPr>
        <w:pStyle w:val="NormalHanging12a"/>
        <w:rPr>
          <w:bCs/>
          <w:iCs/>
        </w:rPr>
      </w:pPr>
      <w:r>
        <w:t>33</w:t>
      </w:r>
      <w:r w:rsidRPr="00EE7822">
        <w:t>.</w:t>
      </w:r>
      <w:r w:rsidRPr="00EE7822">
        <w:tab/>
        <w:t>roser den albanske regering for at vedtage de nye love om varemærker og patenter; opfordrer de albanske myndigheder til fuldt ud at tilpasse den albanske immaterialret til den gældende EU-ret og til at fortsætte med at styrke den;</w:t>
      </w:r>
    </w:p>
    <w:p w:rsidR="00C33B05" w:rsidRPr="00EE7822" w:rsidP="00C33B05" w14:paraId="22EB4FF7" w14:textId="77777777">
      <w:pPr>
        <w:pStyle w:val="NormalHanging12a"/>
        <w:rPr>
          <w:b/>
          <w:bCs/>
          <w:i/>
          <w:iCs/>
        </w:rPr>
      </w:pPr>
      <w:r w:rsidRPr="00EE7822">
        <w:rPr>
          <w:b/>
          <w:i/>
        </w:rPr>
        <w:t>Socioøkonomiske reformer og miljøet</w:t>
      </w:r>
    </w:p>
    <w:p w:rsidR="00C33B05" w:rsidRPr="00EE7822" w:rsidP="00C33B05" w14:paraId="3867717A" w14:textId="4D897FA2">
      <w:pPr>
        <w:pStyle w:val="NormalHanging12a"/>
      </w:pPr>
      <w:r>
        <w:t>34</w:t>
      </w:r>
      <w:r w:rsidRPr="00EE7822">
        <w:t>.</w:t>
      </w:r>
      <w:r w:rsidRPr="00EE7822">
        <w:tab/>
        <w:t xml:space="preserve">glæder sig over Albaniens engagement i gennemførelsen af EU's vækstplan for landene på Vestbalkan; bemærker imidlertid, at der fortsat er strukturelle svagheder, herunder uformelle virksomhedsrammer, begrænset produktivitetsvækst og et udfordrende erhvervsmiljø; beklager, at den store uformelle økonomi hæmmer erhvervsmiljøet og </w:t>
      </w:r>
      <w:r w:rsidRPr="00EE7822">
        <w:t xml:space="preserve">konkurrencen; gentager, at det er vigtigt at forbedre transportinfrastrukturen mellem </w:t>
      </w:r>
      <w:r w:rsidRPr="00EE7822">
        <w:t>Vestbalkanlandene</w:t>
      </w:r>
      <w:r w:rsidRPr="00EE7822">
        <w:t xml:space="preserve"> og udvikle deres tog- og flyforbindelser til EU-medlemsstaterne; roser de albanske myndigheder for at indføre momsfritagelser for EU-finansierede projekter i Albanien;</w:t>
      </w:r>
    </w:p>
    <w:p w:rsidR="00C33B05" w:rsidRPr="00EE7822" w:rsidP="00C33B05" w14:paraId="73791861" w14:textId="2EF25693">
      <w:pPr>
        <w:pStyle w:val="NormalHanging12a"/>
        <w:rPr>
          <w:bCs/>
          <w:iCs/>
        </w:rPr>
      </w:pPr>
      <w:r>
        <w:t>35</w:t>
      </w:r>
      <w:r w:rsidRPr="00EE7822">
        <w:t>.</w:t>
      </w:r>
      <w:r w:rsidRPr="00EE7822">
        <w:tab/>
        <w:t xml:space="preserve">minder om det potentiale, som den økonomiske plan og investeringsplanen for Vestbalkan har med hensyn til at forbedre den regionale </w:t>
      </w:r>
      <w:r w:rsidRPr="00EE7822">
        <w:t>konnektivitet</w:t>
      </w:r>
      <w:r w:rsidRPr="00EE7822">
        <w:t xml:space="preserve"> ved hjælp af jernbane- og vejtransport; opfordrer i den forbindelse indtrængende myndighederne i alle berørte lande til at færdiggøre korridor VIII-projekterne, som forbinder Albanien, Nordmakedonien og Bulgarien;</w:t>
      </w:r>
    </w:p>
    <w:p w:rsidR="00C33B05" w:rsidRPr="00EE7822" w:rsidP="00C33B05" w14:paraId="07A930E3" w14:textId="21F00E62">
      <w:pPr>
        <w:pStyle w:val="NormalHanging12a"/>
        <w:rPr>
          <w:bCs/>
          <w:iCs/>
        </w:rPr>
      </w:pPr>
      <w:r>
        <w:t>36</w:t>
      </w:r>
      <w:r w:rsidRPr="00EE7822">
        <w:t>.</w:t>
      </w:r>
      <w:r w:rsidRPr="00EE7822">
        <w:tab/>
        <w:t>opfordrer til, at der gennemføres en omfattende screeningmekanisme for udenlandske direkte investeringer som et strategisk initiativ til at beskytte Albaniens nationale interesser, forbedre sikkerheden og sikre forudsigelighed for investorer og overensstemmelse med EU's standarder;</w:t>
      </w:r>
    </w:p>
    <w:p w:rsidR="00C33B05" w:rsidRPr="00EE7822" w:rsidP="00C33B05" w14:paraId="00C51A75" w14:textId="11649C4C">
      <w:pPr>
        <w:pStyle w:val="NormalHanging12a"/>
        <w:rPr>
          <w:bCs/>
          <w:iCs/>
        </w:rPr>
      </w:pPr>
      <w:r>
        <w:t>37</w:t>
      </w:r>
      <w:r w:rsidRPr="00EE7822">
        <w:t>.</w:t>
      </w:r>
      <w:r w:rsidRPr="00EE7822">
        <w:tab/>
        <w:t>fremhæver, at det interne kontrolsystem for Albaniens offentlige interne finanskontrol fortsat er delvist effektivt; opfordrer Albanien til at øge ansvarligheden og gennemsigtigheden af de statsejede virksomheder ved at gøre deres årsrapporter om deres økonomiske performance offentligt tilgængelige; opfordrer de albanske myndigheder til at gennemføre henstillingerne fra den albanske øverste revisionsinstitution fuldt ud;</w:t>
      </w:r>
    </w:p>
    <w:p w:rsidR="00C33B05" w:rsidRPr="00EE7822" w:rsidP="00C33B05" w14:paraId="2494B181" w14:textId="5BCCC927">
      <w:pPr>
        <w:pStyle w:val="NormalHanging12a"/>
        <w:rPr>
          <w:bCs/>
          <w:iCs/>
        </w:rPr>
      </w:pPr>
      <w:r>
        <w:t>38</w:t>
      </w:r>
      <w:r w:rsidRPr="00EE7822">
        <w:t>.</w:t>
      </w:r>
      <w:r w:rsidRPr="00EE7822">
        <w:tab/>
        <w:t>glæder sig over vedtagelsen af Albaniens strategi for modernisering og harmonisering af de albanske toldinformationssystemer med EU's systemer for perioden 2025-2030; roser de albanske myndigheder for deres indsats for at opfylde EU-standarderne ved at harmonisere og forbedre toldinfrastrukturen;</w:t>
      </w:r>
      <w:r w:rsidR="00E16664">
        <w:t xml:space="preserve"> </w:t>
      </w:r>
      <w:r w:rsidRPr="00E16664" w:rsidR="00E16664">
        <w:t>understreger, at IT-systemerne på toldområdet skal opgraderes betydeligt for at opnå fuld harmonisering med EU's standarder, og opfordrer de albanske myndigheder til at fremskynde de nødvendige investeringer og reformer i denne henseende;</w:t>
      </w:r>
    </w:p>
    <w:p w:rsidR="00C33B05" w:rsidRPr="00EE7822" w:rsidP="00C33B05" w14:paraId="776A61C6" w14:textId="5A4DCA30">
      <w:pPr>
        <w:pStyle w:val="NormalHanging12a"/>
        <w:rPr>
          <w:bCs/>
          <w:iCs/>
        </w:rPr>
      </w:pPr>
      <w:r>
        <w:t>39</w:t>
      </w:r>
      <w:r w:rsidRPr="00EE7822">
        <w:t>.</w:t>
      </w:r>
      <w:r w:rsidRPr="00EE7822">
        <w:tab/>
        <w:t>roser de albanske myndigheder for at tilpasse lovgivningen om private pensionsfonde til den gældende EU-ret; opfordrer Albanien til at fuldføre sin tilpasning til gældende EU-ret om forsikring, kapitalmarkeder, værdipapirmarkeder, investeringsfonde og finansielle markedsinfrastrukturer;</w:t>
      </w:r>
    </w:p>
    <w:p w:rsidR="00C33B05" w:rsidRPr="00AF0EEF" w:rsidP="00C33B05" w14:paraId="4735F250" w14:textId="77DD9B73">
      <w:pPr>
        <w:pStyle w:val="NormalHanging12a"/>
      </w:pPr>
      <w:r w:rsidRPr="00AF0EEF">
        <w:t>40</w:t>
      </w:r>
      <w:r w:rsidRPr="00AF0EEF">
        <w:t>.</w:t>
      </w:r>
      <w:r w:rsidRPr="00AF0EEF">
        <w:tab/>
      </w:r>
      <w:r w:rsidRPr="00AF0EEF" w:rsidR="00E16664">
        <w:t>glæder sig i høj grad over Kommissionens forslag og Rådets tilladelse om at indlede forhandlinger om at udvide EU's "roaming til hjemmetakst"-ordning til også at omfatte Vestbalkan og opfordrer Kommissionen og partnerne på Vestbalkan til hurtigt at tage de nødvendige skridt til gensidig åbning af EU's og partnerne på Vestbalkans roamingmarkeder, så borgere og virksomheder kan drage fordel af roamingtjenester uden yderligere gebyrer</w:t>
      </w:r>
      <w:r w:rsidRPr="00AF0EEF">
        <w:t>;</w:t>
      </w:r>
    </w:p>
    <w:p w:rsidR="00C33B05" w:rsidRPr="00EE7822" w:rsidP="00C33B05" w14:paraId="7B9DAF37" w14:textId="0BA192A0">
      <w:pPr>
        <w:pStyle w:val="NormalHanging12a"/>
        <w:rPr>
          <w:bCs/>
          <w:iCs/>
        </w:rPr>
      </w:pPr>
      <w:r>
        <w:t>41</w:t>
      </w:r>
      <w:r w:rsidRPr="00EE7822">
        <w:t>.</w:t>
      </w:r>
      <w:r w:rsidRPr="00EE7822">
        <w:tab/>
        <w:t>fremhæver betydningen af at investere i uddannelse, kompetenceudvikling og innovation for at støtte bæredygtig vækst og social samhørighed; roser den albanske regering for vedtagelsen af lovgivningsmæssige retsakter med henblik på at reformere de videregående uddannelser og fortsætte gennemførelsen af den nationale strategi for uddannelse 2021-2026; opfordrer de albanske myndigheder til at færdiggøre gennemførelseslovgivningen til loven om kulturarv og museer; opfordrer til, at der udarbejdes politikker, der har til formål at reducere såvel antallet af unge, der emigrerer, som hjerneflugt, samt til at styrke mulighederne for veluddannede unge ved hjælp af forbedrede arbejdsmarkedsforhold, uddannelsesreform og innovationsstøtte;</w:t>
      </w:r>
    </w:p>
    <w:p w:rsidR="00C33B05" w:rsidRPr="00EE7822" w:rsidP="00C33B05" w14:paraId="6B57CE1C" w14:textId="5082C3BD">
      <w:pPr>
        <w:pStyle w:val="NormalHanging12a"/>
        <w:rPr>
          <w:bCs/>
          <w:iCs/>
        </w:rPr>
      </w:pPr>
      <w:r>
        <w:t>42</w:t>
      </w:r>
      <w:r w:rsidRPr="00EE7822">
        <w:t>.</w:t>
      </w:r>
      <w:r w:rsidRPr="00EE7822">
        <w:tab/>
        <w:t>opfordrer til yderligere udvikling og effektiv gennemførelse af rammen om socialt boligbyggeri i Albanien på grundlag af en fortsættelse og forbedring af den nationale strategi for socialt boligbyggeri 2016-2025 med henblik på at sikre stabile og anstændige levevilkår for dem med en lavere indkomst og sårbare grupper; understreger særligt vigtigheden af tilgængeligt og økonomisk overkommeligt socialt boligbyggeri for unge, herunder studerende og lærlinge, da dette understøtter deres geografiske mobilitet, adgang til uddannelse og vellykkede integration på arbejdsmarkedet;</w:t>
      </w:r>
    </w:p>
    <w:p w:rsidR="00C33B05" w:rsidRPr="00EE7822" w:rsidP="00C33B05" w14:paraId="228AEF33" w14:textId="439C0BAB">
      <w:pPr>
        <w:pStyle w:val="NormalHanging12a"/>
      </w:pPr>
      <w:r>
        <w:t>43</w:t>
      </w:r>
      <w:r w:rsidRPr="00EE7822">
        <w:t>.</w:t>
      </w:r>
      <w:r w:rsidRPr="00EE7822">
        <w:tab/>
        <w:t>understreger den centrale betydning af en ægte dialog mellem arbejdsmarkedets parter for at skabe fordele ved EU-udvidelsen for forskellige befolkningsgrupper; glæder sig over forbedringen af databaseoverførsel og tidlig tilslutning til Det Europæiske Arbejdsformidlingsnet, som blev muliggjort gennem den fuldstændige tilpasning af den nationale liste over erhverv til den flersprogede klassifikation europæiske færdigheder, kompetencer, kvalifikationer og erhverv (ESCO); beklager dog den lave hyppighed af møder i det nationale arbejdsråd; opfordrer til en styrkelse af høringsprocessen med de tre parter, herunder passende fagforeningsrepræsentation; understreger behovet for yderligere at støtte kapacitetsopbygningen hos arbejdsmarkedets parter;</w:t>
      </w:r>
    </w:p>
    <w:p w:rsidR="00C33B05" w:rsidRPr="00EE7822" w:rsidP="00C33B05" w14:paraId="47074813" w14:textId="54786913">
      <w:pPr>
        <w:pStyle w:val="NormalHanging12a"/>
        <w:rPr>
          <w:bCs/>
          <w:iCs/>
        </w:rPr>
      </w:pPr>
      <w:r>
        <w:t>44</w:t>
      </w:r>
      <w:r w:rsidRPr="00EE7822">
        <w:t>.</w:t>
      </w:r>
      <w:r w:rsidRPr="00EE7822">
        <w:tab/>
        <w:t>opfordrer til en øget indsats for at fremme overholdelsen af EU's arbejdsret og EU's ramme for sundhed og sikkerhed på arbejdspladsen, herunder fuld gennemførelse af politikker, der udelukker forskelsbehandling, og ligestillingsforanstaltninger, og opfordrer indtrængende de relevante nationale myndigheder til at sikre effektiv overvågning og håndhævelse og passende sanktioner i tilfælde af manglende overholdelse;</w:t>
      </w:r>
    </w:p>
    <w:p w:rsidR="00C33B05" w:rsidRPr="00EE7822" w:rsidP="00C33B05" w14:paraId="7D64E4DA" w14:textId="2A63E275">
      <w:pPr>
        <w:pStyle w:val="NormalHanging12a"/>
        <w:rPr>
          <w:bCs/>
          <w:iCs/>
        </w:rPr>
      </w:pPr>
      <w:r>
        <w:t>45</w:t>
      </w:r>
      <w:r w:rsidRPr="00EE7822">
        <w:t>.</w:t>
      </w:r>
      <w:r w:rsidRPr="00EE7822">
        <w:tab/>
        <w:t xml:space="preserve">understreger, at fremskridt hen imod EU-tiltrædelse kræver en reel historik med hensyn til gennemførelse og håndhævelse af EU's gældende </w:t>
      </w:r>
      <w:r w:rsidRPr="00EE7822">
        <w:t>miljøret</w:t>
      </w:r>
      <w:r w:rsidRPr="00EE7822">
        <w:t>, navnlig vedrørende miljøvurderinger, naturbeskyttelseslove og offentlige deltagelsesrettigheder;</w:t>
      </w:r>
    </w:p>
    <w:p w:rsidR="00C33B05" w:rsidRPr="00EE7822" w:rsidP="00C33B05" w14:paraId="22AC8B3D" w14:textId="54F37333">
      <w:pPr>
        <w:pStyle w:val="NormalHanging12a"/>
      </w:pPr>
      <w:r>
        <w:t>46</w:t>
      </w:r>
      <w:r w:rsidRPr="00EE7822">
        <w:t>.</w:t>
      </w:r>
      <w:r w:rsidRPr="00EE7822">
        <w:tab/>
        <w:t>noterer sig den albanske regerings meddelelse om, at den vil gennemføre en reform af affaldshåndteringssektoren og i den forbindelse centralisere og forbedre affaldsindsamlingen og -håndteringen; bemærker imidlertid med bekymring, at der ifølge Kommissionens vurdering ikke er sket fremskridt med hensyn til miljø og klimaændringer i løbet af rapporteringsperioden; opfordrer indtrængende den albanske regering til at prioritere gennemførelsen af klimatilpasningsstrategier og udviklingen af vedvarende energikilder samt til at understøtte en bæredygtig økonomisk vækst;</w:t>
      </w:r>
    </w:p>
    <w:p w:rsidR="00C33B05" w:rsidP="00C33B05" w14:paraId="5066695E" w14:textId="1A975D6C">
      <w:pPr>
        <w:pStyle w:val="NormalHanging12a"/>
      </w:pPr>
      <w:r>
        <w:t>47</w:t>
      </w:r>
      <w:r w:rsidRPr="00EE7822">
        <w:t>.</w:t>
      </w:r>
      <w:r w:rsidRPr="00EE7822">
        <w:tab/>
        <w:t>beklager dybt den omstændighed, at Albaniens lov om strategiske investeringer fra 2015 er blevet forlænget, i betragtning af de bestemmelser heri, der muliggør fremskyndede tilladelsesprocedurer og mindre miljøkontrol, hvilket medfører en risiko for negativ påvirkning af beskyttede områder og andre miljømæssigt sårbare områder; opfordrer til at ophæve 2024-ændringerne i loven om beskyttede områder, der tillader udvikling af stor turismeinfrastruktur i beskyttede områder og overfører centrale forvaltnings- og beslutningskompetencer til det nationale territorieråd, hvilket svækker miljøtilsynet;</w:t>
      </w:r>
    </w:p>
    <w:p w:rsidR="00E16664" w:rsidP="00C33B05" w14:paraId="00580EB3" w14:textId="55FDD84B">
      <w:pPr>
        <w:pStyle w:val="NormalHanging12a"/>
      </w:pPr>
      <w:r>
        <w:t>48</w:t>
      </w:r>
      <w:r>
        <w:t>.</w:t>
      </w:r>
      <w:r>
        <w:tab/>
      </w:r>
      <w:r w:rsidRPr="00E16664">
        <w:t xml:space="preserve">fremhæver, at Kommissionen har advaret Albanien mod handlinger, der kan påvirke landets vej mod tiltrædelse af EU i forbindelse med igangværende nationale protester over et stort luksusudviklingsprojekt, der truer et beskyttet område med vilde dyr og planter, der er hjemsted for flamingoer, sæler og </w:t>
      </w:r>
      <w:r w:rsidRPr="00E16664">
        <w:t>skildpadderedesteder</w:t>
      </w:r>
      <w:r w:rsidRPr="00E16664">
        <w:t xml:space="preserve">; tilslutter sig i denne forbindelse Kommissionens kritik og minder om, at tilpasning til EU's </w:t>
      </w:r>
      <w:r w:rsidRPr="00E16664">
        <w:t>miljøregler, herunder fugledirektivet</w:t>
      </w:r>
      <w:r>
        <w:rPr>
          <w:rStyle w:val="FootnoteReference"/>
        </w:rPr>
        <w:footnoteReference w:id="7"/>
      </w:r>
      <w:r w:rsidRPr="00E16664">
        <w:t xml:space="preserve"> og habitatdirektivet</w:t>
      </w:r>
      <w:r>
        <w:rPr>
          <w:rStyle w:val="FootnoteReference"/>
        </w:rPr>
        <w:footnoteReference w:id="8"/>
      </w:r>
      <w:r w:rsidRPr="00E16664">
        <w:t>, er en forudsætning for tiltrædelse af EU;</w:t>
      </w:r>
    </w:p>
    <w:p w:rsidR="00A1586F" w:rsidRPr="00EE7822" w:rsidP="00C33B05" w14:paraId="3CB181BA" w14:textId="1F2B80B0">
      <w:pPr>
        <w:pStyle w:val="NormalHanging12a"/>
        <w:rPr>
          <w:bCs/>
          <w:iCs/>
        </w:rPr>
      </w:pPr>
      <w:r>
        <w:t>49</w:t>
      </w:r>
      <w:r>
        <w:t>.</w:t>
      </w:r>
      <w:r>
        <w:tab/>
      </w:r>
      <w:r w:rsidRPr="00A1586F">
        <w:t xml:space="preserve">udtrykker alvorlig bekymring over, at den igangværende udvikling i det beskyttede område </w:t>
      </w:r>
      <w:r w:rsidRPr="00A1586F">
        <w:t>Vjosa-Narta</w:t>
      </w:r>
      <w:r w:rsidRPr="00A1586F">
        <w:t xml:space="preserve"> viser de praktiske konsekvenser af disse lovgivningsmæssige ændringer og de deraf følgende risici for områder af anerkendt økologisk værdi; følger nøje de igangværende fredelige masseprotester i den henseende; opfordrer de albanske myndigheder til straks at indføre et moratorium for alle nye tilladelsesprocedurer, bygge- og anlægsarbejder og udviklingsinterventioner i beskyttede områder, indtil de uforenelige bestemmelser i den ændrede lov om beskyttede områder er blevet ophævet, på grundlag af en mangeårig anmodning fra Kommissionen og Parlamentet og i overensstemmelse med </w:t>
      </w:r>
      <w:r w:rsidRPr="00A1586F">
        <w:t>lukningsbenchmarkene</w:t>
      </w:r>
      <w:r w:rsidRPr="00A1586F">
        <w:t xml:space="preserve"> i kapitel 27, og indtil der er sikret fuld overholdelse af EU's naturbeskyttelsesstandarder; understreger, at alle projekter på dette område skal underkastes omfattende miljøkonsekvensvurderinger i fuld overensstemmelse med EU's standarder, herunder en gennemsigtig proces for offentlig deltagelse med lokalsamfund, videnskabsfolk og civilsamfundet;</w:t>
      </w:r>
    </w:p>
    <w:p w:rsidR="00C33B05" w:rsidRPr="00EE7822" w:rsidP="00C33B05" w14:paraId="03E51C8F" w14:textId="77777777">
      <w:pPr>
        <w:pStyle w:val="NormalHanging12a"/>
        <w:rPr>
          <w:b/>
          <w:bCs/>
          <w:i/>
          <w:iCs/>
        </w:rPr>
      </w:pPr>
      <w:r w:rsidRPr="00EE7822">
        <w:rPr>
          <w:b/>
          <w:i/>
        </w:rPr>
        <w:t>Udenrigspolitik og regionalt samarbejde</w:t>
      </w:r>
    </w:p>
    <w:p w:rsidR="00C33B05" w:rsidRPr="00EE7822" w:rsidP="00C33B05" w14:paraId="07855286" w14:textId="3BE7AF4F">
      <w:pPr>
        <w:pStyle w:val="NormalHanging12a"/>
      </w:pPr>
      <w:r>
        <w:t>50</w:t>
      </w:r>
      <w:r w:rsidRPr="00EE7822">
        <w:t>.</w:t>
      </w:r>
      <w:r w:rsidRPr="00EE7822">
        <w:tab/>
        <w:t>roser Albaniens fortsatte fulde tilpasning til EU's fælles udenrigs- og sikkerhedspolitik, herunder restriktive foranstaltninger, Albaniens fortsatte engagement i EU's missioner og operationer under den fælles sikkerheds- og forsvarspolitik og dets konstruktive rolle med hensyn til at fremme regional stabilitet, som bekræfter landets stærke euro-atlantiske orientering; glæder sig over det forbedrede samarbejde om sikkerheds- og forsvarsspørgsmål gennem sikkerheds- og forsvarspartnerskabet mellem EU og Albanien samt sikkerheds- og forsvarsdialoger; fremhæver vigtigheden af yderligere samarbejde såsom fælles uddannelsesinitiativer, fælles efterretningskapacitet og forbedrede grænsesikkerhedsforanstaltninger for at tackle regionale og globale sikkerhedsudfordringer;</w:t>
      </w:r>
    </w:p>
    <w:p w:rsidR="00C33B05" w:rsidRPr="00EE7822" w:rsidP="00C33B05" w14:paraId="20BB977A" w14:textId="423D3095">
      <w:pPr>
        <w:pStyle w:val="NormalHanging12a"/>
      </w:pPr>
      <w:r>
        <w:t>51</w:t>
      </w:r>
      <w:r w:rsidRPr="00EE7822">
        <w:t>.</w:t>
      </w:r>
      <w:r w:rsidRPr="00EE7822">
        <w:tab/>
        <w:t>understreger, at deltagelsen i internationale initiativer og organisationer fortsat bør være forenelige med EU's værdier, den regionale stabilitet og Albaniens målsætninger om at blive integreret i EU; fremhæver vigtigheden af gennemsigtighed og passende parlamentarisk kontrol i forbindelse med beslutninger relateret til internationale forpligtelser;</w:t>
      </w:r>
    </w:p>
    <w:p w:rsidR="00C33B05" w:rsidRPr="00EE7822" w:rsidP="00C33B05" w14:paraId="57AEF105" w14:textId="407D9786">
      <w:pPr>
        <w:pStyle w:val="NormalHanging12a"/>
        <w:rPr>
          <w:bCs/>
          <w:iCs/>
        </w:rPr>
      </w:pPr>
      <w:r>
        <w:t>52</w:t>
      </w:r>
      <w:r w:rsidRPr="00EE7822">
        <w:t>.</w:t>
      </w:r>
      <w:r w:rsidRPr="00EE7822">
        <w:tab/>
        <w:t xml:space="preserve">understreger vigtigheden af gode naboskabsforbindelser og regionalt samarbejde som væsentlige elementer i EU-udvidelsesprocessen og glæder sig over Albaniens aktive deltagelse i regionale initiativer; understreger behovet for et dybere sikkerhedssamarbejde på Vestbalkan, der fremmer en tættere koordinering mellem de regionale partnere med henblik på at bekæmpe organiseret kriminalitet, </w:t>
      </w:r>
      <w:r w:rsidRPr="00EE7822">
        <w:t>cybertrusler</w:t>
      </w:r>
      <w:r w:rsidRPr="00EE7822">
        <w:t xml:space="preserve"> og hybride udfordringer; anerkender den strategiske betydning, som den </w:t>
      </w:r>
      <w:r w:rsidRPr="00EE7822">
        <w:t>adriatisk</w:t>
      </w:r>
      <w:r w:rsidRPr="00EE7822">
        <w:t xml:space="preserve">-joniske region har for europæisk sikkerhed og økonomisk stabilitet; opfordrer Albanien til at styrke sin maritime sikkerhedskapacitet i samarbejde med EU og NATO, herunder til at styrke flådeinfrastrukturen, forbedre overvågningssystemerne og intensivere bestræbelserne på at bekæmpe ulovlige aktiviteter såsom menneskehandel; tilskynder </w:t>
      </w:r>
      <w:r w:rsidRPr="00EE7822">
        <w:t>Albanien til at indgå et mere tæt samarbejde med EU's kyststater med henblik på at sikre beskyttelsen af kritiske maritime ruter og miljømæssig bæredygtighed i regionen;</w:t>
      </w:r>
    </w:p>
    <w:p w:rsidR="00C33B05" w:rsidRPr="00EE7822" w:rsidP="00C33B05" w14:paraId="6D613484" w14:textId="2D2ACFE4">
      <w:pPr>
        <w:pStyle w:val="NormalHanging12a"/>
        <w:rPr>
          <w:bCs/>
          <w:iCs/>
        </w:rPr>
      </w:pPr>
      <w:r>
        <w:t>53</w:t>
      </w:r>
      <w:r w:rsidRPr="00EE7822">
        <w:t>.</w:t>
      </w:r>
      <w:r w:rsidRPr="00EE7822">
        <w:tab/>
        <w:t>advarer om, at initiativer, der udvikles uden for EU-rammerne, herunder "Open Balkan"-initiativet, indebærer en risiko for at skabe parallelstrukturer, der kan underminere Berlinprocessen og Vestbalkans fælles regionale marked;</w:t>
      </w:r>
    </w:p>
    <w:p w:rsidR="00C33B05" w:rsidRPr="00EE7822" w:rsidP="00C33B05" w14:paraId="452894C7" w14:textId="77777777">
      <w:pPr>
        <w:pStyle w:val="NormalHanging12a"/>
        <w:rPr>
          <w:b/>
          <w:bCs/>
          <w:i/>
          <w:iCs/>
        </w:rPr>
      </w:pPr>
      <w:r w:rsidRPr="00EE7822">
        <w:rPr>
          <w:b/>
          <w:i/>
        </w:rPr>
        <w:t>EU-støtte</w:t>
      </w:r>
    </w:p>
    <w:p w:rsidR="00C33B05" w:rsidRPr="00EE7822" w:rsidP="00C33B05" w14:paraId="40E074A1" w14:textId="5E7619FE">
      <w:pPr>
        <w:pStyle w:val="NormalHanging12a"/>
      </w:pPr>
      <w:r>
        <w:t>54</w:t>
      </w:r>
      <w:r w:rsidRPr="00EE7822">
        <w:t>.</w:t>
      </w:r>
      <w:r w:rsidRPr="00EE7822">
        <w:tab/>
        <w:t>glæder sig over EU's finansielle og tekniske bistand til Albanien under IPA III og reform- og vækstfaciliteten og understreger, at en sådan støtte fortsat skal være tæt knyttet til den konkrete gennemførelse af reformer og målbare resultater; opfordrer til at øge EU-støtten til regionale sikkerhedsinitiativer, der forbedrer stabiliteten og modstandsdygtigheden på hele Vestbalkan; glæder sig over de bilaterale bistandsforanstaltninger inden for rammerne af den europæiske fredsfacilitet til støtte for Albaniens væbnede styrker, da de øger Albaniens potentiale til at bidrage til missioner og operationer under EU's missioner og operationer under den fælles sikkerheds- og forsvarspolitik;</w:t>
      </w:r>
    </w:p>
    <w:p w:rsidR="00C33B05" w:rsidRPr="00EE7822" w:rsidP="00C33B05" w14:paraId="7DE71243" w14:textId="73D02001">
      <w:pPr>
        <w:pStyle w:val="NormalHanging12a"/>
        <w:rPr>
          <w:bCs/>
          <w:iCs/>
        </w:rPr>
      </w:pPr>
      <w:r>
        <w:t>55</w:t>
      </w:r>
      <w:r w:rsidRPr="00EE7822">
        <w:t>.</w:t>
      </w:r>
      <w:r w:rsidRPr="00EE7822">
        <w:tab/>
        <w:t>opfordrer til et forstærket tilsyn og meningsfuld deltagelse af civilsamfundsorganisationer, erhvervsorganisationer og arbejdsmarkedets parter i alle faser af reform- og vækstfaciliteten for Vestbalkan, herunder udformningen af reformforanstaltninger, gennemførelsen af projekter og overvågningen af resultater;</w:t>
      </w:r>
    </w:p>
    <w:p w:rsidR="00C33B05" w:rsidRPr="00EE7822" w:rsidP="00C33B05" w14:paraId="24B48303" w14:textId="1268B470">
      <w:pPr>
        <w:pStyle w:val="NormalHanging12a"/>
        <w:rPr>
          <w:bCs/>
          <w:iCs/>
        </w:rPr>
      </w:pPr>
      <w:r>
        <w:t>56</w:t>
      </w:r>
      <w:r w:rsidRPr="00EE7822">
        <w:t>.</w:t>
      </w:r>
      <w:r w:rsidRPr="00EE7822">
        <w:tab/>
        <w:t>opfordrer EU til at yde yderligere finansiel og teknisk bistand til Albanien for at støtte en bæredygtig udvikling af landdistrikterne og mindske kløften mellem by og land i overensstemmelse med EU's samhørighedspolitikker;</w:t>
      </w:r>
    </w:p>
    <w:p w:rsidR="00C33B05" w:rsidRPr="00EE7822" w:rsidP="00C33B05" w14:paraId="3C12C881" w14:textId="55DED9B8">
      <w:pPr>
        <w:pStyle w:val="NormalHanging12a"/>
        <w:rPr>
          <w:bCs/>
          <w:iCs/>
        </w:rPr>
      </w:pPr>
      <w:r>
        <w:t>57</w:t>
      </w:r>
      <w:r w:rsidRPr="00EE7822">
        <w:t>.</w:t>
      </w:r>
      <w:r w:rsidRPr="00EE7822">
        <w:tab/>
        <w:t xml:space="preserve">udtrykker bekymring over de alvorlige uregelmæssigheder, som Det Europæiske Kontor for Bekæmpelse af Svig har konstateret i forbindelse med gennemførelsen af EU's instrument til </w:t>
      </w:r>
      <w:r w:rsidRPr="00EE7822">
        <w:t>førtiltrædelsesbistand</w:t>
      </w:r>
      <w:r w:rsidRPr="00EE7822">
        <w:t xml:space="preserve"> til udvikling af landdistrikter (IPARD II) i Albanien; understreger, at det er vigtigt at sikre fuld gennemsigtighed og ansvarlighed og effektive kontrolmekanismer i forbindelse med brugen af finansiel bistand fra EU for at beskytte EU's finansielle interesser og bevare offentlighedens tillid; opfordrer til øjeblikkelig gennemførelse af de nødvendige korrigerende foranstaltninger;</w:t>
      </w:r>
    </w:p>
    <w:p w:rsidR="00C33B05" w:rsidRPr="00EE7822" w:rsidP="00C33B05" w14:paraId="37A2E278" w14:textId="6153480D">
      <w:pPr>
        <w:pStyle w:val="NormalHanging12a"/>
        <w:rPr>
          <w:bCs/>
          <w:iCs/>
        </w:rPr>
      </w:pPr>
      <w:r>
        <w:t>58</w:t>
      </w:r>
      <w:r w:rsidRPr="00EE7822">
        <w:t>.</w:t>
      </w:r>
      <w:r w:rsidRPr="00EE7822">
        <w:tab/>
        <w:t xml:space="preserve">opfordrer Kommissionen til at fortsætte med at yde klar vejledning vedrørende reformprioriteter og til at sikre en gennemsigtig og stringent overvågning af reformfremskridtene; opfordrer </w:t>
      </w:r>
      <w:r w:rsidRPr="00EE7822">
        <w:t>endvidere</w:t>
      </w:r>
      <w:r w:rsidRPr="00EE7822">
        <w:t xml:space="preserve"> Kommissionen til at arrangere en oplysningskampagne i alle medlemsstater og i Albanien med henblik på at oplyse borgerne om de positive virkninger af EU-udvidelsen;</w:t>
      </w:r>
    </w:p>
    <w:p w:rsidR="00C33B05" w:rsidRPr="00EE7822" w:rsidP="00C33B05" w14:paraId="7ED6D4C1" w14:textId="52FFFD41">
      <w:pPr>
        <w:pStyle w:val="NormalHanging12a"/>
        <w:rPr>
          <w:bCs/>
          <w:iCs/>
        </w:rPr>
      </w:pPr>
      <w:r>
        <w:t>59</w:t>
      </w:r>
      <w:r w:rsidRPr="00EE7822">
        <w:t>.</w:t>
      </w:r>
      <w:r w:rsidRPr="00EE7822">
        <w:tab/>
        <w:t xml:space="preserve">tilskynder Kommissionen til sammen med EU-Udenrigstjenesten at bidrage yderligere til at fremme Albaniens modstandsdygtighed over for hybride trusler inden for </w:t>
      </w:r>
      <w:r w:rsidRPr="00EE7822">
        <w:t>cybersikkerhed</w:t>
      </w:r>
      <w:r w:rsidRPr="00EE7822">
        <w:t>, manipulation af oplysninger og beskyttelse af kritiske infrastrukturer; understreger nødvendigheden af at forbedre koordineringen og tage hånd om desinformation og hybride trusler, der søger at undergrave den offentlige støtte i Albanien til EU-tiltrædelsen, ved at understrege EU's betydning for borgere på Vestbalkan på en mere strategisk måde;</w:t>
      </w:r>
    </w:p>
    <w:p w:rsidR="00C33B05" w:rsidRPr="00EE7822" w:rsidP="00C33B05" w14:paraId="10413D1A" w14:textId="77777777">
      <w:pPr>
        <w:pStyle w:val="NormalHanging12a"/>
        <w:jc w:val="center"/>
      </w:pPr>
      <w:r w:rsidRPr="00EE7822">
        <w:t>°</w:t>
      </w:r>
    </w:p>
    <w:p w:rsidR="00C33B05" w:rsidRPr="00EE7822" w:rsidP="00C33B05" w14:paraId="31D1D853" w14:textId="77777777">
      <w:pPr>
        <w:pStyle w:val="NormalHanging12a"/>
        <w:jc w:val="center"/>
      </w:pPr>
      <w:r w:rsidRPr="00EE7822">
        <w:t>°</w:t>
      </w:r>
      <w:r w:rsidRPr="00EE7822">
        <w:tab/>
        <w:t>°</w:t>
      </w:r>
    </w:p>
    <w:p w:rsidR="00EE7822" w:rsidRPr="00EE7822" w:rsidP="00EE7822" w14:paraId="5A64C5BD" w14:textId="41A37AFC">
      <w:pPr>
        <w:pStyle w:val="NormalHanging12a"/>
      </w:pPr>
      <w:r>
        <w:t>60</w:t>
      </w:r>
      <w:r w:rsidRPr="00EE7822" w:rsidR="00C33B05">
        <w:t>.</w:t>
      </w:r>
      <w:r w:rsidRPr="00EE7822" w:rsidR="00C33B05">
        <w:tab/>
        <w:t>pålægger sin formand at sende denne beslutning til Rådet og Kommissionen, formanden for Det Europæiske Råd, næstformanden for Kommissionen/Unionens højtstående repræsentant for udenrigsanliggender og sikkerhedspolitik, medlemsstaternes regeringer og parlamenter samt til Republikken Albaniens præsident, regering og parlament.</w:t>
      </w:r>
    </w:p>
    <w:p w:rsidR="00E365E1" w:rsidRPr="00EE7822" w:rsidP="00150F5A" w14:paraId="47E13EBB" w14:textId="3830615A"/>
    <w:sectPr w:rsidSect="00EE782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50F5A" w:rsidRPr="00EE7822" w14:paraId="62A675F8" w14:textId="77777777">
      <w:r w:rsidRPr="00EE7822">
        <w:separator/>
      </w:r>
    </w:p>
  </w:footnote>
  <w:footnote w:type="continuationSeparator" w:id="1">
    <w:p w:rsidR="00150F5A" w:rsidRPr="00EE7822" w14:paraId="10C049E2" w14:textId="77777777">
      <w:r w:rsidRPr="00EE7822">
        <w:continuationSeparator/>
      </w:r>
    </w:p>
  </w:footnote>
  <w:footnote w:id="2">
    <w:p w:rsidR="00C33B05" w:rsidRPr="00EE7822" w:rsidP="00EE7822" w14:paraId="42F51FB3" w14:textId="5E4646C8">
      <w:pPr>
        <w:pStyle w:val="FootnoteText"/>
        <w:ind w:left="567" w:hanging="567"/>
        <w:rPr>
          <w:sz w:val="24"/>
          <w:lang w:val="da-DK"/>
        </w:rPr>
      </w:pPr>
      <w:r w:rsidRPr="00EE7822">
        <w:rPr>
          <w:rStyle w:val="FootnoteReference"/>
          <w:sz w:val="24"/>
          <w:lang w:val="da-DK"/>
        </w:rPr>
        <w:footnoteRef/>
      </w:r>
      <w:r w:rsidRPr="00EE7822" w:rsidR="00EE7822">
        <w:rPr>
          <w:sz w:val="24"/>
          <w:lang w:val="da-DK"/>
        </w:rPr>
        <w:t xml:space="preserve"> </w:t>
      </w:r>
      <w:r w:rsidRPr="00EE7822" w:rsidR="00EE7822">
        <w:rPr>
          <w:sz w:val="24"/>
          <w:lang w:val="da-DK"/>
        </w:rPr>
        <w:tab/>
      </w:r>
      <w:r w:rsidRPr="00EE7822">
        <w:rPr>
          <w:sz w:val="24"/>
          <w:lang w:val="da-DK"/>
        </w:rPr>
        <w:t xml:space="preserve">EUT L 107 af 28.4.2009, s. 166, ELI: </w:t>
      </w:r>
      <w:hyperlink r:id="rId1" w:tooltip="Giver adgang til dokumentet via dets ELI-URI." w:history="1">
        <w:r w:rsidRPr="00EE7822">
          <w:rPr>
            <w:rStyle w:val="Hyperlink"/>
            <w:sz w:val="24"/>
            <w:lang w:val="da-DK"/>
          </w:rPr>
          <w:t>http://data.europa.eu/eli/agree_internation/2009/332/oj</w:t>
        </w:r>
      </w:hyperlink>
      <w:r w:rsidRPr="00EE7822">
        <w:rPr>
          <w:sz w:val="24"/>
          <w:lang w:val="da-DK"/>
        </w:rPr>
        <w:t>.</w:t>
      </w:r>
    </w:p>
  </w:footnote>
  <w:footnote w:id="3">
    <w:p w:rsidR="00C33B05" w:rsidRPr="00EE7822" w:rsidP="00EE7822" w14:paraId="50CDF1AA" w14:textId="768CB01B">
      <w:pPr>
        <w:pStyle w:val="FootnoteText"/>
        <w:ind w:left="567" w:hanging="567"/>
        <w:rPr>
          <w:sz w:val="24"/>
          <w:lang w:val="da-DK"/>
        </w:rPr>
      </w:pPr>
      <w:r w:rsidRPr="00EE7822">
        <w:rPr>
          <w:rStyle w:val="FootnoteReference"/>
          <w:sz w:val="24"/>
          <w:lang w:val="da-DK"/>
        </w:rPr>
        <w:footnoteRef/>
      </w:r>
      <w:r w:rsidRPr="00EE7822" w:rsidR="00EE7822">
        <w:rPr>
          <w:sz w:val="24"/>
          <w:lang w:val="da-DK"/>
        </w:rPr>
        <w:t xml:space="preserve"> </w:t>
      </w:r>
      <w:r w:rsidRPr="00EE7822" w:rsidR="00EE7822">
        <w:rPr>
          <w:sz w:val="24"/>
          <w:lang w:val="da-DK"/>
        </w:rPr>
        <w:tab/>
      </w:r>
      <w:r w:rsidRPr="00EE7822">
        <w:rPr>
          <w:sz w:val="24"/>
          <w:lang w:val="da-DK"/>
        </w:rPr>
        <w:t xml:space="preserve">EUT L 330 af 20.9.2021, s. 1, ELI: </w:t>
      </w:r>
      <w:hyperlink r:id="rId2" w:tooltip="Giver adgang til dokumentet via dets ELI-URI." w:history="1">
        <w:r w:rsidRPr="00EE7822">
          <w:rPr>
            <w:rStyle w:val="Hyperlink"/>
            <w:sz w:val="24"/>
            <w:lang w:val="da-DK"/>
          </w:rPr>
          <w:t>http://data.europa.eu/eli/reg/2021/1529/oj</w:t>
        </w:r>
      </w:hyperlink>
      <w:r w:rsidRPr="00EE7822">
        <w:rPr>
          <w:sz w:val="24"/>
          <w:lang w:val="da-DK"/>
        </w:rPr>
        <w:t>.</w:t>
      </w:r>
    </w:p>
  </w:footnote>
  <w:footnote w:id="4">
    <w:p w:rsidR="00C33B05" w:rsidRPr="00256229" w:rsidP="00EE7822" w14:paraId="07BCE638" w14:textId="3A08354A">
      <w:pPr>
        <w:pStyle w:val="FootnoteText"/>
        <w:ind w:left="567" w:hanging="567"/>
        <w:rPr>
          <w:sz w:val="24"/>
          <w:lang w:val="fi-FI"/>
        </w:rPr>
      </w:pPr>
      <w:r w:rsidRPr="00EE7822">
        <w:rPr>
          <w:rStyle w:val="FootnoteReference"/>
          <w:sz w:val="24"/>
          <w:lang w:val="da-DK"/>
        </w:rPr>
        <w:footnoteRef/>
      </w:r>
      <w:r w:rsidRPr="00256229" w:rsidR="00EE7822">
        <w:rPr>
          <w:sz w:val="24"/>
          <w:lang w:val="fi-FI"/>
        </w:rPr>
        <w:t xml:space="preserve"> </w:t>
      </w:r>
      <w:r w:rsidRPr="00256229" w:rsidR="00EE7822">
        <w:rPr>
          <w:sz w:val="24"/>
          <w:lang w:val="fi-FI"/>
        </w:rPr>
        <w:tab/>
      </w:r>
      <w:r w:rsidRPr="00256229">
        <w:rPr>
          <w:sz w:val="24"/>
          <w:lang w:val="fi-FI"/>
        </w:rPr>
        <w:t xml:space="preserve">EUT L, 2024/1449, 24.5.2024, ELI: </w:t>
      </w:r>
      <w:hyperlink r:id="rId3" w:tgtFrame="_blank" w:tooltip="Giver adgang til dokumentet via dets ELI-URI." w:history="1">
        <w:r w:rsidRPr="00256229">
          <w:rPr>
            <w:rStyle w:val="Hyperlink"/>
            <w:sz w:val="24"/>
            <w:lang w:val="fi-FI"/>
          </w:rPr>
          <w:t>http://data.europa.eu/eli/reg/2024/1449/oj</w:t>
        </w:r>
      </w:hyperlink>
      <w:r w:rsidRPr="00256229">
        <w:rPr>
          <w:sz w:val="24"/>
          <w:lang w:val="fi-FI"/>
        </w:rPr>
        <w:t>.</w:t>
      </w:r>
    </w:p>
  </w:footnote>
  <w:footnote w:id="5">
    <w:p w:rsidR="00C33B05" w:rsidRPr="00EE7822" w:rsidP="00EE7822" w14:paraId="74D8B58D" w14:textId="299A8890">
      <w:pPr>
        <w:pStyle w:val="FootnoteText"/>
        <w:ind w:left="567" w:hanging="567"/>
        <w:rPr>
          <w:sz w:val="24"/>
          <w:lang w:val="da-DK"/>
        </w:rPr>
      </w:pPr>
      <w:r w:rsidRPr="00EE7822">
        <w:rPr>
          <w:rStyle w:val="FootnoteReference"/>
          <w:sz w:val="24"/>
          <w:lang w:val="da-DK"/>
        </w:rPr>
        <w:footnoteRef/>
      </w:r>
      <w:r w:rsidRPr="00EE7822" w:rsidR="00EE7822">
        <w:rPr>
          <w:sz w:val="24"/>
          <w:lang w:val="da-DK"/>
        </w:rPr>
        <w:t xml:space="preserve"> </w:t>
      </w:r>
      <w:r w:rsidRPr="00EE7822" w:rsidR="00EE7822">
        <w:rPr>
          <w:sz w:val="24"/>
          <w:lang w:val="da-DK"/>
        </w:rPr>
        <w:tab/>
      </w:r>
      <w:r w:rsidRPr="00EE7822">
        <w:rPr>
          <w:sz w:val="24"/>
          <w:lang w:val="da-DK"/>
        </w:rPr>
        <w:t>Vedtagne tekster, P10_</w:t>
      </w:r>
      <w:r w:rsidRPr="00EE7822">
        <w:rPr>
          <w:sz w:val="24"/>
          <w:lang w:val="da-DK"/>
        </w:rPr>
        <w:t>TA(</w:t>
      </w:r>
      <w:r w:rsidRPr="00EE7822">
        <w:rPr>
          <w:sz w:val="24"/>
          <w:lang w:val="da-DK"/>
        </w:rPr>
        <w:t>2026)0077.</w:t>
      </w:r>
    </w:p>
  </w:footnote>
  <w:footnote w:id="6">
    <w:p w:rsidR="00C33B05" w:rsidRPr="00EE7822" w:rsidP="00EE7822" w14:paraId="38B9DFCE" w14:textId="4AC2520E">
      <w:pPr>
        <w:pStyle w:val="FootnoteText"/>
        <w:ind w:left="567" w:hanging="567"/>
        <w:rPr>
          <w:sz w:val="24"/>
          <w:lang w:val="da-DK"/>
        </w:rPr>
      </w:pPr>
      <w:r w:rsidRPr="00EE7822">
        <w:rPr>
          <w:rStyle w:val="FootnoteReference"/>
          <w:sz w:val="24"/>
          <w:lang w:val="da-DK"/>
        </w:rPr>
        <w:footnoteRef/>
      </w:r>
      <w:r w:rsidRPr="00EE7822" w:rsidR="00EE7822">
        <w:rPr>
          <w:sz w:val="24"/>
          <w:lang w:val="da-DK"/>
        </w:rPr>
        <w:t xml:space="preserve"> </w:t>
      </w:r>
      <w:r w:rsidRPr="00EE7822" w:rsidR="00EE7822">
        <w:rPr>
          <w:sz w:val="24"/>
          <w:lang w:val="da-DK"/>
        </w:rPr>
        <w:tab/>
      </w:r>
      <w:r w:rsidRPr="00EE7822">
        <w:rPr>
          <w:sz w:val="24"/>
          <w:lang w:val="da-DK"/>
        </w:rPr>
        <w:t xml:space="preserve">Europa-Parlamentets og Rådets direktiv (EU) 2022/2555 af 14. december 2022 om foranstaltninger til sikring af et højt fælles </w:t>
      </w:r>
      <w:r w:rsidRPr="00EE7822">
        <w:rPr>
          <w:sz w:val="24"/>
          <w:lang w:val="da-DK"/>
        </w:rPr>
        <w:t>cybersikkerhedsniveau</w:t>
      </w:r>
      <w:r w:rsidRPr="00EE7822">
        <w:rPr>
          <w:sz w:val="24"/>
          <w:lang w:val="da-DK"/>
        </w:rPr>
        <w:t xml:space="preserve"> i hele Unionen, om ændring af forordning (EU) nr. 910/2014 og direktiv (EU) 2018/1972 og om ophævelse af direktiv (EU) 2016/1148 (NIS 2-direktivet) (EUT L 333 af 27.12.2022, s. 80, ELI: </w:t>
      </w:r>
      <w:hyperlink r:id="rId4" w:tooltip="Giver adgang til dette dokument via dets ELI-URI." w:history="1">
        <w:r w:rsidRPr="00EE7822">
          <w:rPr>
            <w:rStyle w:val="Hyperlink"/>
            <w:sz w:val="24"/>
            <w:lang w:val="da-DK"/>
          </w:rPr>
          <w:t>http://data.europa.eu/eli/dir/2022/2555/oj</w:t>
        </w:r>
      </w:hyperlink>
      <w:r w:rsidRPr="00EE7822">
        <w:rPr>
          <w:sz w:val="24"/>
          <w:lang w:val="da-DK"/>
        </w:rPr>
        <w:t>).</w:t>
      </w:r>
    </w:p>
  </w:footnote>
  <w:footnote w:id="7">
    <w:p w:rsidR="00E16664" w:rsidRPr="00AF0EEF" w:rsidP="00AF0EEF" w14:paraId="3D97BA2E" w14:textId="6E476172">
      <w:pPr>
        <w:pStyle w:val="FootnoteText"/>
        <w:ind w:left="567" w:hanging="567"/>
        <w:rPr>
          <w:sz w:val="24"/>
          <w:szCs w:val="24"/>
          <w:lang w:val="da-DK"/>
        </w:rPr>
      </w:pPr>
      <w:r w:rsidRPr="00AF0EEF">
        <w:rPr>
          <w:rStyle w:val="FootnoteReference"/>
          <w:sz w:val="24"/>
          <w:szCs w:val="24"/>
        </w:rPr>
        <w:footnoteRef/>
      </w:r>
      <w:r w:rsidRPr="00AF0EEF">
        <w:rPr>
          <w:sz w:val="24"/>
          <w:szCs w:val="24"/>
          <w:lang w:val="da-DK"/>
        </w:rPr>
        <w:t xml:space="preserve"> </w:t>
      </w:r>
      <w:r w:rsidRPr="00AF0EEF">
        <w:rPr>
          <w:sz w:val="24"/>
          <w:szCs w:val="24"/>
          <w:lang w:val="da-DK"/>
        </w:rPr>
        <w:tab/>
        <w:t>Europa-Parlamentets og Rådets direktiv 2009/147/EF af 30. november 2009 om beskyttelse af vilde fugle (EUT L 20 af 26.1.2010, s. 7, ELI: </w:t>
      </w:r>
      <w:hyperlink r:id="rId5" w:tooltip="Giver adgang til dokumentet via dets ELI-URI." w:history="1">
        <w:r w:rsidRPr="00AF0EEF">
          <w:rPr>
            <w:rStyle w:val="Hyperlink"/>
            <w:sz w:val="24"/>
            <w:szCs w:val="24"/>
            <w:lang w:val="da-DK"/>
          </w:rPr>
          <w:t>http://data.europa.eu/eli/dir/2009/147/oj</w:t>
        </w:r>
      </w:hyperlink>
      <w:r w:rsidRPr="00AF0EEF">
        <w:rPr>
          <w:sz w:val="24"/>
          <w:szCs w:val="24"/>
          <w:lang w:val="da-DK"/>
        </w:rPr>
        <w:t>).</w:t>
      </w:r>
    </w:p>
  </w:footnote>
  <w:footnote w:id="8">
    <w:p w:rsidR="00E16664" w:rsidRPr="00AF0EEF" w:rsidP="00AF0EEF" w14:paraId="42D0E792" w14:textId="5B36882B">
      <w:pPr>
        <w:pStyle w:val="FootnoteText"/>
        <w:ind w:left="567" w:hanging="567"/>
        <w:rPr>
          <w:sz w:val="24"/>
          <w:szCs w:val="24"/>
          <w:lang w:val="da-DK"/>
        </w:rPr>
      </w:pPr>
      <w:r w:rsidRPr="00AF0EEF">
        <w:rPr>
          <w:rStyle w:val="FootnoteReference"/>
          <w:sz w:val="24"/>
          <w:szCs w:val="24"/>
        </w:rPr>
        <w:footnoteRef/>
      </w:r>
      <w:r w:rsidRPr="00AF0EEF">
        <w:rPr>
          <w:sz w:val="24"/>
          <w:szCs w:val="24"/>
          <w:lang w:val="da-DK"/>
        </w:rPr>
        <w:t xml:space="preserve"> </w:t>
      </w:r>
      <w:r w:rsidRPr="00AF0EEF">
        <w:rPr>
          <w:sz w:val="24"/>
          <w:szCs w:val="24"/>
          <w:lang w:val="da-DK"/>
        </w:rPr>
        <w:tab/>
        <w:t>Rådets direktiv 92/43/EØF af 21. maj 1992 om bevaring af naturtyper samt vilde dyr og planter (EFT L 206 af 22.7.1992, s. 7, ELI: </w:t>
      </w:r>
      <w:hyperlink r:id="rId6" w:tooltip="Giver adgang til dokumentet via dets ELI-URI." w:history="1">
        <w:r w:rsidRPr="00AF0EEF">
          <w:rPr>
            <w:rStyle w:val="Hyperlink"/>
            <w:sz w:val="24"/>
            <w:szCs w:val="24"/>
            <w:lang w:val="da-DK"/>
          </w:rPr>
          <w:t>http://data.europa.eu/eli/dir/1992/43/oj</w:t>
        </w:r>
      </w:hyperlink>
      <w:r w:rsidRPr="00AF0EEF">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658418">
    <w:abstractNumId w:val="9"/>
  </w:num>
  <w:num w:numId="2" w16cid:durableId="1685790885">
    <w:abstractNumId w:val="9"/>
  </w:num>
  <w:num w:numId="3" w16cid:durableId="819422688">
    <w:abstractNumId w:val="7"/>
  </w:num>
  <w:num w:numId="4" w16cid:durableId="1262643098">
    <w:abstractNumId w:val="7"/>
  </w:num>
  <w:num w:numId="5" w16cid:durableId="1742214789">
    <w:abstractNumId w:val="6"/>
  </w:num>
  <w:num w:numId="6" w16cid:durableId="725030434">
    <w:abstractNumId w:val="6"/>
  </w:num>
  <w:num w:numId="7" w16cid:durableId="1029405922">
    <w:abstractNumId w:val="5"/>
  </w:num>
  <w:num w:numId="8" w16cid:durableId="1704940047">
    <w:abstractNumId w:val="5"/>
  </w:num>
  <w:num w:numId="9" w16cid:durableId="381757526">
    <w:abstractNumId w:val="4"/>
  </w:num>
  <w:num w:numId="10" w16cid:durableId="1715082212">
    <w:abstractNumId w:val="4"/>
  </w:num>
  <w:num w:numId="11" w16cid:durableId="2058553074">
    <w:abstractNumId w:val="8"/>
  </w:num>
  <w:num w:numId="12" w16cid:durableId="1090665706">
    <w:abstractNumId w:val="8"/>
  </w:num>
  <w:num w:numId="13" w16cid:durableId="1672443039">
    <w:abstractNumId w:val="3"/>
  </w:num>
  <w:num w:numId="14" w16cid:durableId="1426077654">
    <w:abstractNumId w:val="3"/>
  </w:num>
  <w:num w:numId="15" w16cid:durableId="403720211">
    <w:abstractNumId w:val="2"/>
  </w:num>
  <w:num w:numId="16" w16cid:durableId="939752590">
    <w:abstractNumId w:val="2"/>
  </w:num>
  <w:num w:numId="17" w16cid:durableId="35546980">
    <w:abstractNumId w:val="1"/>
  </w:num>
  <w:num w:numId="18" w16cid:durableId="839657340">
    <w:abstractNumId w:val="1"/>
  </w:num>
  <w:num w:numId="19" w16cid:durableId="622540694">
    <w:abstractNumId w:val="0"/>
  </w:num>
  <w:num w:numId="20" w16cid:durableId="1936086498">
    <w:abstractNumId w:val="0"/>
  </w:num>
  <w:num w:numId="21" w16cid:durableId="2142574199">
    <w:abstractNumId w:val="9"/>
  </w:num>
  <w:num w:numId="22" w16cid:durableId="566695239">
    <w:abstractNumId w:val="7"/>
  </w:num>
  <w:num w:numId="23" w16cid:durableId="594945540">
    <w:abstractNumId w:val="6"/>
  </w:num>
  <w:num w:numId="24" w16cid:durableId="980622783">
    <w:abstractNumId w:val="5"/>
  </w:num>
  <w:num w:numId="25" w16cid:durableId="532307683">
    <w:abstractNumId w:val="4"/>
  </w:num>
  <w:num w:numId="26" w16cid:durableId="196162785">
    <w:abstractNumId w:val="8"/>
  </w:num>
  <w:num w:numId="27" w16cid:durableId="2039356313">
    <w:abstractNumId w:val="3"/>
  </w:num>
  <w:num w:numId="28" w16cid:durableId="269901604">
    <w:abstractNumId w:val="2"/>
  </w:num>
  <w:num w:numId="29" w16cid:durableId="434637610">
    <w:abstractNumId w:val="1"/>
  </w:num>
  <w:num w:numId="30" w16cid:durableId="55669752">
    <w:abstractNumId w:val="0"/>
  </w:num>
  <w:num w:numId="31" w16cid:durableId="1689479793">
    <w:abstractNumId w:val="9"/>
  </w:num>
  <w:num w:numId="32" w16cid:durableId="225648795">
    <w:abstractNumId w:val="7"/>
  </w:num>
  <w:num w:numId="33" w16cid:durableId="1231161589">
    <w:abstractNumId w:val="6"/>
  </w:num>
  <w:num w:numId="34" w16cid:durableId="1184125943">
    <w:abstractNumId w:val="5"/>
  </w:num>
  <w:num w:numId="35" w16cid:durableId="625042899">
    <w:abstractNumId w:val="4"/>
  </w:num>
  <w:num w:numId="36" w16cid:durableId="643464974">
    <w:abstractNumId w:val="8"/>
  </w:num>
  <w:num w:numId="37" w16cid:durableId="15621883">
    <w:abstractNumId w:val="3"/>
  </w:num>
  <w:num w:numId="38" w16cid:durableId="229966713">
    <w:abstractNumId w:val="2"/>
  </w:num>
  <w:num w:numId="39" w16cid:durableId="827669056">
    <w:abstractNumId w:val="1"/>
  </w:num>
  <w:num w:numId="40" w16cid:durableId="403259391">
    <w:abstractNumId w:val="0"/>
  </w:num>
  <w:num w:numId="41" w16cid:durableId="1049455783">
    <w:abstractNumId w:val="10"/>
  </w:num>
  <w:num w:numId="42" w16cid:durableId="150874428">
    <w:abstractNumId w:val="10"/>
  </w:num>
  <w:num w:numId="43" w16cid:durableId="729764619">
    <w:abstractNumId w:val="10"/>
  </w:num>
  <w:num w:numId="44" w16cid:durableId="7714346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F5A"/>
    <w:rsid w:val="00002272"/>
    <w:rsid w:val="00064002"/>
    <w:rsid w:val="000677B9"/>
    <w:rsid w:val="000831BA"/>
    <w:rsid w:val="000A42CC"/>
    <w:rsid w:val="000E7DD9"/>
    <w:rsid w:val="0010095E"/>
    <w:rsid w:val="00125B37"/>
    <w:rsid w:val="00150F5A"/>
    <w:rsid w:val="00187494"/>
    <w:rsid w:val="001F32AE"/>
    <w:rsid w:val="00256229"/>
    <w:rsid w:val="002767FF"/>
    <w:rsid w:val="00296443"/>
    <w:rsid w:val="002B18FE"/>
    <w:rsid w:val="002B5493"/>
    <w:rsid w:val="002E18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44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2BE"/>
    <w:rsid w:val="00930C23"/>
    <w:rsid w:val="0093193B"/>
    <w:rsid w:val="009509D8"/>
    <w:rsid w:val="00950B64"/>
    <w:rsid w:val="00981893"/>
    <w:rsid w:val="00A04D00"/>
    <w:rsid w:val="00A1586F"/>
    <w:rsid w:val="00A1687D"/>
    <w:rsid w:val="00A43E52"/>
    <w:rsid w:val="00A4678D"/>
    <w:rsid w:val="00A778C7"/>
    <w:rsid w:val="00AB441E"/>
    <w:rsid w:val="00AB6293"/>
    <w:rsid w:val="00AE0928"/>
    <w:rsid w:val="00AF0EEF"/>
    <w:rsid w:val="00AF3B82"/>
    <w:rsid w:val="00B12E95"/>
    <w:rsid w:val="00B22876"/>
    <w:rsid w:val="00B558F0"/>
    <w:rsid w:val="00BD48FE"/>
    <w:rsid w:val="00BD7BD8"/>
    <w:rsid w:val="00BE6ADC"/>
    <w:rsid w:val="00C05BFE"/>
    <w:rsid w:val="00C23CD4"/>
    <w:rsid w:val="00C33B05"/>
    <w:rsid w:val="00C51247"/>
    <w:rsid w:val="00C61C0C"/>
    <w:rsid w:val="00C82083"/>
    <w:rsid w:val="00C941CB"/>
    <w:rsid w:val="00CC2357"/>
    <w:rsid w:val="00CF071A"/>
    <w:rsid w:val="00D058B8"/>
    <w:rsid w:val="00D56C11"/>
    <w:rsid w:val="00D834A0"/>
    <w:rsid w:val="00D872DF"/>
    <w:rsid w:val="00D91E21"/>
    <w:rsid w:val="00DA7FCD"/>
    <w:rsid w:val="00E16664"/>
    <w:rsid w:val="00E365E1"/>
    <w:rsid w:val="00E514DE"/>
    <w:rsid w:val="00E820A4"/>
    <w:rsid w:val="00EB006A"/>
    <w:rsid w:val="00EB4772"/>
    <w:rsid w:val="00ED169E"/>
    <w:rsid w:val="00ED4235"/>
    <w:rsid w:val="00EE7822"/>
    <w:rsid w:val="00F04346"/>
    <w:rsid w:val="00F075DC"/>
    <w:rsid w:val="00F149E9"/>
    <w:rsid w:val="00F5134D"/>
    <w:rsid w:val="00F74202"/>
    <w:rsid w:val="00F87713"/>
    <w:rsid w:val="00FB4360"/>
    <w:rsid w:val="00FD0C70"/>
  </w:rsids>
  <w:docVars>
    <w:docVar w:name="dvdocse" w:val="A10-0141/2026"/>
    <w:docVar w:name="dvlangue" w:val="DA"/>
    <w:docVar w:name="dvnumam" w:val="0"/>
    <w:docVar w:name="dvpe" w:val="784.259"/>
    <w:docVar w:name="dvrapporteur" w:val="Ordfører: "/>
    <w:docVar w:name="dvtitre" w:val="Europa-Parlamentets beslutning af xx.xx 2026 om Kommissionens 2025-rapport om Albanien(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9A7839"/>
  <w15:chartTrackingRefBased/>
  <w15:docId w15:val="{F7137756-369A-4D18-8A9D-09501CA3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33B05"/>
    <w:pPr>
      <w:spacing w:after="240"/>
      <w:ind w:left="567" w:hanging="567"/>
    </w:pPr>
  </w:style>
  <w:style w:type="paragraph" w:customStyle="1" w:styleId="EPComma">
    <w:name w:val="EPComma"/>
    <w:basedOn w:val="Normal"/>
    <w:rsid w:val="00C33B05"/>
    <w:pPr>
      <w:spacing w:before="480" w:after="240"/>
    </w:pPr>
  </w:style>
  <w:style w:type="character" w:styleId="Hyperlink">
    <w:name w:val="Hyperlink"/>
    <w:basedOn w:val="DefaultParagraphFont"/>
    <w:unhideWhenUsed/>
    <w:rsid w:val="00C33B05"/>
    <w:rPr>
      <w:color w:val="0563C1" w:themeColor="hyperlink"/>
      <w:u w:val="single"/>
    </w:rPr>
  </w:style>
  <w:style w:type="character" w:customStyle="1" w:styleId="NormalHanging12aChar">
    <w:name w:val="NormalHanging12a Char"/>
    <w:basedOn w:val="DefaultParagraphFont"/>
    <w:link w:val="NormalHanging12a"/>
    <w:rsid w:val="00C33B05"/>
    <w:rPr>
      <w:sz w:val="24"/>
      <w:lang w:val="da-DK"/>
    </w:rPr>
  </w:style>
  <w:style w:type="paragraph" w:styleId="Revision">
    <w:name w:val="Revision"/>
    <w:hidden/>
    <w:uiPriority w:val="99"/>
    <w:semiHidden/>
    <w:rsid w:val="00C51247"/>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4946</Words>
  <Characters>33282</Characters>
  <Application>Microsoft Office Word</Application>
  <DocSecurity>0</DocSecurity>
  <Lines>277</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2026-06-17T14:04:00Z</dcterms:created>
  <dcterms:modified xsi:type="dcterms:W3CDTF">2026-06-17T14:04:00Z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A10-0141/2026</vt:lpwstr>
  </property>
  <property fmtid="{D5CDD505-2E9C-101B-9397-08002B2CF9AE}" pid="4" name="&lt;Type&gt;">
    <vt:lpwstr>RR</vt:lpwstr>
  </property>
</Properties>
</file>