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C912955" w14:textId="77777777" w:rsidTr="0010095E">
        <w:tblPrEx>
          <w:tblW w:w="9072" w:type="dxa"/>
          <w:tblLook w:val="01E0"/>
        </w:tblPrEx>
        <w:trPr>
          <w:trHeight w:hRule="exact" w:val="1418"/>
        </w:trPr>
        <w:tc>
          <w:tcPr>
            <w:tcW w:w="6804" w:type="dxa"/>
            <w:shd w:val="clear" w:color="auto" w:fill="auto"/>
            <w:vAlign w:val="center"/>
          </w:tcPr>
          <w:p w:rsidR="00751A4A" w:rsidRPr="005D3C5F" w:rsidP="0010095E" w14:paraId="3F75F560" w14:textId="77777777">
            <w:pPr>
              <w:pStyle w:val="EPName"/>
            </w:pPr>
            <w:r w:rsidRPr="005D3C5F">
              <w:t>Ευρωπαϊκό Κοινοβούλιο</w:t>
            </w:r>
          </w:p>
          <w:p w:rsidR="00751A4A" w:rsidRPr="005D3C5F" w:rsidP="005F1B17" w14:paraId="2B5346C8" w14:textId="77777777">
            <w:pPr>
              <w:pStyle w:val="EPTerm"/>
              <w:rPr>
                <w:rStyle w:val="HideTWBExt"/>
                <w:noProof w:val="0"/>
                <w:vanish w:val="0"/>
                <w:color w:val="auto"/>
              </w:rPr>
            </w:pPr>
            <w:r w:rsidRPr="005D3C5F">
              <w:t>2024</w:t>
            </w:r>
            <w:r w:rsidRPr="005D3C5F" w:rsidR="00817416">
              <w:t>-202</w:t>
            </w:r>
            <w:r w:rsidRPr="005D3C5F">
              <w:t>9</w:t>
            </w:r>
          </w:p>
        </w:tc>
        <w:tc>
          <w:tcPr>
            <w:tcW w:w="2268" w:type="dxa"/>
            <w:shd w:val="clear" w:color="auto" w:fill="auto"/>
          </w:tcPr>
          <w:p w:rsidR="00751A4A" w:rsidRPr="005D3C5F" w:rsidP="0010095E" w14:paraId="34CF3781" w14:textId="77777777">
            <w:pPr>
              <w:pStyle w:val="EPLogo"/>
            </w:pPr>
            <w:r w:rsidRPr="005D3C5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D3C5F" w:rsidP="004C5D52" w14:paraId="37EB50B6" w14:textId="77777777">
      <w:pPr>
        <w:pStyle w:val="LineTop"/>
      </w:pPr>
    </w:p>
    <w:p w:rsidR="00680577" w:rsidRPr="005D3C5F" w:rsidP="00680577" w14:paraId="59841DBF" w14:textId="77777777">
      <w:pPr>
        <w:pStyle w:val="EPBodyTA1"/>
      </w:pPr>
      <w:r w:rsidRPr="005D3C5F">
        <w:t>ΚΕΙΜΕΝΑ ΠΟΥ ΕΓΚΡΙΘΗΚΑΝ</w:t>
      </w:r>
    </w:p>
    <w:p w:rsidR="00D058B8" w:rsidRPr="005D3C5F" w:rsidP="00D058B8" w14:paraId="3C761B1A" w14:textId="77777777">
      <w:pPr>
        <w:pStyle w:val="LineBottom"/>
      </w:pPr>
    </w:p>
    <w:p w:rsidR="00F75944" w:rsidRPr="00BE3AEE" w:rsidP="00F75944" w14:paraId="19FA91CF" w14:textId="4E78C432">
      <w:pPr>
        <w:pStyle w:val="ATHeading1"/>
      </w:pPr>
      <w:bookmarkStart w:id="0" w:name="TANumber"/>
      <w:r w:rsidRPr="005D3C5F">
        <w:t>P10_TA(2026)0</w:t>
      </w:r>
      <w:r w:rsidRPr="008E79B1" w:rsidR="00BE3AEE">
        <w:t>217</w:t>
      </w:r>
      <w:bookmarkEnd w:id="0"/>
    </w:p>
    <w:p w:rsidR="00F75944" w:rsidRPr="005D3C5F" w:rsidP="00F75944" w14:paraId="3CB8721D" w14:textId="77777777">
      <w:pPr>
        <w:pStyle w:val="ATHeading2"/>
      </w:pPr>
      <w:bookmarkStart w:id="1" w:name="title"/>
      <w:r w:rsidRPr="005D3C5F">
        <w:t>Έκθεση της Επιτροπής του 2025 για την Αλβανία</w:t>
      </w:r>
      <w:bookmarkEnd w:id="1"/>
    </w:p>
    <w:p w:rsidR="00F75944" w:rsidRPr="005D3C5F" w:rsidP="00F75944" w14:paraId="0AFE9A0E" w14:textId="77777777">
      <w:pPr>
        <w:rPr>
          <w:i/>
          <w:vanish/>
        </w:rPr>
      </w:pPr>
      <w:r>
        <w:rPr>
          <w:i/>
        </w:rPr>
        <w:fldChar w:fldCharType="begin"/>
      </w:r>
      <w:r w:rsidRPr="005D3C5F">
        <w:rPr>
          <w:i/>
        </w:rPr>
        <w:instrText xml:space="preserve"> TC"(</w:instrText>
      </w:r>
      <w:bookmarkStart w:id="2" w:name="DocNumber"/>
      <w:r w:rsidRPr="005D3C5F">
        <w:rPr>
          <w:i/>
        </w:rPr>
        <w:instrText>A10-0141/2026</w:instrText>
      </w:r>
      <w:bookmarkEnd w:id="2"/>
      <w:r w:rsidRPr="005D3C5F">
        <w:rPr>
          <w:i/>
        </w:rPr>
        <w:instrText xml:space="preserve"> - Εισηγητής: Andreas Schieder)"\l3 \n&gt; \* MERGEFORMAT </w:instrText>
      </w:r>
      <w:r>
        <w:rPr>
          <w:i/>
        </w:rPr>
        <w:fldChar w:fldCharType="end"/>
      </w:r>
    </w:p>
    <w:p w:rsidR="00F75944" w:rsidRPr="005D3C5F" w:rsidP="00F75944" w14:paraId="6468C48E" w14:textId="77777777">
      <w:pPr>
        <w:rPr>
          <w:vanish/>
        </w:rPr>
      </w:pPr>
      <w:bookmarkStart w:id="3" w:name="Commission"/>
      <w:r w:rsidRPr="005D3C5F">
        <w:rPr>
          <w:vanish/>
        </w:rPr>
        <w:t>Επιτροπή Εξωτερικών Υποθέσεων</w:t>
      </w:r>
      <w:bookmarkEnd w:id="3"/>
    </w:p>
    <w:p w:rsidR="00F75944" w:rsidRPr="005D3C5F" w:rsidP="00F75944" w14:paraId="224961A4" w14:textId="77777777">
      <w:pPr>
        <w:rPr>
          <w:vanish/>
        </w:rPr>
      </w:pPr>
      <w:bookmarkStart w:id="4" w:name="PE"/>
      <w:r w:rsidRPr="005D3C5F">
        <w:rPr>
          <w:vanish/>
        </w:rPr>
        <w:t>PE784.259</w:t>
      </w:r>
      <w:bookmarkEnd w:id="4"/>
    </w:p>
    <w:p w:rsidR="00F75944" w:rsidRPr="005D3C5F" w:rsidP="00F75944" w14:paraId="74339330" w14:textId="193B6791">
      <w:pPr>
        <w:pStyle w:val="ATHeading3"/>
      </w:pPr>
      <w:bookmarkStart w:id="5" w:name="Sujet"/>
      <w:r w:rsidRPr="005D3C5F">
        <w:t xml:space="preserve">Ψήφισμα του Ευρωπαϊκού Κοινοβουλίου της </w:t>
      </w:r>
      <w:r w:rsidR="00D555A1">
        <w:t xml:space="preserve">17ης </w:t>
      </w:r>
      <w:r w:rsidR="009E43F3">
        <w:t xml:space="preserve">Ιουνίου </w:t>
      </w:r>
      <w:r w:rsidRPr="005D3C5F">
        <w:t>2026 σχετικά με την έκθεση της Επιτροπής του 2025 για την Αλβανία</w:t>
      </w:r>
      <w:bookmarkEnd w:id="5"/>
      <w:r w:rsidRPr="005D3C5F">
        <w:t xml:space="preserve"> </w:t>
      </w:r>
      <w:bookmarkStart w:id="6" w:name="References"/>
      <w:r w:rsidRPr="005D3C5F">
        <w:t>(2025/2250(INI))</w:t>
      </w:r>
      <w:bookmarkEnd w:id="6"/>
    </w:p>
    <w:p w:rsidR="005F1D83" w:rsidRPr="005D3C5F" w:rsidP="005F1D83" w14:paraId="42193882" w14:textId="77777777">
      <w:pPr>
        <w:pStyle w:val="EPComma"/>
      </w:pPr>
      <w:r w:rsidRPr="005D3C5F">
        <w:rPr>
          <w:i/>
          <w:iCs/>
        </w:rPr>
        <w:t>Το Ευρωπαϊκό Κοινοβούλιο,</w:t>
      </w:r>
    </w:p>
    <w:p w:rsidR="005F1D83" w:rsidRPr="005D3C5F" w:rsidP="005F1D83" w14:paraId="5C9999BC" w14:textId="77777777">
      <w:pPr>
        <w:pStyle w:val="NormalHanging12a"/>
      </w:pPr>
      <w:r w:rsidRPr="005D3C5F">
        <w:t>–</w:t>
      </w:r>
      <w:r w:rsidRPr="005D3C5F">
        <w:tab/>
        <w:t>έχοντας υπόψη τη συμφωνία σταθεροποίησης και σύνδεσης μεταξύ των Ευρωπαϊκών Κοινοτήτων και των κρατών μελών τους, αφενός, και της Δημοκρατίας της Αλβανίας, αφετέρου</w:t>
      </w:r>
      <w:r>
        <w:rPr>
          <w:vertAlign w:val="superscript"/>
        </w:rPr>
        <w:footnoteReference w:id="2"/>
      </w:r>
      <w:r w:rsidRPr="005D3C5F">
        <w:t>,</w:t>
      </w:r>
    </w:p>
    <w:p w:rsidR="005F1D83" w:rsidRPr="005D3C5F" w:rsidP="005F1D83" w14:paraId="0BAB9838" w14:textId="77777777">
      <w:pPr>
        <w:pStyle w:val="NormalHanging12a"/>
      </w:pPr>
      <w:r w:rsidRPr="005D3C5F">
        <w:t>–</w:t>
      </w:r>
      <w:r w:rsidRPr="005D3C5F">
        <w:tab/>
        <w:t>έχοντας υπόψη την αίτηση που υπέβαλε η Αλβανία στις 24 Απριλίου 2009 για προσχώρηση στην ΕΕ,</w:t>
      </w:r>
    </w:p>
    <w:p w:rsidR="005F1D83" w:rsidRPr="005D3C5F" w:rsidP="005F1D83" w14:paraId="50FB446E" w14:textId="77777777">
      <w:pPr>
        <w:pStyle w:val="NormalHanging12a"/>
      </w:pPr>
      <w:r w:rsidRPr="005D3C5F">
        <w:t>–</w:t>
      </w:r>
      <w:r w:rsidRPr="005D3C5F">
        <w:tab/>
        <w:t>έχοντας υπόψη τον κανονισμό (ΕΕ) 2021/1529 του Ευρωπαϊκού Κοινοβουλίου και του Συμβουλίου, της 15ης Σεπτεμβρίου 2021, για τη θέσπιση του Μηχανισμού Προενταξιακής Βοήθειας (ΜΠΒ ΙΙΙ)</w:t>
      </w:r>
      <w:r>
        <w:rPr>
          <w:vertAlign w:val="superscript"/>
        </w:rPr>
        <w:footnoteReference w:id="3"/>
      </w:r>
      <w:r w:rsidRPr="005D3C5F">
        <w:t>,</w:t>
      </w:r>
    </w:p>
    <w:p w:rsidR="005F1D83" w:rsidRPr="005D3C5F" w:rsidP="005F1D83" w14:paraId="527D109E" w14:textId="77777777">
      <w:pPr>
        <w:pStyle w:val="NormalHanging12a"/>
      </w:pPr>
      <w:r w:rsidRPr="005D3C5F">
        <w:t>–</w:t>
      </w:r>
      <w:r w:rsidRPr="005D3C5F">
        <w:tab/>
        <w:t>έχοντας υπόψη τον κανονισμό (ΕΕ) 2024/1449 του Ευρωπαϊκού Κοινοβουλίου και του Συμβουλίου, της 14ης Μαΐου 2024, για τη θέσπιση της διευκόλυνσης μεταρρυθμίσεων και ανάπτυξης για τα Δυτικά Βαλκάνια</w:t>
      </w:r>
      <w:r>
        <w:rPr>
          <w:vertAlign w:val="superscript"/>
        </w:rPr>
        <w:footnoteReference w:id="4"/>
      </w:r>
      <w:r w:rsidRPr="005D3C5F">
        <w:t>,</w:t>
      </w:r>
    </w:p>
    <w:p w:rsidR="005F1D83" w:rsidRPr="005D3C5F" w:rsidP="005F1D83" w14:paraId="22F36361" w14:textId="77777777">
      <w:pPr>
        <w:pStyle w:val="NormalHanging12a"/>
      </w:pPr>
      <w:r w:rsidRPr="005D3C5F">
        <w:t>–</w:t>
      </w:r>
      <w:r w:rsidRPr="005D3C5F">
        <w:tab/>
        <w:t>έχοντας υπόψη την ανακοίνωση της Επιτροπής, της 5ης Φεβρουαρίου 2020, με τίτλο «Ενίσχυση της διαδικασίας προσχώρησης – Μια αξιόπιστη προοπτική της ΕΕ για τα Δυτικά Βαλκάνια» (COM(2020)0057),</w:t>
      </w:r>
    </w:p>
    <w:p w:rsidR="005F1D83" w:rsidRPr="005D3C5F" w:rsidP="005F1D83" w14:paraId="6E383BE1" w14:textId="77777777">
      <w:pPr>
        <w:pStyle w:val="NormalHanging12a"/>
        <w:rPr>
          <w:bCs/>
          <w:iCs/>
          <w:szCs w:val="24"/>
        </w:rPr>
      </w:pPr>
      <w:r w:rsidRPr="005D3C5F">
        <w:t>–</w:t>
      </w:r>
      <w:r w:rsidRPr="005D3C5F">
        <w:tab/>
        <w:t>έχοντας υπόψη το διαπραγματευτικό πλαίσιο της ΕΕ με την Αλβανία που εγκρίθηκε από το Συμβούλιο τον Ιούλιο του 2022 και το οποίο καθορίζει τις κατευθυντήριες γραμμές και τις αρχές για τις ενταξιακές συνομιλίες της ΕΕ με την Αλβανία,</w:t>
      </w:r>
    </w:p>
    <w:p w:rsidR="005F1D83" w:rsidRPr="005D3C5F" w:rsidP="005F1D83" w14:paraId="7E5E170D" w14:textId="77777777">
      <w:pPr>
        <w:pStyle w:val="NormalHanging12a"/>
      </w:pPr>
      <w:r w:rsidRPr="005D3C5F">
        <w:t>–</w:t>
      </w:r>
      <w:r w:rsidRPr="005D3C5F">
        <w:tab/>
        <w:t>έχοντας υπόψη την ανακοίνωση της Επιτροπής, της 8ης Νοεμβρίου 2023, με τίτλο «Νέο σχέδιο ανάπτυξης για τα Δυτικά Βαλκάνια» (COM(2023)0691),</w:t>
      </w:r>
    </w:p>
    <w:p w:rsidR="005F1D83" w:rsidRPr="005D3C5F" w:rsidP="005F1D83" w14:paraId="7AA758B6" w14:textId="77777777">
      <w:pPr>
        <w:pStyle w:val="NormalHanging12a"/>
      </w:pPr>
      <w:r w:rsidRPr="005D3C5F">
        <w:t>–</w:t>
      </w:r>
      <w:r w:rsidRPr="005D3C5F">
        <w:tab/>
        <w:t xml:space="preserve">έχοντας υπόψη το θεματολόγιο μεταρρυθμίσεων της Αλβανίας που υποβλήθηκε στο πλαίσιο της διευκόλυνσης μεταρρυθμίσεων και ανάπτυξης της ΕΕ για τα Δυτικά </w:t>
      </w:r>
      <w:r w:rsidRPr="005D3C5F">
        <w:t>Βαλκάνια, όπως εγκρίθηκε από την Επιτροπή στις 23 Οκτωβρίου 2024,</w:t>
      </w:r>
    </w:p>
    <w:p w:rsidR="005F1D83" w:rsidRPr="005D3C5F" w:rsidP="005F1D83" w14:paraId="01033C3A" w14:textId="77777777">
      <w:pPr>
        <w:pStyle w:val="NormalHanging12a"/>
      </w:pPr>
      <w:r w:rsidRPr="005D3C5F">
        <w:t>–</w:t>
      </w:r>
      <w:r w:rsidRPr="005D3C5F">
        <w:tab/>
        <w:t xml:space="preserve">έχοντας υπόψη την ανακοίνωση της Επιτροπής, της 8ης Ιουλίου 2025, με τίτλο «Έκθεση του 2025 για το κράτος δικαίου» (COM(2025)0900), και το συνοδευτικό υπηρεσιακό έγγραφο εργασίας της Επιτροπής με τίτλο «2025 </w:t>
      </w:r>
      <w:r w:rsidRPr="005D3C5F">
        <w:t>Rule</w:t>
      </w:r>
      <w:r w:rsidRPr="005D3C5F">
        <w:t xml:space="preserve"> of Law </w:t>
      </w:r>
      <w:r w:rsidRPr="005D3C5F">
        <w:t>Report</w:t>
      </w:r>
      <w:r w:rsidRPr="005D3C5F">
        <w:t xml:space="preserve"> – </w:t>
      </w:r>
      <w:r w:rsidRPr="005D3C5F">
        <w:t>Country</w:t>
      </w:r>
      <w:r w:rsidRPr="005D3C5F">
        <w:t xml:space="preserve"> </w:t>
      </w:r>
      <w:r w:rsidRPr="005D3C5F">
        <w:t>Chapter</w:t>
      </w:r>
      <w:r w:rsidRPr="005D3C5F">
        <w:t xml:space="preserve"> on the </w:t>
      </w:r>
      <w:r w:rsidRPr="005D3C5F">
        <w:t>rule</w:t>
      </w:r>
      <w:r w:rsidRPr="005D3C5F">
        <w:t xml:space="preserve"> of </w:t>
      </w:r>
      <w:r w:rsidRPr="005D3C5F">
        <w:t>law</w:t>
      </w:r>
      <w:r w:rsidRPr="005D3C5F">
        <w:t xml:space="preserve"> </w:t>
      </w:r>
      <w:r w:rsidRPr="005D3C5F">
        <w:t>situation</w:t>
      </w:r>
      <w:r w:rsidRPr="005D3C5F">
        <w:t xml:space="preserve"> in </w:t>
      </w:r>
      <w:r w:rsidRPr="005D3C5F">
        <w:t>Albania</w:t>
      </w:r>
      <w:r w:rsidRPr="005D3C5F">
        <w:t>» (Έκθεση του 2025 για το κράτος δικαίου – Κεφάλαιο για την κατάσταση του κράτους δικαίου στην Αλβανία) (SWD(2025)0928),</w:t>
      </w:r>
    </w:p>
    <w:p w:rsidR="005F1D83" w:rsidRPr="005D3C5F" w:rsidP="005F1D83" w14:paraId="742A2527" w14:textId="0FB8B3CC">
      <w:pPr>
        <w:pStyle w:val="NormalHanging12a"/>
      </w:pPr>
      <w:r w:rsidRPr="005D3C5F">
        <w:t>–</w:t>
      </w:r>
      <w:r w:rsidRPr="005D3C5F">
        <w:tab/>
        <w:t xml:space="preserve">έχοντας υπόψη την ανακοίνωση της Επιτροπής, της 4ης Νοεμβρίου 2025, με τίτλο «Ανακοίνωση σχετικά με την πολιτική διεύρυνσης της ΕΕ 2025» </w:t>
      </w:r>
      <w:r w:rsidR="009E43F3">
        <w:t>(</w:t>
      </w:r>
      <w:r w:rsidRPr="005D3C5F">
        <w:t>COM(2025)0690</w:t>
      </w:r>
      <w:r w:rsidR="009E43F3">
        <w:t>)</w:t>
      </w:r>
      <w:r w:rsidRPr="005D3C5F">
        <w:t>, και το συνοδευτικό έγγραφο εργασίας των υπηρεσιών της Επιτροπής, με τίτλο «Έκθεση του 2025 για την Αλβανία (SWD(2025)0750),</w:t>
      </w:r>
    </w:p>
    <w:p w:rsidR="005F1D83" w:rsidRPr="005D3C5F" w:rsidP="005F1D83" w14:paraId="0FE05031" w14:textId="77777777">
      <w:pPr>
        <w:pStyle w:val="NormalHanging12a"/>
      </w:pPr>
      <w:r w:rsidRPr="005D3C5F">
        <w:t>–</w:t>
      </w:r>
      <w:r w:rsidRPr="005D3C5F">
        <w:tab/>
        <w:t>έχοντας υπόψη την τελική έκθεση της 23ης Οκτωβρίου 2025 της αποστολής παρακολούθησης εκλογών του Γραφείου Δημοκρατικών Θεσμών και Ανθρωπίνων Δικαιωμάτων (ΓΔΘΑΔ) του Οργανισμού για την Ασφάλεια και τη Συνεργασία στην Ευρώπη σχετικά με τις τοπικές εκλογές στην Αλβανία στις 11 Μαΐου 2025,</w:t>
      </w:r>
    </w:p>
    <w:p w:rsidR="005F1D83" w:rsidRPr="005D3C5F" w:rsidP="005F1D83" w14:paraId="2B7132F5" w14:textId="77777777">
      <w:pPr>
        <w:pStyle w:val="NormalHanging12a"/>
      </w:pPr>
      <w:r w:rsidRPr="005D3C5F">
        <w:t>–</w:t>
      </w:r>
      <w:r w:rsidRPr="005D3C5F">
        <w:tab/>
        <w:t>έχοντας υπόψη τη δήλωση από τη σύνοδο κορυφής ΕΕ–Δυτικών Βαλκανίων που πραγματοποιήθηκε στις Βρυξέλλες στις 17 Δεκεμβρίου 2025,</w:t>
      </w:r>
    </w:p>
    <w:p w:rsidR="005F1D83" w:rsidRPr="005D3C5F" w:rsidP="005F1D83" w14:paraId="30BC9B99" w14:textId="77777777">
      <w:pPr>
        <w:pStyle w:val="NormalHanging12a"/>
        <w:rPr>
          <w:bCs/>
          <w:iCs/>
          <w:szCs w:val="24"/>
        </w:rPr>
      </w:pPr>
      <w:r w:rsidRPr="005D3C5F">
        <w:t>–</w:t>
      </w:r>
      <w:r w:rsidRPr="005D3C5F">
        <w:tab/>
        <w:t xml:space="preserve">έχοντας υπόψη τις συνόδους κορυφής ΕΕ-Δυτικών Βαλκανίων, που πραγματοποιήθηκαν στη Σόφια, στο Ζάγκρεμπ και στο </w:t>
      </w:r>
      <w:r w:rsidRPr="005D3C5F">
        <w:t>Brdo</w:t>
      </w:r>
      <w:r w:rsidRPr="005D3C5F">
        <w:t xml:space="preserve"> </w:t>
      </w:r>
      <w:r w:rsidRPr="005D3C5F">
        <w:t>pri</w:t>
      </w:r>
      <w:r w:rsidRPr="005D3C5F">
        <w:t xml:space="preserve"> </w:t>
      </w:r>
      <w:r w:rsidRPr="005D3C5F">
        <w:t>Kranju</w:t>
      </w:r>
      <w:r w:rsidRPr="005D3C5F">
        <w:t xml:space="preserve"> το 2018, το 2020 και το 2021 αντίστοιχα, και τις δηλώσεις τους,</w:t>
      </w:r>
    </w:p>
    <w:p w:rsidR="005F1D83" w:rsidRPr="005D3C5F" w:rsidP="005F1D83" w14:paraId="4EAA1812" w14:textId="77777777">
      <w:pPr>
        <w:pStyle w:val="NormalHanging12a"/>
      </w:pPr>
      <w:r w:rsidRPr="005D3C5F">
        <w:t>–</w:t>
      </w:r>
      <w:r w:rsidRPr="005D3C5F">
        <w:tab/>
        <w:t>έχοντας υπόψη τα προηγούμενα ψηφίσματά του σχετικά με την Αλβανία,</w:t>
      </w:r>
    </w:p>
    <w:p w:rsidR="005F1D83" w:rsidRPr="005D3C5F" w:rsidP="005F1D83" w14:paraId="6E6A3C0F" w14:textId="11794AA2">
      <w:pPr>
        <w:pStyle w:val="NormalHanging12a"/>
      </w:pPr>
      <w:r w:rsidRPr="005D3C5F">
        <w:t>–</w:t>
      </w:r>
      <w:r w:rsidRPr="005D3C5F">
        <w:tab/>
        <w:t xml:space="preserve">έχοντας υπόψη το ψήφισμά του της 11ης </w:t>
      </w:r>
      <w:r w:rsidR="00A1462B">
        <w:t>Μαρτίου</w:t>
      </w:r>
      <w:r w:rsidRPr="005D3C5F">
        <w:t xml:space="preserve"> 2026 σχετικά με τη στρατηγική διεύρυνσης της ΕΕ</w:t>
      </w:r>
      <w:r>
        <w:rPr>
          <w:rStyle w:val="FootnoteReference"/>
        </w:rPr>
        <w:footnoteReference w:id="5"/>
      </w:r>
      <w:r w:rsidRPr="005D3C5F">
        <w:t>,</w:t>
      </w:r>
    </w:p>
    <w:p w:rsidR="005F1D83" w:rsidRPr="005D3C5F" w:rsidP="005F1D83" w14:paraId="7C8EFD43" w14:textId="77777777">
      <w:pPr>
        <w:pStyle w:val="NormalHanging12a"/>
      </w:pPr>
      <w:r w:rsidRPr="005D3C5F">
        <w:t>–</w:t>
      </w:r>
      <w:r w:rsidRPr="005D3C5F">
        <w:tab/>
        <w:t>έχοντας υπόψη τον ετήσιο δείκτη αντίληψης της διαφθοράς για το 2025 που δημοσίευσε η Διεθνής Διαφάνεια τον Φεβρουάριο του 2026,</w:t>
      </w:r>
    </w:p>
    <w:p w:rsidR="005F1D83" w:rsidRPr="005D3C5F" w:rsidP="005F1D83" w14:paraId="1496F040" w14:textId="77777777">
      <w:pPr>
        <w:pStyle w:val="NormalHanging12a"/>
      </w:pPr>
      <w:r w:rsidRPr="005D3C5F">
        <w:t>–</w:t>
      </w:r>
      <w:r w:rsidRPr="005D3C5F">
        <w:tab/>
        <w:t>έχοντας υπόψη τον Παγκόσμιο Δείκτη Ελευθερίας του Τύπου για το 2025 που δημοσιεύθηκε από τους Δημοσιογράφους Χωρίς Σύνορα τον Μάρτιο του 2025,</w:t>
      </w:r>
    </w:p>
    <w:p w:rsidR="005F1D83" w:rsidRPr="005D3C5F" w:rsidP="005F1D83" w14:paraId="7D8B72EE" w14:textId="77777777">
      <w:pPr>
        <w:pStyle w:val="NormalHanging12a"/>
        <w:rPr>
          <w:bCs/>
          <w:iCs/>
          <w:szCs w:val="24"/>
        </w:rPr>
      </w:pPr>
      <w:r w:rsidRPr="005D3C5F">
        <w:t>–</w:t>
      </w:r>
      <w:r w:rsidRPr="005D3C5F">
        <w:tab/>
        <w:t>έχοντας υπόψη την έκθεση του Παγκόσμιου Οικονομικού Φόρουμ, της 11ης Ιουνίου 2025, με τίτλο «</w:t>
      </w:r>
      <w:r w:rsidRPr="005D3C5F">
        <w:t>Global</w:t>
      </w:r>
      <w:r w:rsidRPr="005D3C5F">
        <w:t xml:space="preserve"> </w:t>
      </w:r>
      <w:r w:rsidRPr="005D3C5F">
        <w:t>Gender</w:t>
      </w:r>
      <w:r w:rsidRPr="005D3C5F">
        <w:t xml:space="preserve"> </w:t>
      </w:r>
      <w:r w:rsidRPr="005D3C5F">
        <w:t>Gap</w:t>
      </w:r>
      <w:r w:rsidRPr="005D3C5F">
        <w:t xml:space="preserve"> </w:t>
      </w:r>
      <w:r w:rsidRPr="005D3C5F">
        <w:t>Report</w:t>
      </w:r>
      <w:r w:rsidRPr="005D3C5F">
        <w:t xml:space="preserve"> 2025» (Παγκόσμια έκθεση για το χάσμα των φύλων 2025),</w:t>
      </w:r>
    </w:p>
    <w:p w:rsidR="005F1D83" w:rsidRPr="005D3C5F" w:rsidP="005F1D83" w14:paraId="69C510B1" w14:textId="77777777">
      <w:pPr>
        <w:pStyle w:val="NormalHanging12a"/>
      </w:pPr>
      <w:r w:rsidRPr="005D3C5F">
        <w:t>–</w:t>
      </w:r>
      <w:r w:rsidRPr="005D3C5F">
        <w:tab/>
        <w:t>έχοντας υπόψη το άρθρο 55 του Κανονισμού του,</w:t>
      </w:r>
    </w:p>
    <w:p w:rsidR="005F1D83" w:rsidRPr="005D3C5F" w:rsidP="005F1D83" w14:paraId="481E366F" w14:textId="77777777">
      <w:pPr>
        <w:pStyle w:val="NormalHanging12a"/>
      </w:pPr>
      <w:r w:rsidRPr="005D3C5F">
        <w:t>–</w:t>
      </w:r>
      <w:r w:rsidRPr="005D3C5F">
        <w:tab/>
        <w:t>έχοντας υπόψη την έκθεση της Επιτροπής Εξωτερικών Υποθέσεων (A10-0141/2026),</w:t>
      </w:r>
    </w:p>
    <w:p w:rsidR="005F1D83" w:rsidRPr="005D3C5F" w:rsidP="005F1D83" w14:paraId="4A1B1BE3" w14:textId="77777777">
      <w:pPr>
        <w:pStyle w:val="NormalHanging12a"/>
      </w:pPr>
      <w:r w:rsidRPr="005D3C5F">
        <w:t>Α.</w:t>
      </w:r>
      <w:r w:rsidRPr="005D3C5F">
        <w:tab/>
        <w:t>λαμβάνοντας υπόψη ότι η διεύρυνση της ΕΕ παραμένει στρατηγική επένδυση στην ειρήνη, την ασφάλεια, τη σταθερότητα και τη δημοκρατική και κοινωνικοοικονομική ανάπτυξη σε ολόκληρη την ευρωπαϊκή ήπειρο·</w:t>
      </w:r>
    </w:p>
    <w:p w:rsidR="005F1D83" w:rsidRPr="005D3C5F" w:rsidP="005F1D83" w14:paraId="0D09ABF5" w14:textId="77777777">
      <w:pPr>
        <w:pStyle w:val="NormalHanging12a"/>
      </w:pPr>
      <w:r w:rsidRPr="005D3C5F">
        <w:t>Β.</w:t>
      </w:r>
      <w:r w:rsidRPr="005D3C5F">
        <w:tab/>
        <w:t xml:space="preserve">λαμβάνοντας υπόψη ότι η Αλβανία έχει διατηρήσει έναν σαφή και συνεκτικό </w:t>
      </w:r>
      <w:r w:rsidRPr="005D3C5F">
        <w:t>στρατηγικό προσανατολισμό να γίνει μέλος της ΕΕ και έχει επιδείξει πλήρη ευθυγράμμιση με την κοινή εξωτερική πολιτική και πολιτική ασφάλειας της ΕΕ, μεταξύ άλλων όσον αφορά τα περιοριστικά μέτρα της ΕΕ κατά της Ρωσίας και της Λευκορωσίας και στηρίζοντας την Ουκρανία στις ψηφοφορίες επί των ψηφισμάτων της Γενικής Συνέλευσης των Ηνωμένων Εθνών·</w:t>
      </w:r>
    </w:p>
    <w:p w:rsidR="005F1D83" w:rsidRPr="005D3C5F" w:rsidP="005F1D83" w14:paraId="47169D56" w14:textId="3BD65667">
      <w:pPr>
        <w:pStyle w:val="NormalHanging12a"/>
      </w:pPr>
      <w:r w:rsidRPr="005D3C5F">
        <w:t>Γ.</w:t>
      </w:r>
      <w:r w:rsidRPr="005D3C5F">
        <w:tab/>
        <w:t>λαμβάνοντας υπόψη το 2014 χορηγήθηκε στην Αλβανία το καθεστώς της υποψήφιας προς ένταξη στην ΕΕ χώρας και ότι η Αλβανία ξεκίνησε ενταξιακές διαπραγματεύσεις τον Ιούλιο του 2022, ολοκλήρωσε επιτυχώς τη διαδικασία ελέγχου τον Νοέμβριο του 2023 και άνοιξε όλες τις ομάδες διαπραγματευτικών κεφαλαίων μεταξύ της 15ης</w:t>
      </w:r>
      <w:r w:rsidR="00D555A1">
        <w:t> </w:t>
      </w:r>
      <w:r w:rsidRPr="005D3C5F">
        <w:t>Οκτωβρίου 2024 και της 17ης Νοεμβρίου 2025·</w:t>
      </w:r>
    </w:p>
    <w:p w:rsidR="005F1D83" w:rsidRPr="005D3C5F" w:rsidP="005F1D83" w14:paraId="499EC315" w14:textId="77777777">
      <w:pPr>
        <w:pStyle w:val="NormalHanging12a"/>
      </w:pPr>
      <w:r w:rsidRPr="005D3C5F">
        <w:t>Δ.</w:t>
      </w:r>
      <w:r w:rsidRPr="005D3C5F">
        <w:tab/>
        <w:t xml:space="preserve">λαμβάνοντας υπόψη ότι η έκθεση της Επιτροπής του 2025 για την Αλβανία επιβεβαιώνει ότι η χώρα εξακολουθεί να σημειώνει πρόοδο στους περισσότερους τομείς που σχετίζονται με την προσχώρηση, υπογραμμίζοντας παράλληλα την ανάγκη για βαθύτερες, </w:t>
      </w:r>
      <w:r w:rsidRPr="005D3C5F">
        <w:t>συνεκτικότερες</w:t>
      </w:r>
      <w:r w:rsidRPr="005D3C5F">
        <w:t xml:space="preserve"> και μη αναστρέψιμες μεταρρυθμίσεις·</w:t>
      </w:r>
    </w:p>
    <w:p w:rsidR="005F1D83" w:rsidRPr="005D3C5F" w:rsidP="005F1D83" w14:paraId="6AAEEA79" w14:textId="77777777">
      <w:pPr>
        <w:pStyle w:val="NormalHanging12a"/>
        <w:rPr>
          <w:bCs/>
          <w:iCs/>
        </w:rPr>
      </w:pPr>
      <w:r w:rsidRPr="005D3C5F">
        <w:t>Ε.</w:t>
      </w:r>
      <w:r w:rsidRPr="005D3C5F">
        <w:tab/>
        <w:t>λαμβάνοντας υπόψη ότι η αξιοπιστία της διαδικασίας διεύρυνσης της ΕΕ εξαρτάται από την αυστηρή αιρεσιμότητα, την αξιοκρατική πρόοδο και την αποτελεσματική εφαρμογή των μεταρρυθμίσεων και όχι μόνο από την τυπική έκδοση νομοθεσίας· λαμβάνοντας υπόψη ότι η προσχώρηση της Αλβανίας στην ΕΕ εξαρτάται από διαρκείς, εις βάθος και μη αναστρέψιμες μεταρρυθμίσεις στους τομείς που καλύπτονται από την ομάδα κεφαλαίων «Θεμελιώδη πεδία», αρχής γενομένης από το κράτος δικαίου και τη λειτουργία των δημοκρατικών θεσμών· λαμβάνοντας υπόψη ότι η ποιότητα των μεταρρυθμίσεων που πραγματοποιεί μια χώρα καθορίζει το χρονοδιάγραμμα προσχώρησης·</w:t>
      </w:r>
    </w:p>
    <w:p w:rsidR="005F1D83" w:rsidRPr="005D3C5F" w:rsidP="005F1D83" w14:paraId="536608BC" w14:textId="77777777">
      <w:pPr>
        <w:pStyle w:val="NormalHanging12a"/>
      </w:pPr>
      <w:r w:rsidRPr="005D3C5F">
        <w:t>ΣΤ.</w:t>
      </w:r>
      <w:r w:rsidRPr="005D3C5F">
        <w:tab/>
        <w:t>λαμβάνοντας υπόψη ότι η ενίσχυση των δημοκρατικών θεσμών, της ανεξαρτησίας της δικαιοσύνης, των προσπαθειών για την καταπολέμηση της διαφθοράς, της ελευθερίας των μέσων ενημέρωσης και των θεμελιωδών δικαιωμάτων, συμπεριλαμβανομένων των δικαιωμάτων των μειονοτήτων παραμένει απαραίτητη για την ενταξιακή πορεία της Αλβανίας·</w:t>
      </w:r>
    </w:p>
    <w:p w:rsidR="005F1D83" w:rsidRPr="005D3C5F" w:rsidP="005F1D83" w14:paraId="0C69F9E7" w14:textId="77777777">
      <w:pPr>
        <w:pStyle w:val="NormalHanging12a"/>
        <w:rPr>
          <w:bCs/>
          <w:iCs/>
        </w:rPr>
      </w:pPr>
      <w:r w:rsidRPr="005D3C5F">
        <w:t>Ζ.</w:t>
      </w:r>
      <w:r w:rsidRPr="005D3C5F">
        <w:tab/>
        <w:t>λαμβάνοντας υπόψη ότι η διασφάλιση της ακεραιότητας των δημοκρατικών διαδικασιών έχει καταστεί κεντρικό στοιχείο της πολιτικής διεύρυνσης της ΕΕ· λαμβάνοντας υπόψη ότι, τον Ιούλιο του 2025, το αλβανικό κοινοβούλιο ενέκρινε την πρώτη εθνική στρατηγική της χώρας κατά των εξωτερικών παρεμβάσεων και της παραπληροφόρησης·</w:t>
      </w:r>
    </w:p>
    <w:p w:rsidR="005F1D83" w:rsidRPr="005D3C5F" w:rsidP="005F1D83" w14:paraId="58A4D215" w14:textId="77777777">
      <w:pPr>
        <w:pStyle w:val="NormalHanging12a"/>
      </w:pPr>
      <w:r w:rsidRPr="005D3C5F">
        <w:t>Η.</w:t>
      </w:r>
      <w:r w:rsidRPr="005D3C5F">
        <w:tab/>
        <w:t>λαμβάνοντας υπόψη ότι οι συστάσεις του Γραφείου Δημοκρατικών Θεσμών και Ανθρωπίνων Δικαιωμάτων του ΟΑΣΕ (ODIHR) της 23ης Οκτωβρίου 2025, οι οποίες ακολούθησαν τις βουλευτικές εκλογές της Αλβανίας στις 11 Μαΐου 2025, και οι προηγούμενες συστάσεις του ODIHR για περαιτέρω βελτίωση της διεξαγωγής εκλογών στην Αλβανία, δεν έχουν ακόμη ληφθεί πλήρως υπόψη·</w:t>
      </w:r>
    </w:p>
    <w:p w:rsidR="005F1D83" w:rsidRPr="005D3C5F" w:rsidP="008E79B1" w14:paraId="461C4E30" w14:textId="4D622434">
      <w:pPr>
        <w:pStyle w:val="NormalHanging12a"/>
        <w:ind w:hanging="570"/>
      </w:pPr>
      <w:r w:rsidRPr="005D3C5F">
        <w:t>1.</w:t>
      </w:r>
      <w:r w:rsidRPr="005D3C5F">
        <w:tab/>
      </w:r>
      <w:r w:rsidRPr="005D3C5F">
        <w:t xml:space="preserve">χαιρετίζει την εξαιρετική δέσμευση της Αλβανίας για ένταξη στην ΕΕ, με βάση τη συναίνεση μεταξύ όλων των πολιτικών κομμάτων της και τη συντριπτική υποστήριξη των πολιτών, και επαινεί το γεγονός ότι η Αλβανία άνοιξε όλες τις ομάδες διαπραγματευτικών κεφαλαίων μέσα σε μόλις 13 μήνες· σημειώνει ότι η στήριξη των Αλβανών πολιτών για την ένταξη στην ΕΕ παραμένει σταθερά υψηλή και αντικατοπτρίζει τις ισχυρές ευρωπαϊκές φιλοδοξίες της αλβανικής κοινωνίας· </w:t>
      </w:r>
      <w:r w:rsidRPr="005D3C5F">
        <w:t>ενθαρρύνει τη χώρα να διατηρήσει την τρέχουσα δυναμική όσον αφορά τις μεταρρυθμίσεις και να συνεχίσει την ευθυγράμμισή της με το κεκτημένο της ΕΕ, τονίζοντας ότι η πρόοδος που σημειώνει η Αλβανία στην ευρωπαϊκή της πορεία συμβάλλει στη σταθερότητα, την ασφάλεια και την ανθεκτικότητα στην ευρωπαϊκή ήπειρο·</w:t>
      </w:r>
    </w:p>
    <w:p w:rsidR="005F1D83" w:rsidRPr="005D3C5F" w:rsidP="008E79B1" w14:paraId="46F06A1E" w14:textId="6E910B0F">
      <w:pPr>
        <w:pStyle w:val="NormalHanging12a"/>
        <w:ind w:hanging="570"/>
      </w:pPr>
      <w:r w:rsidRPr="005D3C5F">
        <w:t>2.</w:t>
      </w:r>
      <w:r w:rsidRPr="005D3C5F">
        <w:tab/>
      </w:r>
      <w:r w:rsidRPr="005D3C5F">
        <w:t>σημειώνει τη φιλοδοξία της Αλβανίας να ολοκληρώσει τις ενταξιακές διαπραγματεύσεις έως το τέλος του 2027 και χαιρετίζει την ταχεία πρόοδο που έχει σημειωθεί τα τελευταία χρόνια εν προκειμένω· τονίζει την ανάγκη να διασφαλιστεί η ενδελεχής εφαρμογή της νομοθεσίας από τις αλβανικές αρχές·</w:t>
      </w:r>
    </w:p>
    <w:p w:rsidR="005F1D83" w:rsidRPr="005D3C5F" w:rsidP="008E79B1" w14:paraId="1023E335" w14:textId="4620ACC6">
      <w:pPr>
        <w:pStyle w:val="NormalHanging12a"/>
        <w:ind w:hanging="570"/>
      </w:pPr>
      <w:r w:rsidRPr="005D3C5F">
        <w:t>3.</w:t>
      </w:r>
      <w:r w:rsidRPr="005D3C5F">
        <w:tab/>
      </w:r>
      <w:r w:rsidRPr="005D3C5F">
        <w:t xml:space="preserve">σημειώνει ότι τόσο η έκθεση της Επιτροπής του 2025 για την Αλβανία όσο και η έκθεση του ODIHR σχετικά με τις βουλευτικές εκλογές του Μαΐου </w:t>
      </w:r>
      <w:r w:rsidR="00D555A1">
        <w:t xml:space="preserve">του </w:t>
      </w:r>
      <w:r w:rsidRPr="005D3C5F">
        <w:t>2025 αξιολογούν το εκλογικό πλαίσιο της Αλβανίας ως επαρκές σε γενικές γραμμές για τη διεξαγωγή ανταγωνιστικών εκλογών, επαναλαμβάνοντας παράλληλα τις ανησυχίες σχετικά με τους άνισους όρους ανταγωνισμού για τους πολιτικούς παράγοντες, την κατάχρηση διοικητικών πόρων που καθιστά ασαφή τα όρια μεταξύ κρατικών θεσμών και κομματικών δομών, τη χρηματοδότηση των πολιτικών κομμάτων, τους ισχυρισμούς περί εξαγοράς ψήφων και την πίεση στους ψηφοφόρους· καλεί, ως εκ τούτου, την πολιτική πλειοψηφία της Αλβανίας και την αντιπολίτευση να επιδιώξουν εποικοδομητικά και συμπεριληπτικά μια συνολική εκλογική μεταρρύθμιση, σε στενή συνεργασία με την κοινωνία των πολιτών, και να εφαρμόσουν πλήρως τις εκκρεμείς συστάσεις του ODIHR και της Επιτροπής της Βενετίας πολύ πριν από τους μελλοντικούς εκλογικούς κύκλους· τονίζει ότι η μεταρρύθμιση αυτή θα πρέπει να ενισχύσει το εκλογικό πλαίσιο, μεταξύ άλλων, όσον αφορά τη διαφάνεια της χρηματοδότησης των προεκλογικών εκστρατειών, την ισότιμη πρόσβαση στα μέσα ενημέρωσης και τις διασφαλίσεις κατά της κατάχρησης των διοικητικών πόρων, και να εξασφαλίσει την αποτελεσματική επιβολή του πλαισίου· υπογραμμίζει ότι η ευρεία πολιτική συναίνεση και η ουσιαστική υλοποίηση αυτών των μεταρρυθμίσεων είναι καίριας σημασίας για τη διασφάλιση της εμπιστοσύνης του κοινού στις μελλοντικές εκλογές·</w:t>
      </w:r>
    </w:p>
    <w:p w:rsidR="005F1D83" w:rsidRPr="005D3C5F" w:rsidP="008E79B1" w14:paraId="4BD027B8" w14:textId="72F8995E">
      <w:pPr>
        <w:pStyle w:val="NormalHanging12a"/>
        <w:ind w:hanging="570"/>
      </w:pPr>
      <w:r w:rsidRPr="005D3C5F">
        <w:t>4.</w:t>
      </w:r>
      <w:r w:rsidRPr="005D3C5F">
        <w:tab/>
      </w:r>
      <w:r w:rsidRPr="005D3C5F">
        <w:t>εκφράζει την ανησυχία του για τη συνεχιζόμενη πολιτική πόλωση και τον συγκρουσιακό πολιτικό διάλογο, που υπονομεύουν την κοινοβουλευτική εποπτεία, την εμπιστοσύνη του κοινού και την αποτελεσματική λειτουργία των δημοκρατικών θεσμών· ενθαρρύνει τους πολιτικούς παράγοντες να συμμετάσχουν εκ νέου σε εποικοδομητικό κοινοβουλευτικό διάλογο, διασφαλίζοντας ότι το αλβανικό κοινοβούλιο παραμένει το κεντρικό φόρουμ δημοκρατικού διαλόγου και δημοκρατικής εποπτείας. υπογραμμίζει ότι μια λειτουργική δημοκρατία απαιτεί ουσιαστική συμμετοχή της αντιπολίτευσης στις κοινοβουλευτικές διαδικασίες· υπενθυμίζει ότι οι βίαιες διαμαρτυρίες δεν έχουν θέση σε μια λειτουργική δημοκρατία·</w:t>
      </w:r>
    </w:p>
    <w:p w:rsidR="005F1D83" w:rsidRPr="005D3C5F" w:rsidP="008E79B1" w14:paraId="443A9034" w14:textId="2C772CA6">
      <w:pPr>
        <w:pStyle w:val="NormalHanging12a"/>
        <w:ind w:hanging="570"/>
        <w:rPr>
          <w:b/>
          <w:bCs/>
          <w:i/>
          <w:iCs/>
        </w:rPr>
      </w:pPr>
      <w:r w:rsidRPr="005D3C5F">
        <w:t>5.</w:t>
      </w:r>
      <w:r w:rsidRPr="005D3C5F">
        <w:tab/>
      </w:r>
      <w:r w:rsidRPr="005D3C5F">
        <w:t xml:space="preserve">ενθαρρύνει τον ισχυρότερο κοινοβουλευτικό έλεγχο της εκτελεστικής εξουσίας, την ενίσχυση της διαφάνειας στις νομοθετικές διαδικασίες και την ουσιαστικότερη διαβούλευση με τις οργανώσεις της κοινωνίας των πολιτών, σε αρχικό στάδιο, τους κοινωνικούς εταίρους και τα ανεξάρτητα θεσμικά όργανα· τονίζει ότι η πρόοδος στη διαδικασία ένταξης στην ΕΕ θα πρέπει να συνεχιστεί χωρίς να διακυβεύεται η ποιότητα και η συμμετοχικότητα των μεταρρυθμίσεων· υπογραμμίζει τη σημασία της επαρκούς συμμετοχής των ενδιαφερόμενων μερών και της ανάληψης ευθύνης σε εθνικό επίπεδο, προκειμένου να διασφαλιστεί η βιώσιμη εφαρμογή και ο διαρκής αντίκτυπος· τονίζει τη σημασία της ενίσχυσης του ρόλου και των ικανοτήτων των κοινοβουλευτικών </w:t>
      </w:r>
      <w:r w:rsidRPr="005D3C5F">
        <w:t>επιτροπών της Αλβανίας, μεταξύ άλλων μέσω βελτιωμένης πρόσβασης σε πληροφορίες, υποστήριξης από εμπειρογνώμονες και διαφανών νομοθετικών διαδικασιών.</w:t>
      </w:r>
    </w:p>
    <w:p w:rsidR="005F1D83" w:rsidRPr="005D3C5F" w:rsidP="005F1D83" w14:paraId="15BAFEB3" w14:textId="77777777">
      <w:pPr>
        <w:pStyle w:val="NormalHanging12a"/>
        <w:rPr>
          <w:b/>
          <w:bCs/>
          <w:i/>
          <w:iCs/>
        </w:rPr>
      </w:pPr>
      <w:r w:rsidRPr="005D3C5F">
        <w:rPr>
          <w:b/>
          <w:i/>
        </w:rPr>
        <w:t>Κράτος δικαίου, δικαιοσύνη και καταπολέμηση της διαφθοράς</w:t>
      </w:r>
    </w:p>
    <w:p w:rsidR="005F1D83" w:rsidRPr="005D3C5F" w:rsidP="008E79B1" w14:paraId="41C9CA68" w14:textId="6FF53174">
      <w:pPr>
        <w:pStyle w:val="NormalHanging12a"/>
        <w:ind w:hanging="570"/>
      </w:pPr>
      <w:r w:rsidRPr="005D3C5F">
        <w:t>6.</w:t>
      </w:r>
      <w:r w:rsidRPr="005D3C5F">
        <w:tab/>
      </w:r>
      <w:r w:rsidRPr="005D3C5F">
        <w:t>εκφράζει την ικανοποίησή του για τη συνεχιζόμενη εφαρμογή της διαδικασίας μεταρρύθμισης της δικαιοσύνης της Αλβανίας, συμπεριλαμβανομένου του ελέγχου των δικαστών και των εισαγγελέων, η οποία έχει συμβάλει στην αύξηση της λογοδοσίας και της ακεραιότητας του δικαστικού σώματος της χώρας· συγχαίρει το Ανώτατο Δικαστικό Συμβούλιο για τους νέους διορισμούς δικαστών, συμβάλλοντας στη μείωση του αριθμού κενών θέσεων· υπογραμμίζει ότι η διασφάλιση της ανεξαρτησίας της δικαιοσύνης παραμένει απαραίτητη για το κράτος δικαίου, παράλληλα με τις συνεχείς προσπάθειες για την περαιτέρω ενίσχυση της λογοδοσίας, της ποιότητας και της αποτελεσματικότητας του δικαστικού σώματος·</w:t>
      </w:r>
      <w:r w:rsidRPr="005D3C5F">
        <w:rPr>
          <w:b/>
          <w:i/>
        </w:rPr>
        <w:t xml:space="preserve"> </w:t>
      </w:r>
      <w:r w:rsidRPr="005D3C5F">
        <w:t>σημειώνει, ωστόσο, τις επίμονες προκλήσεις που σχετίζονται με την αποτελεσματικότητα της δικαιοσύνης, την αποτελεσματική επιβολή των τελεσίδικων δικαστικών αποφάσεων, τις συσσωρευμένες εκκρεμείς υποθέσεις, τη συνοχή της νομολογίας και τις απόπειρες άσκησης αθέμιτης επιρροής·</w:t>
      </w:r>
    </w:p>
    <w:p w:rsidR="005F1D83" w:rsidRPr="005D3C5F" w:rsidP="008E79B1" w14:paraId="7566C627" w14:textId="75A9036C">
      <w:pPr>
        <w:pStyle w:val="NormalHanging12a"/>
        <w:ind w:hanging="570"/>
      </w:pPr>
      <w:r w:rsidRPr="005D3C5F">
        <w:t>7.</w:t>
      </w:r>
      <w:r w:rsidRPr="005D3C5F">
        <w:tab/>
      </w:r>
      <w:r w:rsidRPr="005D3C5F">
        <w:t>υπενθυμίζει ότι η βουλευτική ασυλία αποτελεί μέρος του συνταγματικού πλαισίου της Αλβανίας που έχει σχεδιαστεί για τη διασφάλιση της ορθής λειτουργίας των δημοκρατικών θεσμών· τονίζει ότι οποιεσδήποτε σχετικές αποφάσεις θα πρέπει να λαμβάνονται αυστηρά σύμφωνα με τις συνταγματικές διατάξεις και τις καθιερωμένες νομικές διαδικασίες, χωρίς πολιτικές παρεμβάσεις και χωρίς περιττή καθυστέρηση·</w:t>
      </w:r>
    </w:p>
    <w:p w:rsidR="005F1D83" w:rsidRPr="005D3C5F" w:rsidP="008E79B1" w14:paraId="02CCC639" w14:textId="392C5AED">
      <w:pPr>
        <w:pStyle w:val="NormalHanging12a"/>
        <w:ind w:hanging="570"/>
        <w:rPr>
          <w:bCs/>
          <w:iCs/>
        </w:rPr>
      </w:pPr>
      <w:r w:rsidRPr="005D3C5F">
        <w:t>8.</w:t>
      </w:r>
      <w:r w:rsidRPr="005D3C5F">
        <w:tab/>
      </w:r>
      <w:r w:rsidRPr="005D3C5F">
        <w:t>συγχαίρει τις αλβανικές αρχές για τη συνεχή βελτίωση της αποτελεσματικότητας του Συνταγματικού Δικαστηρίου της· ζητεί, ωστόσο, την περαιτέρω ενίσχυση των ευρύτερων οργάνων δικαστικής διακυβέρνησης και την πραγματοποίηση βιώσιμων επενδύσεων στις δικαστικές υποδομές και την ψηφιοποίηση· υπενθυμίζει ότι το δικαστικό σώμα εξακολουθεί να αντιμετωπίζει πολιτικές πιέσεις και απειλές που ενέχουν τον κίνδυνο υπονόμευσης της ανεξαρτησίας της δικαιοσύνης· υπογραμμίζει τη σημασία της έγκαιρης και πλήρους εφαρμογής των αποφάσεων του Συνταγματικού Δικαστηρίου τόσο από την εκτελεστική όσο και από τη νομοθετική εξουσία, ως ουσιώδους στοιχείου του κράτους δικαίου και της θεσμικής ισορροπίας·</w:t>
      </w:r>
    </w:p>
    <w:p w:rsidR="005F1D83" w:rsidRPr="005D3C5F" w:rsidP="008E79B1" w14:paraId="04DD3C85" w14:textId="256BF1EA">
      <w:pPr>
        <w:pStyle w:val="NormalHanging12a"/>
        <w:ind w:hanging="570"/>
        <w:rPr>
          <w:bCs/>
          <w:iCs/>
        </w:rPr>
      </w:pPr>
      <w:r w:rsidRPr="005D3C5F">
        <w:t>9.</w:t>
      </w:r>
      <w:r w:rsidRPr="005D3C5F">
        <w:tab/>
      </w:r>
      <w:r w:rsidRPr="005D3C5F">
        <w:t xml:space="preserve">εκφράζει τη λύπη του για το γεγονός ότι, σύμφωνα με την κατάταξη του δείκτη αντίληψης της διαφθοράς της Διεθνούς Διαφάνειας για το 2025, η Αλβανία έχει βρεθεί στην 91η θέση, σε σύγκριση με την 80ή θέση που κατείχε το 2024· τονίζει ότι η διαφθορά εξακολουθεί να αποτελεί σοβαρή ανησυχία και ότι, παρά την πρόοδο που έχει επιτύχει όσο αφορά το νομικό και το θεσμικό πλαίσιό της, η Αλβανία πρέπει να αυξήσει περαιτέρω τη σχετική αστυνομική ικανότητα και να εδραιώσει περαιτέρω τις επιδόσεις της όσον αφορά τις έρευνες, τις διώξεις και τις τελεσίδικες καταδικαστικές αποφάσεις, ιδίως σε υποθέσεις διαφθοράς υψηλού επιπέδου· εκφράζει την ικανοποίησή του για την έγκριση βασικής νομοθεσίας για την καταπολέμηση της διαφθοράς, μεταξύ άλλων σχετικά με την προστασία των μαρτύρων δημοσίου συμφέροντος και τη σύγκρουση συμφερόντων, και ζητεί την πλήρη εφαρμογή της· εκφράζει την ικανοποίησή του για το συνεχιζόμενο έργο των εξειδικευμένων θεσμικών οργάνων και οργανισμών κατά της διαφθοράς για την καταπολέμηση του οργανωμένου εγκλήματος, συμπεριλαμβανομένης της ειδικής δομής κατά της διαφθοράς και του οργανωμένου εγκλήματος (SPAK), και ζητεί να διασφαλιστούν η διαρκής ανεξαρτησία τους και η </w:t>
      </w:r>
      <w:r w:rsidRPr="005D3C5F">
        <w:t>επάρκεια των πόρων και της επιχειρησιακής τους ικανότητας, χωρίς να τεθούν όρια στις ερευνητικές εξουσίες τους ή να υπονομευθεί το έργο τους· ζητεί να ενταθούν οι προσπάθειες για να διασφαλιστεί ο αποτελεσματικός εντοπισμός, η δέσμευση, η δήμευση και η διαχείριση περιουσιακών στοιχείων εγκληματικής προέλευσης, μεταξύ άλλων μέσω συστηματικών χρηματοοικονομικών ερευνών, βελτιωμένης διυπηρεσιακής και διασυνοριακής συνεργασίας και πλήρους χρήσης των εργαλείων δήμευσης σύμφωνα με τα θεμελιώδη δικαιώματα·</w:t>
      </w:r>
    </w:p>
    <w:p w:rsidR="005F1D83" w:rsidRPr="005D3C5F" w:rsidP="008E79B1" w14:paraId="36677C8E" w14:textId="4A1BBE9A">
      <w:pPr>
        <w:pStyle w:val="NormalHanging12a"/>
        <w:ind w:hanging="570"/>
      </w:pPr>
      <w:r w:rsidRPr="005D3C5F">
        <w:t>10.</w:t>
      </w:r>
      <w:r w:rsidRPr="005D3C5F">
        <w:tab/>
      </w:r>
      <w:r w:rsidRPr="005D3C5F">
        <w:t>επιμένει ότι η διαφθορά πρέπει να αντιμετωπιστεί σε όλα τα επίπεδα, ώστε να ενισχυθεί η εμπιστοσύνη των πολιτών στους κρατικούς θεσμούς και να καταστεί δυνατό ένα προβλέψιμο επιχειρηματικό περιβάλλον· ζητεί ενισχυμένη διαφάνεια, ελέγχους σύγκρουσης συμφερόντων, εκτιμήσεις κινδύνου για την ακεραιότητα και στοχευμένα προληπτικά μέτρα σε τομείς υψηλού κινδύνου και ιδίως στους τομείς των δημόσιων συμβάσεων και των συμβάσεων παραχώρησης, της αδειοδότησης και των επιθεωρήσεων, καθώς και των κατασκευών και του χωροταξικού σχεδιασμού·</w:t>
      </w:r>
    </w:p>
    <w:p w:rsidR="005F1D83" w:rsidRPr="005D3C5F" w:rsidP="008E79B1" w14:paraId="3B2233EF" w14:textId="36E35409">
      <w:pPr>
        <w:pStyle w:val="NormalHanging12a"/>
        <w:ind w:hanging="570"/>
      </w:pPr>
      <w:r w:rsidRPr="005D3C5F">
        <w:t>11.</w:t>
      </w:r>
      <w:r w:rsidRPr="005D3C5F">
        <w:tab/>
      </w:r>
      <w:r w:rsidRPr="005D3C5F">
        <w:t>καλεί την Αλβανία να επιτύχει αποφασιστική πρόοδο στην πρώτη εγγραφή των περιουσιών και τη δίκαιη, κοινώς αποδεκτή αποζημίωση, βελτιώνοντας τη διαφάνεια του κρατικού κτηματολογίου και την ποιότητα των κτηματολογικών δεδομένων του μητρώου ακινήτων, και να διασφαλίσει τον σεβασμό του δικαιώματος σε δίκαιη δίκη και του δικαιώματος σε αποτελεσματική ένδικη προστασία σε περιπτώσεις απαλλοτρίωσης και αφαίρεσης ακινήτων·</w:t>
      </w:r>
    </w:p>
    <w:p w:rsidR="005F1D83" w:rsidRPr="005D3C5F" w:rsidP="008E79B1" w14:paraId="2A2F3902" w14:textId="1CEFCEF5">
      <w:pPr>
        <w:pStyle w:val="NormalHanging12a"/>
        <w:ind w:hanging="570"/>
        <w:rPr>
          <w:bCs/>
          <w:iCs/>
        </w:rPr>
      </w:pPr>
      <w:r w:rsidRPr="005D3C5F">
        <w:t>12.</w:t>
      </w:r>
      <w:r w:rsidRPr="005D3C5F">
        <w:tab/>
      </w:r>
      <w:r w:rsidRPr="005D3C5F">
        <w:t xml:space="preserve">τονίζει τη σημασία της αποτελεσματικής καταπολέμησης του οργανωμένου εγκλήματος, συμπεριλαμβανομένων των δικτύων νομιμοποίησης εσόδων από παράνομες δραστηριότητες και διακίνησης ναρκωτικών, και ζητεί να ενταθεί η συνεργασία με οργανισμούς της ΕΕ, όπως η </w:t>
      </w:r>
      <w:r w:rsidRPr="005D3C5F">
        <w:t>Ευρωπόλ</w:t>
      </w:r>
      <w:r w:rsidRPr="005D3C5F">
        <w:t xml:space="preserve"> και η </w:t>
      </w:r>
      <w:r w:rsidRPr="005D3C5F">
        <w:t>Eurojust</w:t>
      </w:r>
      <w:r w:rsidRPr="005D3C5F">
        <w:t>· καλεί τις αρχές να επιταχύνουν τις προσπάθειες για την ευθυγράμμιση του νομικού πλαισίου της Αλβανίας για το οργανωμένο έγκλημα με το κεκτημένο της ΕΕ, να ενισχύσουν την ικανότητα επιβολής του νόμου και να βελτιώσουν την αποτελεσματικότητα των ερευνών·</w:t>
      </w:r>
    </w:p>
    <w:p w:rsidR="005F1D83" w:rsidRPr="005D3C5F" w:rsidP="008E79B1" w14:paraId="70AACBC1" w14:textId="63E9D727">
      <w:pPr>
        <w:pStyle w:val="NormalHanging12a"/>
        <w:ind w:hanging="570"/>
      </w:pPr>
      <w:r w:rsidRPr="005D3C5F">
        <w:t>13.</w:t>
      </w:r>
      <w:r w:rsidRPr="005D3C5F">
        <w:tab/>
      </w:r>
      <w:r w:rsidRPr="005D3C5F">
        <w:t>εκφράζει την ικανοποίησή του για το γεγονός ότι οι τράπεζες στην Αλβανία άρχισαν επίσημα να εκτελούν διασυνοριακές συναλλαγές σε ευρώ μέσω του συστήματος SEPA· συγχαίρει τις αλβανικές αρχές για τις σημαντικές προσπάθειές τους για την καταπολέμηση της νομιμοποίησης εσόδων από παράνομες δραστηριότητες με την έγκριση της εθνικής στρατηγικής για την πρόληψη της νομιμοποίησης εσόδων από παράνομες δραστηριότητες και της χρηματοδότησης της τρομοκρατίας 2024-2030· σημειώνει την πρωτοβουλία «</w:t>
      </w:r>
      <w:r w:rsidRPr="005D3C5F">
        <w:t>Cashless</w:t>
      </w:r>
      <w:r w:rsidRPr="005D3C5F">
        <w:t xml:space="preserve"> </w:t>
      </w:r>
      <w:r w:rsidRPr="005D3C5F">
        <w:t>Albania</w:t>
      </w:r>
      <w:r w:rsidRPr="005D3C5F">
        <w:t xml:space="preserve"> 2030», η οποία αποσκοπεί στην αντιμετώπιση του υψηλού επιπέδου άτυπης επιχειρηματικής δραστηριότητας και παράνομων ταμειακών ροών·</w:t>
      </w:r>
    </w:p>
    <w:p w:rsidR="005F1D83" w:rsidRPr="005D3C5F" w:rsidP="005F1D83" w14:paraId="635796A2" w14:textId="77777777">
      <w:pPr>
        <w:pStyle w:val="NormalHanging12a"/>
        <w:rPr>
          <w:b/>
          <w:bCs/>
          <w:i/>
          <w:iCs/>
        </w:rPr>
      </w:pPr>
      <w:r w:rsidRPr="005D3C5F">
        <w:rPr>
          <w:b/>
          <w:i/>
        </w:rPr>
        <w:t xml:space="preserve">Θεμελιώδη δικαιώματα και </w:t>
      </w:r>
      <w:r w:rsidRPr="005D3C5F">
        <w:rPr>
          <w:b/>
          <w:i/>
        </w:rPr>
        <w:t>ελευθερίa</w:t>
      </w:r>
      <w:r w:rsidRPr="005D3C5F">
        <w:rPr>
          <w:b/>
          <w:i/>
        </w:rPr>
        <w:t xml:space="preserve"> στα μέσα ενημέρωσης</w:t>
      </w:r>
    </w:p>
    <w:p w:rsidR="005F1D83" w:rsidRPr="005D3C5F" w:rsidP="008E79B1" w14:paraId="323AB7DE" w14:textId="7D709AA6">
      <w:pPr>
        <w:pStyle w:val="NormalHanging12a"/>
        <w:ind w:hanging="570"/>
        <w:rPr>
          <w:bCs/>
          <w:iCs/>
        </w:rPr>
      </w:pPr>
      <w:r w:rsidRPr="005D3C5F">
        <w:t>14.</w:t>
      </w:r>
      <w:r w:rsidRPr="005D3C5F">
        <w:tab/>
      </w:r>
      <w:r w:rsidRPr="005D3C5F">
        <w:t xml:space="preserve">εκφράζει την ικανοποίησή του για το γεγονός ότι, στον Παγκόσμιο Δείκτη Ελευθερίας του Τύπου για το 2025 που δημοσίευσαν οι Δημοσιογράφοι Χωρίς Σύνορα, η Αλβανία έχει ανέβη από την 99η θέση το 2024 στην 80η θέση το 2025· ζητεί να καταβληθούν περαιτέρω προσπάθειες για την προστασία της ελευθερίας της έκφρασης και της πολυφωνίας των μέσων ενημέρωσης στην Αλβανία, συμπεριλαμβανομένων της μεγαλύτερης διαφάνειας των πιθανών συγκρούσεων συμφερόντων των ιδιοκτητών των μέσων ενημέρωσης, των διασφαλίσεων κατά της πολιτικής και οικονομικής πίεσης που </w:t>
      </w:r>
      <w:r w:rsidRPr="005D3C5F">
        <w:t>ασκείται στους δημοσιογράφους και της αποτελεσματικής διερεύνησης απειλών και επιθέσεων κατά επαγγελματιών των μέσων ενημέρωσης· ζητεί επίσης αυξημένη διαφάνεια των δομών ιδιοκτησίας των μέσων ενημέρωσης και διαφανή κατανομή της κρατικής διαφήμισης, προκειμένου να διασφαλιστεί η συντακτική ανεξαρτησία και η πολυφωνία των μέσων ενημέρωσης·</w:t>
      </w:r>
    </w:p>
    <w:p w:rsidR="005F1D83" w:rsidRPr="005D3C5F" w:rsidP="008E79B1" w14:paraId="11AC9286" w14:textId="2ABF06B2">
      <w:pPr>
        <w:pStyle w:val="NormalHanging12a"/>
        <w:ind w:hanging="570"/>
        <w:rPr>
          <w:bCs/>
          <w:iCs/>
        </w:rPr>
      </w:pPr>
      <w:r w:rsidRPr="005D3C5F">
        <w:t>15.</w:t>
      </w:r>
      <w:r w:rsidRPr="005D3C5F">
        <w:tab/>
      </w:r>
      <w:r w:rsidRPr="005D3C5F">
        <w:t xml:space="preserve">καταδικάζει απερίφραστα την εχθρότητα έναντι ανεξάρτητων δημοσιογράφων και επαγγελματιών των μέσων ενημέρωσης στην Αλβανία, μεταξύ άλλων με λεκτικές επιθέσεις και ρητορική κατά των μέσων ενημέρωσης από υψηλόβαθμους αξιωματούχους, εκστρατείες δυσφήμισης, και </w:t>
      </w:r>
      <w:r w:rsidRPr="005D3C5F">
        <w:t>μισογυνιστική</w:t>
      </w:r>
      <w:r w:rsidRPr="005D3C5F">
        <w:t xml:space="preserve"> διαδικτυακή παρενόχληση, συχνά με στόχο δημοσιογράφους που καλύπτουν θέματα κράτους δικαίου, διαφθοράς και δικαιοσύνης· εκφράζει, επιπλέον, την ανησυχία του για τον υψηλό αριθμό αγωγών κατά δημοσιογράφων· εκφράζει την ικανοποίησή του για τις πρόσφατες αλλαγές στον ποινικό κώδικα της Αλβανίας· εκφράζει, ωστόσο, τη λύπη του για το γεγονός ότι δεν έχουν οδηγήσει στην πλήρη αποποινικοποίηση της δυσφήμισης και της προσβολής, σύμφωνα με τα ενωσιακά και διεθνή πρότυπα·</w:t>
      </w:r>
    </w:p>
    <w:p w:rsidR="005F1D83" w:rsidRPr="005D3C5F" w:rsidP="008E79B1" w14:paraId="247DCE1C" w14:textId="590EE048">
      <w:pPr>
        <w:pStyle w:val="NormalHanging12a"/>
        <w:ind w:hanging="570"/>
      </w:pPr>
      <w:r w:rsidRPr="005D3C5F">
        <w:t>16.</w:t>
      </w:r>
      <w:r w:rsidRPr="005D3C5F">
        <w:tab/>
      </w:r>
      <w:r w:rsidRPr="005D3C5F">
        <w:t>καλεί τις αλβανικές αρχές να προωθήσουν τον γραμματισμό στα μέσα ενημέρωσης και τον ψηφιακό γραμματισμό ως συμπληρωματικό μέτρο για την ενίσχυση της ανθεκτικότητας του περιβάλλοντος πληροφοριών, μεταξύ άλλων με την ενσωμάτωση πρωτοβουλιών γραμματισμού στα μέσα ενημέρωσης σε ολόκληρο το εκπαιδευτικό σύστημα, τη στήριξη της κατάρτισης των εκπαιδευτικών και των σύγχρονων μαθησιακών πόρων και την ενίσχυση της συνεργασίας με ανεξάρτητα μέσα ενημέρωσης και σχετικά προγράμματα της ΕΕ για την προώθηση της κριτικής σκέψης και της υπεύθυνης ψηφιακής συμμετοχής·</w:t>
      </w:r>
    </w:p>
    <w:p w:rsidR="005F1D83" w:rsidRPr="005D3C5F" w:rsidP="008E79B1" w14:paraId="0958E131" w14:textId="4E922E81">
      <w:pPr>
        <w:pStyle w:val="NormalHanging12a"/>
        <w:ind w:hanging="570"/>
      </w:pPr>
      <w:r w:rsidRPr="005D3C5F">
        <w:t>17.</w:t>
      </w:r>
      <w:r w:rsidRPr="005D3C5F">
        <w:tab/>
      </w:r>
      <w:r w:rsidRPr="005D3C5F">
        <w:t>ενθαρρύνει την Αλβανία να ενισχύσει το θεσμικό πλαίσιο για την προστασία και την προώθηση των δικαιωμάτων των εθνικών και θρησκευτικών μειονοτήτων και των ευάλωτων ομάδων, συμπεριλαμβανομένων των Ρομά και των Αιγυπτίων, των ατόμων με αναπηρία, των διακινούμενων εργαζομένων και των ατόμων ΛΟΑΤΚΙ+, και να διασφαλίσει την αποτελεσματική εφαρμογή της νομοθεσίας κατά των διακρίσεων και τη βελτιωμένη πρόσβαση των εθνικών και θρησκευτικών μειονοτήτων και των ευάλωτων ομάδων σε δημόσιες υπηρεσίες και την ουσιαστική συμμετοχή τους στην κοινωνική, οικονομική και πολιτική ζωή· εκφράζει την ανησυχία του για τη ρητορική κατά των έμφυλων δικαιωμάτων στον πολιτικό λόγο της Αλβανίας· σημειώνει ότι η ενίσχυση του θεσμικού πλαισίου για την προστασία των δικαιωμάτων των μειονοτήτων πρέπει να συνοδεύεται από αποτελεσματικά μέτρα που διασφαλίζουν την πλήρη και ουσιαστική εφαρμογή των δικαιωμάτων αυτών στην πράξη·</w:t>
      </w:r>
    </w:p>
    <w:p w:rsidR="005F1D83" w:rsidRPr="005D3C5F" w:rsidP="008E79B1" w14:paraId="31C3C02F" w14:textId="4E4BD75F">
      <w:pPr>
        <w:pStyle w:val="NormalHanging12a"/>
        <w:ind w:hanging="570"/>
      </w:pPr>
      <w:r w:rsidRPr="005D3C5F">
        <w:t>18.</w:t>
      </w:r>
      <w:r w:rsidRPr="005D3C5F">
        <w:tab/>
      </w:r>
      <w:r w:rsidRPr="005D3C5F">
        <w:t>καλεί τις αλβανικές αρχές να διασφαλίσουν τη βιώσιμη πρόσβαση στην εκπαίδευση σε μειονοτικές γλώσσες για τις αναγνωρισμένες εθνικές μειονότητες και να στηρίξουν την αντίστοιχη κατάρτιση των εκπαιδευτικών, την ανάπτυξη σχολικών βιβλίων και τη διατήρηση της πολιτιστικής ταυτότητας·</w:t>
      </w:r>
    </w:p>
    <w:p w:rsidR="005F1D83" w:rsidRPr="005D3C5F" w:rsidP="008E79B1" w14:paraId="3DB0AB6F" w14:textId="7626EC80">
      <w:pPr>
        <w:pStyle w:val="NormalHanging12a"/>
        <w:ind w:hanging="570"/>
        <w:rPr>
          <w:bCs/>
          <w:iCs/>
        </w:rPr>
      </w:pPr>
      <w:r w:rsidRPr="005D3C5F">
        <w:t>19.</w:t>
      </w:r>
      <w:r w:rsidRPr="005D3C5F">
        <w:tab/>
      </w:r>
      <w:r w:rsidRPr="005D3C5F">
        <w:t xml:space="preserve">συγχαίρει την έγκριση στην Αλβανία του νόμου για την ισότητα των φύλων, ο οποίος συνάδει με το κεκτημένο της ΕΕ και τα διεθνή πρότυπα για τα ανθρώπινα δικαιώματα· εκφράζει, ωστόσο, ανησυχία για τα κύματα παραπληροφόρησης και μίσους κατά των ατόμων ΛΟΑΤΚΙ+, συμπεριλαμβανομένων εκστρατειών δυσφήμισης κατά του έργου των οργανώσεων της κοινωνίας των πολιτών που εργάζονται για την ισότητα των ατόμων ΛΟΑΤΚΙ+· καλεί τις αλβανικές αρχές να καταστήσουν υπόλογα ενώπιον του νόμου τα άτομα που διαδίδουν ρητορική που εισάγει διακρίσεις· καλεί την αλβανική </w:t>
      </w:r>
      <w:r w:rsidRPr="005D3C5F">
        <w:t>κυβέρνηση να καταρτίσει νομικά μέτρα, όπως η καταχωρημένη συντροφική σχέση, για την αναγνώριση και την προστασία των ομόφυλων ζευγαριών, σύμφωνα με τη δέσμευση που έχει αναλάβει στο εθνικό σχέδιο δράσης για τα άτομα ΛΟΑΔΜ 2021-2027, και προκειμένου να ευθυγραμμιστεί η νομοθεσία της Αλβανίας για τα ανθρώπινα δικαιώματα με το κεκτημένο της ΕΕ·</w:t>
      </w:r>
    </w:p>
    <w:p w:rsidR="005F1D83" w:rsidRPr="005D3C5F" w:rsidP="008E79B1" w14:paraId="3DAD8B6E" w14:textId="4011639A">
      <w:pPr>
        <w:pStyle w:val="NormalHanging12a"/>
        <w:ind w:hanging="570"/>
        <w:rPr>
          <w:bCs/>
          <w:iCs/>
        </w:rPr>
      </w:pPr>
      <w:r w:rsidRPr="005D3C5F">
        <w:t>20.</w:t>
      </w:r>
      <w:r w:rsidRPr="005D3C5F">
        <w:tab/>
      </w:r>
      <w:r w:rsidRPr="005D3C5F">
        <w:t xml:space="preserve">εκφράζει ικανοποίηση για την αναγνώριση της μακροχρόνιας ιστορικής παρουσίας της βουλγαρικής κοινότητας σε περιοχές όπως οι Πρέσπες, το </w:t>
      </w:r>
      <w:r w:rsidRPr="005D3C5F">
        <w:t>Gollobordë</w:t>
      </w:r>
      <w:r w:rsidRPr="005D3C5F">
        <w:t xml:space="preserve"> και το </w:t>
      </w:r>
      <w:r w:rsidRPr="005D3C5F">
        <w:t>Gora</w:t>
      </w:r>
      <w:r w:rsidRPr="005D3C5F">
        <w:t>, και ενθαρρύνει τις αλβανικές αρχές να διασφαλίσουν τον πλήρη σεβασμό των γλωσσικών, πολιτιστικών και εκπαιδευτικών δικαιωμάτων τόσο της εν λόγω κοινότητας όσο και άλλων αναγνωρισμένων εθνικών μειονοτήτων της Αλβανίας·</w:t>
      </w:r>
    </w:p>
    <w:p w:rsidR="005F1D83" w:rsidRPr="008E79B1" w:rsidP="008E79B1" w14:paraId="45CAC717" w14:textId="4463B486">
      <w:pPr>
        <w:pStyle w:val="NormalHanging12a"/>
        <w:ind w:hanging="570"/>
      </w:pPr>
      <w:r w:rsidRPr="008E79B1">
        <w:t>21.</w:t>
      </w:r>
      <w:r w:rsidRPr="008E79B1">
        <w:tab/>
      </w:r>
      <w:r w:rsidRPr="005D3C5F">
        <w:t>αποδοκιμάζει τα επίμονα ζητήματα διακρίσεων και κοινωνικού αποκλεισμού που πλήττουν μειονοτικές ομάδες στην Αλβανία, ιδίως όσον αφορά την πρόσβαση στην εκπαίδευση, την απασχόληση και τις δημόσιες υπηρεσίες· καλεί την αλβανική κυβέρνηση να ευθυγραμμίσει πλήρως τις πολιτικές κατά των διακρίσεων και τα δικαιώματα των μειονοτήτων με το κεκτημένο της ΕΕ· υπογραμμίζει την ανάγκη βελτίωσης της πρόσβασης στη δικαιοσύνη και της πολιτικής συμμετοχής, ιδίως για τις ευάλωτες και περιθωριοποιημένες ομάδες·</w:t>
      </w:r>
    </w:p>
    <w:p w:rsidR="00BE3AEE" w:rsidRPr="005D3C5F" w:rsidP="008E79B1" w14:paraId="03464EEA" w14:textId="7F99A534">
      <w:pPr>
        <w:pStyle w:val="NormalHanging12a"/>
        <w:ind w:hanging="570"/>
      </w:pPr>
      <w:r w:rsidRPr="005D3C5F">
        <w:t>22.</w:t>
      </w:r>
      <w:r w:rsidRPr="005D3C5F">
        <w:tab/>
      </w:r>
      <w:r w:rsidRPr="00BE3AEE">
        <w:t>αναγνωρίζει ότι η ελληνική εθνική μειονότητα διατηρεί την ισχυρή ιστορική της παρουσία, ιδίως στη Νότια Αλβανία, και καλεί την Αλβανία να διασφαλίσει την προστασία του δικαιώματος ιδιοκτησίας·</w:t>
      </w:r>
    </w:p>
    <w:p w:rsidR="005F1D83" w:rsidRPr="005D3C5F" w:rsidP="008E79B1" w14:paraId="0F4485D0" w14:textId="173C4E6F">
      <w:pPr>
        <w:pStyle w:val="NormalHanging12a"/>
        <w:ind w:hanging="570"/>
      </w:pPr>
      <w:r w:rsidRPr="005D3C5F">
        <w:t>23.</w:t>
      </w:r>
      <w:r w:rsidRPr="005D3C5F">
        <w:tab/>
      </w:r>
      <w:r w:rsidRPr="005D3C5F">
        <w:t>τονίζει επίσης τη σημασία της διατήρησης χώρων μνήμης που σχετίζονται με την κομμουνιστική δικτατορία και της στήριξης πρωτοβουλιών μνήμης και εκπαιδευτικών πρωτοβουλιών που προωθούν την ιστορική ευαισθητοποίηση και ενισχύουν τον δημοκρατικό πολιτισμό, ιδίως μεταξύ των νεότερων γενεών·</w:t>
      </w:r>
    </w:p>
    <w:p w:rsidR="005F1D83" w:rsidRPr="005D3C5F" w:rsidP="008E79B1" w14:paraId="52CE48D7" w14:textId="7E0EC22E">
      <w:pPr>
        <w:pStyle w:val="NormalHanging12a"/>
        <w:ind w:hanging="570"/>
      </w:pPr>
      <w:r w:rsidRPr="005D3C5F">
        <w:t>24.</w:t>
      </w:r>
      <w:r w:rsidRPr="005D3C5F">
        <w:tab/>
      </w:r>
      <w:r w:rsidRPr="005D3C5F">
        <w:t>χαιρετίζει τη δυναμική και εποικοδομητική κοινωνία των πολιτών της Αλβανίας, η οποία διαδραματίζει καίριο και θετικό ρόλο στη μεταρρυθμιστική διαδικασία· ενθαρρύνει την αλβανική κυβέρνηση να οικοδομήσει σχέσεις συνεργασίας, εξασφαλίζοντας πραγματικά τη συμμετοχή της κοινωνίας των πολιτών σε μια διαφανή νομοθετική διαδικασία από τα πρώτα στάδια· εκφράζει, ωστόσο, τη λύπη του για το γεγονός ότι οι οργανώσεις της κοινωνίας των πολιτών στην Αλβανία εξακολουθούν να αντιμετωπίζουν προκλήσεις και να λαμβάνουν περιορισμένη δημόσια χρηματοδότηση· καλεί, επιπλέον, την αλβανική κυβέρνηση να διασφαλίσει ένα ευνοϊκό, ασφαλές και αμερόληπτο περιβάλλον για την κοινωνία των πολιτών·</w:t>
      </w:r>
    </w:p>
    <w:p w:rsidR="005F1D83" w:rsidRPr="005D3C5F" w:rsidP="008E79B1" w14:paraId="4ECD367F" w14:textId="648FDC99">
      <w:pPr>
        <w:pStyle w:val="NormalHanging12a"/>
        <w:ind w:hanging="570"/>
      </w:pPr>
      <w:r w:rsidRPr="005D3C5F">
        <w:t>25.</w:t>
      </w:r>
      <w:r w:rsidRPr="005D3C5F">
        <w:tab/>
      </w:r>
      <w:r w:rsidRPr="005D3C5F">
        <w:t>εκφράζει την ανησυχία του για το γεγονός ότι, σύμφωνα με την κατάταξη σε παγκόσμιο επίπεδο που δημοσιεύτηκε στην έκθεση του Παγκόσμιου Οικονομικού Φόρουμ του 2025 για το παγκόσμιο χάσμα μεταξύ των φύλων, η Αλβανία υποχώρησε από την 23η θέση το 2024 στην 36η θέση το 2025, γεγονός που υποδηλώνει διεύρυνση του χάσματος μεταξύ των φύλων· εκφράζει τη λύπη του για το γεγονός ότι το νομικό πλαίσιο για την καταπολέμηση της έμφυλης βίας δεν έχει ακόμη ευθυγραμμιστεί με τη Σύμβαση της Κωνσταντινούπολης· καλεί την αλβανική κυβέρνηση να βελτιώσει τις υπηρεσίες υποστήριξης των θυμάτων, ιδίως σε σχέση με την υγειονομική περίθαλψη, τη χρηματοδότηση καταλυμάτων για γυναίκες, τη δωρεάν νομική συνδρομή και προγράμματα επανένταξης και αποκατάστασης·</w:t>
      </w:r>
    </w:p>
    <w:p w:rsidR="005F1D83" w:rsidRPr="005D3C5F" w:rsidP="008E79B1" w14:paraId="31B09089" w14:textId="4E671B51">
      <w:pPr>
        <w:pStyle w:val="NormalHanging12a"/>
        <w:ind w:hanging="570"/>
      </w:pPr>
      <w:r w:rsidRPr="005D3C5F">
        <w:t>26.</w:t>
      </w:r>
      <w:r w:rsidRPr="005D3C5F">
        <w:tab/>
      </w:r>
      <w:r w:rsidRPr="005D3C5F">
        <w:t xml:space="preserve">εκφράζει την ανησυχία του για το γεγονός ότι το εθνικό θεματολόγιο της Αλβανίας για </w:t>
      </w:r>
      <w:r w:rsidRPr="005D3C5F">
        <w:t>τα δικαιώματα του παιδιού (NARC) 2021-2026 δεν έχει ακόμη εφαρμοστεί πλήρως και η πρόσβαση των παιδιών στη δικαιοσύνη παρεμποδίζεται από καθυστερήσεις, περιορισμένη νομική συνδρομή και ανεπαρκή θεσμικό συντονισμό· εκφράζει τη λύπη του για το γεγονός ότι η πλειονότητα των παιδιών στην Αλβανία εξακολουθεί να διατρέχει κίνδυνο φτώχειας· καλεί τις αλβανικές αρχές να εφαρμόσουν αποτελεσματικά το NARC παρέχοντας βοήθεια στα παιδιά που αντιμετωπίζουν αποκλεισμό και φτώχεια·</w:t>
      </w:r>
    </w:p>
    <w:p w:rsidR="005F1D83" w:rsidRPr="005D3C5F" w:rsidP="005F1D83" w14:paraId="5DA5AEE9" w14:textId="0ADC5E93">
      <w:pPr>
        <w:pStyle w:val="NormalHanging12a"/>
        <w:rPr>
          <w:b/>
          <w:bCs/>
          <w:i/>
          <w:iCs/>
        </w:rPr>
      </w:pPr>
      <w:r w:rsidRPr="005D3C5F">
        <w:rPr>
          <w:b/>
          <w:i/>
        </w:rPr>
        <w:t>Μεταρρύθμιση</w:t>
      </w:r>
      <w:r w:rsidRPr="005D3C5F">
        <w:rPr>
          <w:b/>
          <w:i/>
        </w:rPr>
        <w:t xml:space="preserve"> της δημόσιας διοίκησης και διακυβέρνηση·</w:t>
      </w:r>
    </w:p>
    <w:p w:rsidR="005F1D83" w:rsidRPr="005D3C5F" w:rsidP="008E79B1" w14:paraId="38340400" w14:textId="7189CC14">
      <w:pPr>
        <w:pStyle w:val="NormalHanging12a"/>
        <w:ind w:hanging="570"/>
        <w:rPr>
          <w:bCs/>
          <w:iCs/>
        </w:rPr>
      </w:pPr>
      <w:r w:rsidRPr="005D3C5F">
        <w:t>27.</w:t>
      </w:r>
      <w:r w:rsidRPr="005D3C5F">
        <w:tab/>
      </w:r>
      <w:r w:rsidRPr="005D3C5F">
        <w:t>αναγνωρίζει την πρόοδο που έχει επιτευχθεί όσον αφορά τη μεταρρύθμιση της δημόσιας διοίκησης, συμπεριλαμβανομένου του στρατηγικού σχεδιασμού και συντονισμού· εκφράζει την ικανοποίησή του για την έγκριση της διατομεακής στρατηγικής για τη μεταρρύθμιση της δημόσιας διοίκησης 2025-2030· τονίζει, ωστόσο, ότι απαιτούνται περαιτέρω προσπάθειες για να εξασφαλιστούν αξιοκρατικές προσλήψεις και αποπολιτικοποίηση της δημόσιας διοίκησης, συμπεριλαμβανομένης της έγκρισης και της εφαρμογής ενός νέου νομοθετικού πλαισίου για τη δημόσια διοίκηση·</w:t>
      </w:r>
    </w:p>
    <w:p w:rsidR="005F1D83" w:rsidRPr="005D3C5F" w:rsidP="008E79B1" w14:paraId="3E8A484B" w14:textId="57B90F38">
      <w:pPr>
        <w:pStyle w:val="NormalHanging12a"/>
        <w:ind w:hanging="570"/>
        <w:rPr>
          <w:bCs/>
        </w:rPr>
      </w:pPr>
      <w:r w:rsidRPr="005D3C5F">
        <w:t>28.</w:t>
      </w:r>
      <w:r w:rsidRPr="005D3C5F">
        <w:tab/>
      </w:r>
      <w:r w:rsidRPr="005D3C5F">
        <w:t>εκφράζει την ανησυχία του για το γεγονός ότι ούτε το νομικό πλαίσιο για τις δημόσιες συμβάσεις ούτε η νομοθεσία για το εταιρικό δίκαιο, δεν είναι πλήρως ευθυγραμμισμένα με το κεκτημένο της ΕΕ· καλεί τις αλβανικές αρχές να συνεχίσουν τις προσπάθειές τους για την πλήρη ευθυγράμμιση της νομοθεσίας της Αλβανίας με το κεκτημένο της ΕΕ· ζητεί ενισχυμένη κοινοβουλευτική εποπτεία, ανεξάρτητους ελέγχους και πλήρη διαφάνεια στις διαδικασίες σύναψης δημόσιων συμβάσεων, προκειμένου να διασφαλιστεί η συμμόρφωση με τα πρότυπα της ΕΕ για τον ανταγωνισμό, την προστασία των δεδομένων και την καταπολέμηση της διαφθοράς·</w:t>
      </w:r>
    </w:p>
    <w:p w:rsidR="005F1D83" w:rsidRPr="005D3C5F" w:rsidP="008E79B1" w14:paraId="5A044C59" w14:textId="60D147B7">
      <w:pPr>
        <w:pStyle w:val="NormalHanging12a"/>
        <w:ind w:hanging="570"/>
        <w:rPr>
          <w:bCs/>
        </w:rPr>
      </w:pPr>
      <w:r w:rsidRPr="005D3C5F">
        <w:t>29.</w:t>
      </w:r>
      <w:r w:rsidRPr="005D3C5F">
        <w:tab/>
      </w:r>
      <w:r w:rsidRPr="005D3C5F">
        <w:t>χαιρετίζει το συνεχιζόμενο έργο της διακομματικής κοινοβουλευτικής επιτροπής της Αλβανίας για την εδαφική μεταρρύθμιση· τονίζει ότι οποιαδήποτε μεταρρύθμιση στον τομέα αυτό θα πρέπει να πραγματοποιηθεί μέσω μιας διαδικασίας χωρίς αποκλεισμούς και να βασίζεται σε αντικειμενικά κοινωνικοοικονομικά κριτήρια και ευρωπαϊκά πρότυπα τοπικής αυτοδιοίκησης·</w:t>
      </w:r>
    </w:p>
    <w:p w:rsidR="005F1D83" w:rsidRPr="005D3C5F" w:rsidP="008E79B1" w14:paraId="71F1C9C5" w14:textId="29FCC2FE">
      <w:pPr>
        <w:pStyle w:val="NormalHanging12a"/>
        <w:ind w:hanging="570"/>
        <w:rPr>
          <w:bCs/>
          <w:iCs/>
        </w:rPr>
      </w:pPr>
      <w:r w:rsidRPr="005D3C5F">
        <w:t>30.</w:t>
      </w:r>
      <w:r w:rsidRPr="005D3C5F">
        <w:tab/>
      </w:r>
      <w:r w:rsidRPr="005D3C5F">
        <w:t>ζητεί βελτιωμένο σχεδιασμό πολιτικής, τεκμηριωμένη λήψη αποφάσεων και διαφανείς δημοσιονομικές διαδικασίες, συμπεριλαμβανομένης της ενισχυμένης κοινοβουλευτικής εποπτείας των δημόσιων οικονομικών· επιμένει ότι πρέπει να ενισχυθούν οι οικονομικοί πόροι, η διοικητική ικανότητα και η δημοσιονομική αυτονομία των μονάδων τοπικής αυτοδιοίκησης·</w:t>
      </w:r>
    </w:p>
    <w:p w:rsidR="005F1D83" w:rsidRPr="005D3C5F" w:rsidP="008E79B1" w14:paraId="63D689CB" w14:textId="61EBB146">
      <w:pPr>
        <w:pStyle w:val="NormalHanging12a"/>
        <w:ind w:hanging="570"/>
        <w:rPr>
          <w:bCs/>
          <w:iCs/>
        </w:rPr>
      </w:pPr>
      <w:r w:rsidRPr="005D3C5F">
        <w:t>31.</w:t>
      </w:r>
      <w:r w:rsidRPr="005D3C5F">
        <w:tab/>
      </w:r>
      <w:r w:rsidRPr="005D3C5F">
        <w:t>συγχαίρει τις αλβανικές αρχές για την πρόσφατη έγκριση της εθνικής στρατηγικής κυβερνοασφάλειας 2025-2030· εκφράζει την ικανοποίησή του για την ευθυγράμμιση του ισχύοντος νόμου της Αλβανίας για την κυβερνοασφάλεια με την οδηγία NIS 2 της ΕΕ</w:t>
      </w:r>
      <w:r>
        <w:rPr>
          <w:rStyle w:val="FootnoteReference"/>
          <w:bCs/>
          <w:iCs/>
        </w:rPr>
        <w:footnoteReference w:id="6"/>
      </w:r>
      <w:r w:rsidRPr="005D3C5F">
        <w:t>· συγχαίρει τις αλβανικές αρχές για την έγκριση επικαιροποιημένου καταλόγου φορέων εκμετάλλευσης κρίσιμων και σημαντικών υποδομών πληροφοριών·</w:t>
      </w:r>
    </w:p>
    <w:p w:rsidR="005F1D83" w:rsidRPr="005D3C5F" w:rsidP="008E79B1" w14:paraId="38711B12" w14:textId="52D574B9">
      <w:pPr>
        <w:pStyle w:val="NormalHanging12a"/>
        <w:ind w:hanging="570"/>
        <w:rPr>
          <w:bCs/>
          <w:iCs/>
        </w:rPr>
      </w:pPr>
      <w:r w:rsidRPr="005D3C5F">
        <w:t>32.</w:t>
      </w:r>
      <w:r w:rsidRPr="005D3C5F">
        <w:tab/>
      </w:r>
      <w:r w:rsidRPr="005D3C5F">
        <w:t>εκφράζει την ικανοποίησή του για τη συνεχή βελτίωση της Αλβανίας όσον αφορά τη διαβίβαση δεδομένων στην Eurostat· καλεί τις αλβανικές αρχές να αυξήσουν περαιτέρω την παραγωγή και τη διανομή δεδομένων υψηλής ποιότητας·</w:t>
      </w:r>
    </w:p>
    <w:p w:rsidR="005F1D83" w:rsidRPr="005D3C5F" w:rsidP="008E79B1" w14:paraId="662851B6" w14:textId="5C917229">
      <w:pPr>
        <w:pStyle w:val="NormalHanging12a"/>
        <w:ind w:hanging="570"/>
        <w:rPr>
          <w:bCs/>
          <w:iCs/>
        </w:rPr>
      </w:pPr>
      <w:r w:rsidRPr="005D3C5F">
        <w:t>33.</w:t>
      </w:r>
      <w:r w:rsidRPr="005D3C5F">
        <w:tab/>
      </w:r>
      <w:r w:rsidRPr="005D3C5F">
        <w:t>συγχαίρει την αλβανική κυβέρνηση για την έγκριση των νέων νόμων για τα εμπορικά σήματα και τα διπλώματα ευρεσιτεχνίας· καλεί τις αλβανικές αρχές να ευθυγραμμίσουν πλήρως τη νομοθεσία περί διανοητικής ιδιοκτησίας με το κεκτημένο της ΕΕ και να συνεχίσουν να την ενισχύουν·</w:t>
      </w:r>
    </w:p>
    <w:p w:rsidR="005F1D83" w:rsidRPr="005D3C5F" w:rsidP="005F1D83" w14:paraId="33D39A98" w14:textId="77777777">
      <w:pPr>
        <w:pStyle w:val="NormalHanging12a"/>
        <w:rPr>
          <w:b/>
          <w:bCs/>
          <w:i/>
          <w:iCs/>
        </w:rPr>
      </w:pPr>
      <w:r w:rsidRPr="005D3C5F">
        <w:rPr>
          <w:b/>
          <w:i/>
        </w:rPr>
        <w:t>Κοινωνικοοικονομικές μεταρρυθμίσεις και περιβάλλον</w:t>
      </w:r>
    </w:p>
    <w:p w:rsidR="005F1D83" w:rsidRPr="005D3C5F" w:rsidP="008E79B1" w14:paraId="57DE8D23" w14:textId="715ECAA8">
      <w:pPr>
        <w:pStyle w:val="NormalHanging12a"/>
        <w:ind w:hanging="570"/>
      </w:pPr>
      <w:r w:rsidRPr="005D3C5F">
        <w:t>34.</w:t>
      </w:r>
      <w:r w:rsidRPr="005D3C5F">
        <w:tab/>
      </w:r>
      <w:r w:rsidRPr="005D3C5F">
        <w:t>χαιρετίζει τη συμμετοχή της Αλβανίας στην εφαρμογή του σχεδίου ανάπτυξης της ΕΕ για τα Δυτικά Βαλκάνια· σημειώνει, ωστόσο, ότι εξακολουθούν να υπάρχουν διαρθρωτικές αδυναμίες, μεταξύ άλλων οι άτυπες διαδικασίες στον επιχειρηματικό τομέα, η περιορισμένη αύξηση της παραγωγικότητας και ένα δύσκολο επιχειρηματικό περιβάλλον· εκφράζει τη λύπη του για το γεγονός ότι το μεγάλο μέγεθος της άτυπης οικονομίας αποτελεί εμπόδιο για το επιχειρηματικό περιβάλλον και τον ανταγωνισμό· επαναλαμβάνει τη σημασία της βελτίωσης των υποδομών μεταφορών στις χώρες των Δυτικών Βαλκανίων και της περαιτέρω ανάπτυξης των σιδηροδρομικών και αεροπορικών συνδέσεων με τα κράτη μέλη της ΕΕ· συγχαίρει τις αλβανικές αρχές για την απαλλαγή από τον ΦΠΑ για έργα που χρηματοδοτούνται από την ΕΕ στην Αλβανία·</w:t>
      </w:r>
    </w:p>
    <w:p w:rsidR="005F1D83" w:rsidRPr="005D3C5F" w:rsidP="008E79B1" w14:paraId="0FD96257" w14:textId="7ED94CA8">
      <w:pPr>
        <w:pStyle w:val="NormalHanging12a"/>
        <w:ind w:hanging="570"/>
        <w:rPr>
          <w:bCs/>
          <w:iCs/>
        </w:rPr>
      </w:pPr>
      <w:r w:rsidRPr="005D3C5F">
        <w:t>35.</w:t>
      </w:r>
      <w:r w:rsidRPr="005D3C5F">
        <w:tab/>
      </w:r>
      <w:r w:rsidRPr="005D3C5F">
        <w:t>υπενθυμίζει τις δυνατότητες του οικονομικού και επενδυτικού σχεδίου της ΕΕ για τα Δυτικά Βαλκάνια σε σχέση με την ενίσχυση της περιφερειακής συνδεσιμότητας μέσω σιδηροδρομικών και οδικών υποδομών· προτρέπει, εν προκειμένω, τις αρχές όλων των χωρών να ολοκληρώσουν τα έργα του Διαδρόμου VIII, που συνδέει την Αλβανία, τη Βόρεια Μακεδονία και τη Βουλγαρία·</w:t>
      </w:r>
    </w:p>
    <w:p w:rsidR="005F1D83" w:rsidRPr="005D3C5F" w:rsidP="008E79B1" w14:paraId="219E694A" w14:textId="1753A478">
      <w:pPr>
        <w:pStyle w:val="NormalHanging12a"/>
        <w:ind w:hanging="570"/>
        <w:rPr>
          <w:bCs/>
          <w:iCs/>
        </w:rPr>
      </w:pPr>
      <w:r w:rsidRPr="005D3C5F">
        <w:t>36.</w:t>
      </w:r>
      <w:r w:rsidRPr="005D3C5F">
        <w:tab/>
      </w:r>
      <w:r w:rsidRPr="005D3C5F">
        <w:t>ζητεί την εφαρμογή ενός ολοκληρωμένου μηχανισμού ελέγχου των άμεσων ξένων επενδύσεων ως στρατηγικής πρωτοβουλίας για την προστασία των εθνικών συμφερόντων της Αλβανίας, την ενίσχυση της ασφάλειας και τη διασφάλιση της προβλεψιμότητας για τους επενδυτές και της συνέπειας με τα πρότυπα της ΕΕ·</w:t>
      </w:r>
    </w:p>
    <w:p w:rsidR="005F1D83" w:rsidRPr="005D3C5F" w:rsidP="008E79B1" w14:paraId="553A12E0" w14:textId="6DF6276E">
      <w:pPr>
        <w:pStyle w:val="NormalHanging12a"/>
        <w:ind w:hanging="570"/>
        <w:rPr>
          <w:bCs/>
          <w:iCs/>
        </w:rPr>
      </w:pPr>
      <w:r w:rsidRPr="005D3C5F">
        <w:t>37.</w:t>
      </w:r>
      <w:r w:rsidRPr="005D3C5F">
        <w:tab/>
      </w:r>
      <w:r w:rsidRPr="005D3C5F">
        <w:t>επισημαίνει το γεγονός ότι το σύστημα εσωτερικού ελέγχου του δημόσιου εσωτερικού δημοσιονομικού ελέγχου της Αλβανίας παραμένει μερικώς αποτελεσματικό· καλεί την Αλβανία να ενισχύσει τη λογοδοσία και τη διαφάνεια των κρατικών επιχειρήσεων δημοσιοποιώντας τις ετήσιες εκθέσεις οικονομικών επιδόσεών τους· καλεί τις αλβανικές αρχές να εφαρμόσουν πλήρως τις συστάσεις του ανώτατου κρατικού οργάνου ελέγχου της Αλβανίας·</w:t>
      </w:r>
    </w:p>
    <w:p w:rsidR="005F1D83" w:rsidRPr="005D3C5F" w:rsidP="008E79B1" w14:paraId="2FF2F0CB" w14:textId="7C7D4CBF">
      <w:pPr>
        <w:pStyle w:val="NormalHanging12a"/>
        <w:ind w:hanging="570"/>
        <w:rPr>
          <w:bCs/>
          <w:iCs/>
        </w:rPr>
      </w:pPr>
      <w:r w:rsidRPr="005D3C5F">
        <w:t>38.</w:t>
      </w:r>
      <w:r w:rsidRPr="005D3C5F">
        <w:tab/>
      </w:r>
      <w:r w:rsidRPr="005D3C5F">
        <w:t>χαιρετίζει την έγκριση της στρατηγικής της Αλβανίας για τον εκσυγχρονισμό και την εναρμόνιση των συστημάτων τελωνειακών πληροφοριών της Αλβανίας με τα συστήματα της ΕΕ, για την περίοδο 2025-2030· συγχαίρει τις αλβανικές αρχές για τις προσπάθειές τους να συμμορφωθούν με τα πρότυπα της ΕΕ μέσω της εναρμόνισης και της βελτίωσης των τελωνειακών υποδομών·</w:t>
      </w:r>
      <w:r w:rsidRPr="008E79B1" w:rsidR="00BE3AEE">
        <w:t xml:space="preserve"> </w:t>
      </w:r>
      <w:r w:rsidRPr="00BE3AEE" w:rsidR="00BE3AEE">
        <w:t>τονίζει ότι τα τελωνειακά συστήματα ΤΠ απαιτούν σημαντική αναβάθμιση προκειμένου να επιτευχθεί πλήρης εναρμόνιση με τα πρότυπα της ΕΕ και καλεί τις αλβανικές αρχές να επιταχύνουν τις αναγκαίες επενδύσεις και μεταρρυθμίσεις στο πλαίσιο αυτό·</w:t>
      </w:r>
    </w:p>
    <w:p w:rsidR="005F1D83" w:rsidRPr="005D3C5F" w:rsidP="008E79B1" w14:paraId="160C7849" w14:textId="636388A0">
      <w:pPr>
        <w:pStyle w:val="NormalHanging12a"/>
        <w:ind w:hanging="570"/>
        <w:rPr>
          <w:bCs/>
          <w:iCs/>
        </w:rPr>
      </w:pPr>
      <w:r w:rsidRPr="005D3C5F">
        <w:t>39.</w:t>
      </w:r>
      <w:r w:rsidRPr="005D3C5F">
        <w:tab/>
      </w:r>
      <w:r w:rsidRPr="005D3C5F">
        <w:t xml:space="preserve">συγχαίρει τις αλβανικές αρχές για την ευθυγράμμιση της νομοθεσίας για τα ιδιωτικά </w:t>
      </w:r>
      <w:r w:rsidRPr="005D3C5F">
        <w:t>συνταξιοδοτικά ταμεία με το κεκτημένο της ΕΕ· καλεί την Αλβανία να ολοκληρώσει την ευθυγράμμισή της με το κεκτημένο της ΕΕ στον τομέα των ασφαλίσεων, των κεφαλαιαγορών, των αγορών κινητών αξιών, των επενδυτικών κεφαλαίων και των υποδομών χρηματοπιστωτικών αγορών·</w:t>
      </w:r>
    </w:p>
    <w:p w:rsidR="005F1D83" w:rsidRPr="005D3C5F" w:rsidP="008E79B1" w14:paraId="776F4881" w14:textId="73E64149">
      <w:pPr>
        <w:pStyle w:val="NormalHanging12a"/>
        <w:ind w:hanging="570"/>
        <w:rPr>
          <w:bCs/>
          <w:iCs/>
        </w:rPr>
      </w:pPr>
      <w:r w:rsidRPr="005D3C5F">
        <w:t>40.</w:t>
      </w:r>
      <w:r w:rsidRPr="005D3C5F">
        <w:tab/>
      </w:r>
      <w:r w:rsidRPr="005D3C5F">
        <w:t xml:space="preserve">χαιρετίζει θερμά την πρόταση της Επιτροπής </w:t>
      </w:r>
      <w:r w:rsidR="00BE3AEE">
        <w:t xml:space="preserve">και την εξουσιοδότηση του Συμβουλίου </w:t>
      </w:r>
      <w:r w:rsidRPr="005D3C5F">
        <w:t xml:space="preserve">για έναρξη διαπραγματεύσεων με σκοπό την επέκταση του καθεστώτος </w:t>
      </w:r>
      <w:r w:rsidRPr="005D3C5F">
        <w:t>περιαγωγής</w:t>
      </w:r>
      <w:r w:rsidRPr="005D3C5F">
        <w:t xml:space="preserve"> με χρέωση εσωτερικού της ΕΕ στα Δυτικά Βαλκάνια και καλεί </w:t>
      </w:r>
      <w:r w:rsidRPr="00BE3AEE" w:rsidR="00BE3AEE">
        <w:t xml:space="preserve">την Επιτροπή και τους εταίρους των Δυτικών Βαλκανίων να λάβουν ταχέως τα αναγκαία μέτρα για το αμοιβαίο άνοιγμα των αγορών </w:t>
      </w:r>
      <w:r w:rsidRPr="00BE3AEE" w:rsidR="00BE3AEE">
        <w:t>περιαγωγής</w:t>
      </w:r>
      <w:r w:rsidRPr="00BE3AEE" w:rsidR="00BE3AEE">
        <w:t xml:space="preserve"> της ΕΕ και των εταίρων των Δυτικών Βαλκανίων, ώστε να επιτρέπεται στους πολίτες και τις επιχειρήσεις να επωφελούνται από τις υπηρεσίες </w:t>
      </w:r>
      <w:r w:rsidRPr="00BE3AEE" w:rsidR="00BE3AEE">
        <w:t>περιαγωγής</w:t>
      </w:r>
      <w:r w:rsidRPr="00BE3AEE" w:rsidR="00BE3AEE">
        <w:t xml:space="preserve"> χωρίς πρόσθετα τέλη·</w:t>
      </w:r>
      <w:r w:rsidRPr="005D3C5F">
        <w:t>·</w:t>
      </w:r>
    </w:p>
    <w:p w:rsidR="005F1D83" w:rsidRPr="005D3C5F" w:rsidP="008E79B1" w14:paraId="033D81B7" w14:textId="0D28DE56">
      <w:pPr>
        <w:pStyle w:val="NormalHanging12a"/>
        <w:ind w:hanging="570"/>
        <w:rPr>
          <w:bCs/>
          <w:iCs/>
        </w:rPr>
      </w:pPr>
      <w:r w:rsidRPr="005D3C5F">
        <w:t>41.</w:t>
      </w:r>
      <w:r w:rsidRPr="005D3C5F">
        <w:tab/>
      </w:r>
      <w:r w:rsidRPr="005D3C5F">
        <w:t>τονίζει τη σημασία των επενδύσεων στην εκπαίδευση, την ανάπτυξη δεξιοτήτων και την καινοτομία για τη στήριξη της βιώσιμης ανάπτυξης και της κοινωνικής συνοχής· συγχαίρει την αλβανική κυβέρνηση για την έγκριση νομοθετικών πράξεων για τη μεταρρύθμιση της τριτοβάθμιας εκπαίδευσης και για τη συνεχή εφαρμογή της εθνικής στρατηγικής για την εκπαίδευση 2021-2026· καλεί τις αλβανικές αρχές να ολοκληρώσουν τη νομοθεσία εφαρμογής του νόμου για την πολιτιστική κληρονομιά και τα μουσεία· ενθαρρύνει την ανάπτυξη πολιτικών που αποσκοπούν στη μείωση της μετανάστευσης των νέων και τη διαρροή εγκεφάλων και στην ενίσχυση των ευκαιριών για νέους επαγγελματίες μέσω της βελτίωσης των συνθηκών στην αγορά εργασίας, της εκπαιδευτικής μεταρρύθμισης και της στήριξης της καινοτομίας·</w:t>
      </w:r>
    </w:p>
    <w:p w:rsidR="005F1D83" w:rsidRPr="005D3C5F" w:rsidP="008E79B1" w14:paraId="69A5FEE7" w14:textId="0B491149">
      <w:pPr>
        <w:pStyle w:val="NormalHanging12a"/>
        <w:ind w:hanging="570"/>
        <w:rPr>
          <w:bCs/>
          <w:iCs/>
        </w:rPr>
      </w:pPr>
      <w:r w:rsidRPr="005D3C5F">
        <w:t>42.</w:t>
      </w:r>
      <w:r w:rsidRPr="005D3C5F">
        <w:tab/>
      </w:r>
      <w:r w:rsidRPr="005D3C5F">
        <w:t>ζητεί την περαιτέρω ανάπτυξη και την αποτελεσματική εφαρμογή του πλαισίου κοινωνικής στέγασης στην Αλβανία, με βάση τη συνέχιση και τη βελτίωση της «εθνικής στρατηγικής για την κοινωνική στέγαση 2016-2025», προκειμένου να διασφαλιστούν σταθερές και αξιοπρεπείς συνθήκες διαβίωσης για τις ομάδες χαμηλότερου εισοδήματος και τις ευάλωτες ομάδες· υπογραμμίζει, ειδικότερα, τη σημασία της προσβάσιμης και οικονομικά προσιτής κοινωνικής στέγασης για τους νέους, συμπεριλαμβανομένων των σπουδαστών και των μαθητευομένων, καθώς αυτή στηρίζει τη γεωγραφική τους κινητικότητα, την πρόσβαση στην εκπαίδευση και την κατάρτιση και την επιτυχή ένταξή τους στην αγορά εργασίας·</w:t>
      </w:r>
    </w:p>
    <w:p w:rsidR="005F1D83" w:rsidRPr="005D3C5F" w:rsidP="008E79B1" w14:paraId="2030D151" w14:textId="2ED3B810">
      <w:pPr>
        <w:pStyle w:val="NormalHanging12a"/>
        <w:ind w:hanging="570"/>
      </w:pPr>
      <w:r w:rsidRPr="005D3C5F">
        <w:t>43.</w:t>
      </w:r>
      <w:r w:rsidRPr="005D3C5F">
        <w:tab/>
      </w:r>
      <w:r w:rsidRPr="005D3C5F">
        <w:t>υπογραμμίζει την καίρια σημασία του γνήσιου κοινωνικού διαλόγου ώστε η διεύρυνση της ΕΕ να αποφέρει οφέλη σε διάφορα τμήματα του πληθυσμού· εκφράζει την ικανοποίησή του για τη βελτίωση της μεταφοράς βάσεων δεδομένων και την έγκαιρη σύνδεση με τις Ευρωπαϊκές Υπηρεσίες Απασχόλησης (EURES), η οποία κατέστη δυνατή με την πλήρη ευθυγράμμιση του εθνικού καταλόγου επαγγελμάτων με την ευρωπαϊκή ταξινόμηση δεξιοτήτων, ικανοτήτων, προσόντων και επαγγελμάτων (ESCO)· εκφράζει, ωστόσο, τη λύπη του για τη χαμηλή συχνότητα των συνεδριάσεων του Εθνικού Συμβουλίου Εργασίας· ζητεί την ενίσχυση της τριμερούς διαδικασίας διαβούλευσης, συμπεριλαμβανομένης της επαρκούς εκπροσώπησης των συνδικαλιστικών οργανώσεων· τονίζει την ανάγκη περαιτέρω στήριξης της ανάπτυξης ικανοτήτων των κοινωνικών εταίρων·</w:t>
      </w:r>
    </w:p>
    <w:p w:rsidR="005F1D83" w:rsidRPr="005D3C5F" w:rsidP="008E79B1" w14:paraId="0BDAE267" w14:textId="323177F5">
      <w:pPr>
        <w:pStyle w:val="NormalHanging12a"/>
        <w:ind w:hanging="570"/>
        <w:rPr>
          <w:bCs/>
          <w:iCs/>
        </w:rPr>
      </w:pPr>
      <w:r w:rsidRPr="005D3C5F">
        <w:t>44.</w:t>
      </w:r>
      <w:r w:rsidRPr="005D3C5F">
        <w:tab/>
      </w:r>
      <w:r w:rsidRPr="005D3C5F">
        <w:t xml:space="preserve">ζητεί να ενταθούν οι προσπάθειες για την προώθηση της συμμόρφωσης με το εργατικό δίκαιο της ΕΕ και το πλαίσιο της ΕΕ για την υγεία και την ασφάλεια στην εργασία, συμπεριλαμβανομένης της πλήρους εφαρμογής πολιτικών που δεν εισάγουν διακρίσεις και μέτρων ισότητας, και παροτρύνει τις αρμόδιες εθνικές αρχές να διασφαλίσουν την αποτελεσματική παρακολούθηση, επιβολή και κατάλληλες κυρώσεις σε περιπτώσεις μη </w:t>
      </w:r>
      <w:r w:rsidRPr="005D3C5F">
        <w:t>συμμόρφωσης·</w:t>
      </w:r>
    </w:p>
    <w:p w:rsidR="005F1D83" w:rsidRPr="005D3C5F" w:rsidP="008E79B1" w14:paraId="672C31F4" w14:textId="2A845805">
      <w:pPr>
        <w:pStyle w:val="NormalHanging12a"/>
        <w:ind w:hanging="570"/>
        <w:rPr>
          <w:bCs/>
          <w:iCs/>
        </w:rPr>
      </w:pPr>
      <w:r w:rsidRPr="005D3C5F">
        <w:t>45.</w:t>
      </w:r>
      <w:r w:rsidRPr="005D3C5F">
        <w:tab/>
      </w:r>
      <w:r w:rsidRPr="005D3C5F">
        <w:t>υπογραμμίζει ότι η πρόοδος προς την ένταξη στην ΕΕ απαιτεί πραγματικό ιστορικό επιδόσεων όσον αφορά την εφαρμογή και την επιβολή του περιβαλλοντικού κεκτημένου και, ιδίως, όσον αφορά τις περιβαλλοντικές εκτιμήσεις, τη νομοθεσία για την προστασία της φύσης και τα δικαιώματα συμμετοχής του κοινού·</w:t>
      </w:r>
    </w:p>
    <w:p w:rsidR="005F1D83" w:rsidRPr="005D3C5F" w:rsidP="008E79B1" w14:paraId="258541BF" w14:textId="21613D96">
      <w:pPr>
        <w:pStyle w:val="NormalHanging12a"/>
        <w:ind w:hanging="570"/>
      </w:pPr>
      <w:r w:rsidRPr="005D3C5F">
        <w:t>46.</w:t>
      </w:r>
      <w:r w:rsidRPr="005D3C5F">
        <w:tab/>
      </w:r>
      <w:r w:rsidRPr="005D3C5F">
        <w:t>συγχαίρει την αλβανική κυβέρνηση για την ανακοίνωσή της ότι σκοπεύει να μεταρρυθμίσει τον τομέα της διαχείρισης αποβλήτων της χώρας, συγκεντρώνοντας και βελτιώνοντας τη συλλογή και τη διαχείριση των αποβλήτων· σημειώνει ωστόσο με ανησυχία ότι, σύμφωνα με την εκτίμηση της Επιτροπής, δεν σημειώθηκε καμία πρόοδος όσον αφορά το περιβάλλον και την κλιματική αλλαγή κατά την περίοδο αναφοράς· παροτρύνει την αλβανική κυβέρνηση να δώσει προτεραιότητα στην εφαρμογή στρατηγικών προσαρμογής στην κλιματική αλλαγή και στην ανάπτυξη ανανεώσιμων πηγών ενέργεια, καθώς και να στηρίξει τη βιώσιμη οικονομική ανάπτυξη·</w:t>
      </w:r>
    </w:p>
    <w:p w:rsidR="005F1D83" w:rsidRPr="00BE3AEE" w:rsidP="008E79B1" w14:paraId="043809A4" w14:textId="12033DA9">
      <w:pPr>
        <w:pStyle w:val="NormalHanging12a"/>
        <w:ind w:hanging="570"/>
        <w:rPr>
          <w:bCs/>
          <w:iCs/>
        </w:rPr>
      </w:pPr>
      <w:r w:rsidRPr="00BE3AEE">
        <w:t>47.</w:t>
      </w:r>
      <w:r w:rsidRPr="00BE3AEE">
        <w:tab/>
      </w:r>
      <w:r w:rsidRPr="005D3C5F">
        <w:t>εκφράζει τη βαθιά του λύπη για το γεγονός ότι ο αλβανικός νόμος του 2015 για τις στρατηγικές επενδύσεις έχει επεκταθεί, λαμβανομένων υπόψη των διατάξεών του που επιτρέπουν ταχείες διαδικασίες αδειοδότησης και μειωμένο περιβαλλοντικό έλεγχο, οι οποίες ενέχουν τον κίνδυνο να επηρεαστούν αρνητικά προστατευόμενες περιοχές και άλλες περιβαλλοντικά ευαίσθητες ζώνες· ζητεί την κατάργηση των τροποποιήσεων του 2024 στον νόμο για τις προστατευόμενες περιοχές, οι οποίες επιτρέπουν την ανάπτυξη τουριστικών υποδομών μεγάλης κλίμακας εντός προστατευόμενων περιοχών και μεταβιβάζουν βασικές αρμοδιότητες διακυβέρνησης και λήψης αποφάσεων στο Εθνικό Συμβούλιο Εδαφών, με αποτέλεσμα να αποδυναμώνεται η περιβαλλοντική εποπτεία·</w:t>
      </w:r>
    </w:p>
    <w:p w:rsidR="00BE3AEE" w:rsidP="008E79B1" w14:paraId="22F0D98C" w14:textId="2780C49B">
      <w:pPr>
        <w:pStyle w:val="NormalHanging12a"/>
        <w:ind w:hanging="570"/>
        <w:rPr>
          <w:bCs/>
          <w:iCs/>
        </w:rPr>
      </w:pPr>
      <w:r>
        <w:t>48.</w:t>
      </w:r>
      <w:r>
        <w:tab/>
      </w:r>
      <w:r w:rsidRPr="00BE3AEE">
        <w:rPr>
          <w:bCs/>
          <w:iCs/>
        </w:rPr>
        <w:t xml:space="preserve">επισημαίνει το γεγονός ότι η Επιτροπή προειδοποίησε την Αλβανία να απόσχει από ενέργειες που ενδέχεται να επηρεάσουν την ενταξιακή πορεία της στην ΕΕ εν μέσω των συνεχιζόμενων εθνικών διαμαρτυριών κατά της υλοποίησης μεγάλης κλίμακας έργου ανάπτυξης πολυτελούς θέρετρου που απειλεί προστατευόμενη περιοχή άγριας πανίδας στην οποία βρίσκονται τόποι </w:t>
      </w:r>
      <w:r w:rsidRPr="00BE3AEE">
        <w:rPr>
          <w:bCs/>
          <w:iCs/>
        </w:rPr>
        <w:t>φωλεοποίησης</w:t>
      </w:r>
      <w:r w:rsidRPr="00BE3AEE">
        <w:rPr>
          <w:bCs/>
          <w:iCs/>
        </w:rPr>
        <w:t xml:space="preserve"> φλαμίνγκο, φώκιας και χελώνας· συμμερίζεται, στο πλαίσιο αυτό, την επικριτική στάση της Επιτροπής και υπενθυμίζει ότι η ευθυγράμμιση με τους περιβαλλοντικούς κανόνες της ΕΕ, συμπεριλαμβανομένης της οδηγίας για τα πτηνά</w:t>
      </w:r>
      <w:r>
        <w:rPr>
          <w:rStyle w:val="FootnoteReference"/>
          <w:bCs/>
          <w:iCs/>
        </w:rPr>
        <w:footnoteReference w:id="7"/>
      </w:r>
      <w:r w:rsidRPr="00BE3AEE">
        <w:rPr>
          <w:bCs/>
          <w:iCs/>
        </w:rPr>
        <w:t xml:space="preserve"> και της οδηγίας για τους </w:t>
      </w:r>
      <w:r w:rsidRPr="00BE3AEE">
        <w:rPr>
          <w:bCs/>
          <w:iCs/>
        </w:rPr>
        <w:t>οικοτόπους</w:t>
      </w:r>
      <w:r>
        <w:rPr>
          <w:rStyle w:val="FootnoteReference"/>
          <w:bCs/>
          <w:iCs/>
        </w:rPr>
        <w:footnoteReference w:id="8"/>
      </w:r>
      <w:r w:rsidRPr="00BE3AEE">
        <w:rPr>
          <w:bCs/>
          <w:iCs/>
        </w:rPr>
        <w:t>, αποτελεί προϋπόθεση για την προσχώρηση στην ΕΕ</w:t>
      </w:r>
      <w:r w:rsidR="0001052A">
        <w:rPr>
          <w:bCs/>
          <w:iCs/>
        </w:rPr>
        <w:t>·</w:t>
      </w:r>
    </w:p>
    <w:p w:rsidR="0001052A" w:rsidRPr="005D3C5F" w:rsidP="008E79B1" w14:paraId="73485CB7" w14:textId="79A0C3B4">
      <w:pPr>
        <w:pStyle w:val="NormalHanging12a"/>
        <w:ind w:hanging="570"/>
        <w:rPr>
          <w:bCs/>
          <w:iCs/>
        </w:rPr>
      </w:pPr>
      <w:r w:rsidRPr="005D3C5F">
        <w:t>49.</w:t>
      </w:r>
      <w:r w:rsidRPr="005D3C5F">
        <w:tab/>
      </w:r>
      <w:r w:rsidRPr="0001052A">
        <w:rPr>
          <w:bCs/>
          <w:iCs/>
        </w:rPr>
        <w:t xml:space="preserve">γεγονός ότι οι συνεχιζόμενες εξελίξεις εντός της προστατευόμενης περιοχής </w:t>
      </w:r>
      <w:r w:rsidRPr="0001052A">
        <w:rPr>
          <w:bCs/>
          <w:iCs/>
        </w:rPr>
        <w:t>Vjosa-Narta</w:t>
      </w:r>
      <w:r w:rsidRPr="0001052A">
        <w:rPr>
          <w:bCs/>
          <w:iCs/>
        </w:rPr>
        <w:t xml:space="preserve"> καταδεικνύουν τις πρακτικές συνέπειες αυτών των νομοθετικών αλλαγών και τους επακόλουθους κινδύνους για τις περιοχές αναγνωρισμένης οικολογικής αξίας· παρακολουθεί εκ του σύνεγγυς τις συνεχιζόμενες ειρηνικές μαζικές διαμαρτυρίες στο πλαίσιο αυτό· καλεί τις αλβανικές αρχές να θεσπίσουν αμέσως μορατόριουμ για όλες τις νέες διαδικασίες </w:t>
      </w:r>
      <w:r w:rsidRPr="0001052A">
        <w:rPr>
          <w:bCs/>
          <w:iCs/>
        </w:rPr>
        <w:t>αδειοδότησης</w:t>
      </w:r>
      <w:r w:rsidRPr="0001052A">
        <w:rPr>
          <w:bCs/>
          <w:iCs/>
        </w:rPr>
        <w:t xml:space="preserve">, τα κατασκευαστικά έργα και τις αναπτυξιακές παρεμβάσεις εντός των προστατευόμενων περιοχών έως ότου καταργηθούν οι ασύμβατες διατάξεις του τροποποιημένου νόμου για τις προστατευόμενες περιοχές, </w:t>
      </w:r>
      <w:r w:rsidRPr="0001052A">
        <w:rPr>
          <w:bCs/>
          <w:iCs/>
        </w:rPr>
        <w:t>βάσει μακροχρόνιου αιτήματος της Επιτροπής και του Κοινοβουλίου και σύμφωνα με τα κριτήρια αξιολόγησης για το κλείσιμο του κεφαλαίου 27, και έως ότου διασφαλιστεί η πλήρης συμμόρφωση με τα πρότυπα της ΕΕ για την προστασία της φύσης· υπογραμμίζει ότι οποιαδήποτε έργα στον τομέα αυτόν πρέπει να υποβάλλονται σε ολοκληρωμένες εκτιμήσεις περιβαλλοντικών επιπτώσεων με πλήρη σεβασμό των προτύπων της ΕΕ, συμπεριλαμβανομένης μιας διαφανούς διαδικασίας συμμετοχής του κοινού με τις τοπικές κοινότητες, τους επιστήμονες και την κοινωνία των πολιτών·</w:t>
      </w:r>
    </w:p>
    <w:p w:rsidR="005F1D83" w:rsidRPr="005D3C5F" w:rsidP="005F1D83" w14:paraId="74D69677" w14:textId="77777777">
      <w:pPr>
        <w:pStyle w:val="NormalHanging12a"/>
        <w:rPr>
          <w:b/>
          <w:bCs/>
          <w:i/>
          <w:iCs/>
        </w:rPr>
      </w:pPr>
      <w:r w:rsidRPr="005D3C5F">
        <w:rPr>
          <w:b/>
          <w:i/>
        </w:rPr>
        <w:t>Εξωτερική πολιτική και περιφερειακή συνεργασία</w:t>
      </w:r>
    </w:p>
    <w:p w:rsidR="005F1D83" w:rsidRPr="005D3C5F" w:rsidP="008E79B1" w14:paraId="675754C8" w14:textId="393677DA">
      <w:pPr>
        <w:pStyle w:val="NormalHanging12a"/>
        <w:ind w:hanging="570"/>
      </w:pPr>
      <w:r w:rsidRPr="005D3C5F">
        <w:t>50.</w:t>
      </w:r>
      <w:r w:rsidRPr="005D3C5F">
        <w:tab/>
      </w:r>
      <w:r w:rsidRPr="005D3C5F">
        <w:t>επαινεί τη συνεχιζόμενη πλήρη ευθυγράμμιση της Αλβανίας με την κοινή εξωτερική πολιτική και πολιτική ασφάλειας της ΕΕ, συμπεριλαμβανομένων των περιοριστικών μέτρων, της συνεχούς συμμετοχής της Αλβανίας σε αποστολές και επιχειρήσεις της κοινής πολιτικής ασφάλειας και άμυνας της ΕΕ, και του εποικοδομητικού ρόλου της στην προώθηση της περιφερειακής σταθερότητας, που επιβεβαιώνει τον ισχυρό ευρωατλαντικό προσανατολισμό της χώρας· εκφράζει την ικανοποίησή του για την ενισχυμένη συνεργασία σε θέματα ασφάλειας και άμυνας μέσω της εταιρικής σχέσης ΕΕ-Αλβανίας για την ασφάλεια και την άμυνα και των διαλόγων για την ασφάλεια και την άμυνα· τονίζει τη σημασία της περαιτέρω συνεργασίας, συμπεριλαμβανομένων κοινών πρωτοβουλιών κατάρτισης, κοινών δυνατοτήτων συλλογής πληροφοριών και ενισχυμένων μέτρων ασφάλειας των συνόρων για την αντιμετώπιση περιφερειακών και παγκόσμιων προκλήσεων στον τομέα της ασφάλειας·</w:t>
      </w:r>
    </w:p>
    <w:p w:rsidR="005F1D83" w:rsidRPr="005D3C5F" w:rsidP="008E79B1" w14:paraId="1C5C58BF" w14:textId="58C2835D">
      <w:pPr>
        <w:pStyle w:val="NormalHanging12a"/>
        <w:ind w:hanging="570"/>
      </w:pPr>
      <w:r w:rsidRPr="005D3C5F">
        <w:t>51.</w:t>
      </w:r>
      <w:r w:rsidRPr="005D3C5F">
        <w:tab/>
      </w:r>
      <w:r w:rsidRPr="005D3C5F">
        <w:t>τονίζει ότι η συμμετοχή σε διεθνείς πρωτοβουλίες και οργανισμούς θα πρέπει να παραμείνει συνεπής με τις αξίες της ΕΕ, την περιφερειακή σταθερότητα και τους στόχους της Αλβανίας για ένταξη στην ΕΕ· τονίζει τη σημασία της διαφάνειας και του κατάλληλου κοινοβουλευτικού ελέγχου στις αποφάσεις που σχετίζονται με διεθνείς δεσμεύσεις·</w:t>
      </w:r>
    </w:p>
    <w:p w:rsidR="005F1D83" w:rsidRPr="005D3C5F" w:rsidP="008E79B1" w14:paraId="1DC553EE" w14:textId="355353CC">
      <w:pPr>
        <w:pStyle w:val="NormalHanging12a"/>
        <w:ind w:hanging="570"/>
        <w:rPr>
          <w:bCs/>
          <w:iCs/>
        </w:rPr>
      </w:pPr>
      <w:r w:rsidRPr="005D3C5F">
        <w:t>52.</w:t>
      </w:r>
      <w:r w:rsidRPr="005D3C5F">
        <w:tab/>
      </w:r>
      <w:r w:rsidRPr="005D3C5F">
        <w:t>υπογραμμίζει τη σημασία των σχέσεων καλής γειτονίας και της περιφερειακής συνεργασίας ως βασικών συνιστωσών της διαδικασίας διεύρυνσης της ΕΕ και χαιρετίζει την ενεργό συμμετοχή της Αλβανίας σε περιφερειακές πρωτοβουλίες· υπογραμμίζει την ανάγκη για βαθύτερη συνεργασία στον τομέα της ασφάλειας εντός των Δυτικών Βαλκανίων, με την προώθηση στενότερου συντονισμού μεταξύ των περιφερειακών εταίρων για την καταπολέμηση του οργανωμένου εγκλήματος, των κυβερνοαπειλών και των υβριδικών προκλήσεων· αναγνωρίζει τη στρατηγική σημασία της περιοχής Αδριατικής-Ιονίου για την ευρωπαϊκή ασφάλεια και οικονομική σταθερότητα· καλεί την Αλβανία να ενισχύσει τις ικανότητές της στον τομέα της θαλάσσιας ασφάλειας σε συντονισμό με την ΕΕ και το ΝΑΤΟ, μεταξύ άλλων με την ενίσχυση της ναυτικής υποδομής, τη βελτίωση των συστημάτων επιτήρησης και την εντατικοποίηση των προσπαθειών για την καταπολέμηση παράνομων δραστηριοτήτων, όπως η εμπορία ανθρώπων· ενθαρρύνει την Αλβανία να συνεργαστεί στενότερα με τα παράκτια κράτη της ΕΕ για τη διασφάλιση της προστασίας των κρίσιμων θαλάσσιων οδών και της περιβαλλοντικής βιωσιμότητας στην περιοχή·</w:t>
      </w:r>
    </w:p>
    <w:p w:rsidR="005F1D83" w:rsidRPr="005D3C5F" w:rsidP="008E79B1" w14:paraId="3631A24F" w14:textId="02D80C0F">
      <w:pPr>
        <w:pStyle w:val="NormalHanging12a"/>
        <w:ind w:hanging="570"/>
        <w:rPr>
          <w:bCs/>
          <w:iCs/>
        </w:rPr>
      </w:pPr>
      <w:r w:rsidRPr="005D3C5F">
        <w:t>53.</w:t>
      </w:r>
      <w:r w:rsidRPr="005D3C5F">
        <w:tab/>
      </w:r>
      <w:r w:rsidRPr="005D3C5F">
        <w:t>προειδοποιεί ότι οι πρωτοβουλίες που αναπτύσσονται εκτός του πλαισίου της ΕΕ, συμπεριλαμβανομένης της πρωτοβουλίας «Ανοικτά Βαλκάνια», ενέχουν τον κίνδυνο δημιουργίας παράλληλων δομών που θα μπορούσαν να υπονομεύσουν τη διαδικασία του Βερολίνου και την κοινή περιφερειακή αγορά των Δυτικών Βαλκανίων·</w:t>
      </w:r>
    </w:p>
    <w:p w:rsidR="005F1D83" w:rsidRPr="005D3C5F" w:rsidP="005F1D83" w14:paraId="292C8A2A" w14:textId="77777777">
      <w:pPr>
        <w:pStyle w:val="NormalHanging12a"/>
        <w:rPr>
          <w:b/>
          <w:bCs/>
          <w:i/>
          <w:iCs/>
        </w:rPr>
      </w:pPr>
      <w:r w:rsidRPr="005D3C5F">
        <w:rPr>
          <w:b/>
          <w:i/>
        </w:rPr>
        <w:t>Στήριξη από την ΕΕ</w:t>
      </w:r>
    </w:p>
    <w:p w:rsidR="005F1D83" w:rsidRPr="005D3C5F" w:rsidP="008E79B1" w14:paraId="2CBD4274" w14:textId="1DA94C12">
      <w:pPr>
        <w:pStyle w:val="NormalHanging12a"/>
        <w:ind w:hanging="570"/>
      </w:pPr>
      <w:r w:rsidRPr="005D3C5F">
        <w:t>54.</w:t>
      </w:r>
      <w:r w:rsidRPr="005D3C5F">
        <w:tab/>
      </w:r>
      <w:r w:rsidRPr="005D3C5F">
        <w:t>χαιρετίζει τη χρηματοδοτική και τεχνική βοήθεια που παρέχει η ΕΕ στην Αλβανία στο πλαίσιο του ΜΠΒ ΙΙΙ και της διευκόλυνσης μεταρρυθμίσεων και ανάπτυξης, και τονίζει ότι η στήριξη αυτή πρέπει να παραμείνει σταθερά συνδεδεμένη με την συγκεκριμένη υλοποίηση συγκεκριμένων μεταρρυθμίσεων και μετρήσιμα αποτελέσματα· ζητεί να ενισχυθεί η στήριξη της ΕΕ σε πρωτοβουλίες περιφερειακής ασφάλειας που ενισχύουν τη σταθερότητα και την ανθεκτικότητα στην περιοχή των Δυτικών Βαλκανίων· χαιρετίζει τα μέτρα διμερούς συνδρομής του Ευρωπαϊκού Μηχανισμού για την Ειρήνη για τη στήριξη των αλβανικών ενόπλων δυνάμεων, τα οποία ενισχύουν τις δυνατότητες της Αλβανίας να συμβάλλει σε αποστολές και επιχειρήσεις της κοινής πολιτικής ασφάλειας και άμυνας της ΕΕ·</w:t>
      </w:r>
    </w:p>
    <w:p w:rsidR="005F1D83" w:rsidRPr="005D3C5F" w:rsidP="008E79B1" w14:paraId="73AB23C5" w14:textId="221F165A">
      <w:pPr>
        <w:pStyle w:val="NormalHanging12a"/>
        <w:ind w:hanging="570"/>
        <w:rPr>
          <w:bCs/>
          <w:iCs/>
        </w:rPr>
      </w:pPr>
      <w:r w:rsidRPr="005D3C5F">
        <w:t>55.</w:t>
      </w:r>
      <w:r w:rsidRPr="005D3C5F">
        <w:tab/>
      </w:r>
      <w:r w:rsidRPr="005D3C5F">
        <w:t>ζητεί ενισχυμένη εποπτεία και ουσιαστική συμμετοχή των οργανώσεων της κοινωνίας των πολιτών, των επιχειρηματικών ενώσεων και των κοινωνικών εταίρων σε όλα τα στάδια της διευκόλυνσης μεταρρυθμίσεων και ανάπτυξης για τα Δυτικά Βαλκάνια, συμπεριλαμβανομένων του σχεδιασμού μεταρρυθμιστικών μέτρων, της υλοποίησης έργων και της παρακολούθησης των αποτελεσμάτων·</w:t>
      </w:r>
    </w:p>
    <w:p w:rsidR="005F1D83" w:rsidRPr="005D3C5F" w:rsidP="008E79B1" w14:paraId="07882F49" w14:textId="1E2C3CA4">
      <w:pPr>
        <w:pStyle w:val="NormalHanging12a"/>
        <w:ind w:hanging="570"/>
        <w:rPr>
          <w:bCs/>
          <w:iCs/>
        </w:rPr>
      </w:pPr>
      <w:r w:rsidRPr="005D3C5F">
        <w:t>56.</w:t>
      </w:r>
      <w:r w:rsidRPr="005D3C5F">
        <w:tab/>
      </w:r>
      <w:r w:rsidRPr="005D3C5F">
        <w:t>καλεί την ΕΕ να παράσχει πρόσθετη χρηματοδοτική και τεχνική βοήθεια στην Αλβανία για τη στήριξη της βιώσιμης αγροτικής ανάπτυξης και τη μείωση του χάσματος μεταξύ αστικών και αγροτικών περιοχών σύμφωνα με τις πολιτικές συνοχής της ΕΕ·</w:t>
      </w:r>
    </w:p>
    <w:p w:rsidR="005F1D83" w:rsidRPr="005D3C5F" w:rsidP="008E79B1" w14:paraId="0E8ABA98" w14:textId="6F86B720">
      <w:pPr>
        <w:pStyle w:val="NormalHanging12a"/>
        <w:ind w:hanging="570"/>
        <w:rPr>
          <w:bCs/>
          <w:iCs/>
        </w:rPr>
      </w:pPr>
      <w:r w:rsidRPr="005D3C5F">
        <w:t>57.</w:t>
      </w:r>
      <w:r w:rsidRPr="005D3C5F">
        <w:tab/>
      </w:r>
      <w:r w:rsidRPr="005D3C5F">
        <w:t>εκφράζει την ανησυχία του για τις σοβαρές παρατυπίες που εντόπισε η Ευρωπαϊκή Υπηρεσία Καταπολέμησης της Απάτης κατά την εφαρμογή του προγράμματος του Μηχανισμού Προενταξιακής Βοήθειας της ΕΕ για την Αγροτική Ανάπτυξη (IPARD II) στην Αλβανία· υπογραμμίζει ότι είναι σημαντικό να διασφαλιστούν πλήρης διαφάνεια, λογοδοσία και αποτελεσματικοί μηχανισμοί ελέγχου κατά τη χρήση της χρηματοδοτικής βοήθειας της ΕΕ, προκειμένου να διασφαλιστούν τα οικονομικά συμφέροντα της ΕΕ και να διατηρηθεί η εμπιστοσύνη των πολιτών· ζητεί την άμεση εφαρμογή των αναγκαίων διορθωτικών μέτρων·</w:t>
      </w:r>
    </w:p>
    <w:p w:rsidR="005F1D83" w:rsidRPr="005D3C5F" w:rsidP="008E79B1" w14:paraId="7B252019" w14:textId="5347409D">
      <w:pPr>
        <w:pStyle w:val="NormalHanging12a"/>
        <w:ind w:hanging="570"/>
        <w:rPr>
          <w:bCs/>
          <w:iCs/>
        </w:rPr>
      </w:pPr>
      <w:r w:rsidRPr="005D3C5F">
        <w:t>58.</w:t>
      </w:r>
      <w:r w:rsidRPr="005D3C5F">
        <w:tab/>
      </w:r>
      <w:r w:rsidRPr="005D3C5F">
        <w:t>καλεί την Επιτροπή να συνεχίσει να παρέχει σαφή καθοδήγηση σχετικά με τις προτεραιότητες μεταρρυθμίσεων και να διασφαλίσει τη διαφανή και αυστηρή παρακολούθηση της προόδου των μεταρρυθμίσεων· καλεί επιπλέον την Επιτροπή να οργανώσει ενημερωτική εκστρατεία σε όλα τα κράτη μέλη και στην Αλβανία για να εξηγήσει τον θετικό αντίκτυπο της διεύρυνσης της ΕΕ στους πολίτες·</w:t>
      </w:r>
    </w:p>
    <w:p w:rsidR="005F1D83" w:rsidRPr="005D3C5F" w:rsidP="008E79B1" w14:paraId="64561063" w14:textId="05276480">
      <w:pPr>
        <w:pStyle w:val="NormalHanging12a"/>
        <w:ind w:hanging="570"/>
      </w:pPr>
      <w:r w:rsidRPr="005D3C5F">
        <w:t>59.</w:t>
      </w:r>
      <w:r w:rsidRPr="005D3C5F">
        <w:tab/>
      </w:r>
      <w:r w:rsidRPr="005D3C5F">
        <w:t>ενθαρρύνει την Επιτροπή, από κοινού με την Ευρωπαϊκή Υπηρεσία Εξωτερικής Δράσης και την Επιτροπή να συμβάλουν περαιτέρω στην ενίσχυση της ανθεκτικότητας της Αλβανίας έναντι των υβριδικών απειλών, στον τομέα της κυβερνοασφάλειας, της χειραγώγησης πληροφοριών και της προστασίας των υποδομών ζωτικής σημασίας· τονίζει την ανάγκη να βελτιωθεί ο συντονισμός και να αντιμετωπιστούν η παραπληροφόρηση και οι υβριδικές απειλές που επιδιώκουν να υπονομεύσουν την δημόσια στήριξη στην Αλβανία για την ένταξη στην ΕΕ, επισημαίνοντας με πιο στρατηγικό τρόπο τη σημασία της ΕΕ για τους πολίτες στα Δυτικά Βαλκάνια·</w:t>
      </w:r>
    </w:p>
    <w:p w:rsidR="005F1D83" w:rsidRPr="005D3C5F" w:rsidP="005F1D83" w14:paraId="54BF8F77" w14:textId="77777777">
      <w:pPr>
        <w:pStyle w:val="NormalHanging12a"/>
        <w:jc w:val="center"/>
      </w:pPr>
      <w:r w:rsidRPr="005D3C5F">
        <w:t>°</w:t>
      </w:r>
    </w:p>
    <w:p w:rsidR="005F1D83" w:rsidRPr="005D3C5F" w:rsidP="005F1D83" w14:paraId="53EF987A" w14:textId="77777777">
      <w:pPr>
        <w:pStyle w:val="NormalHanging12a"/>
        <w:jc w:val="center"/>
      </w:pPr>
      <w:r w:rsidRPr="005D3C5F">
        <w:t>°</w:t>
      </w:r>
      <w:r w:rsidRPr="005D3C5F">
        <w:tab/>
        <w:t>°</w:t>
      </w:r>
    </w:p>
    <w:p w:rsidR="005D3C5F" w:rsidRPr="005D3C5F" w:rsidP="008E79B1" w14:paraId="29B96EC4" w14:textId="44E0F518">
      <w:pPr>
        <w:pStyle w:val="NormalHanging12a"/>
        <w:ind w:hanging="570"/>
      </w:pPr>
      <w:r w:rsidRPr="005D3C5F">
        <w:t>60.</w:t>
      </w:r>
      <w:r w:rsidRPr="005D3C5F">
        <w:tab/>
      </w:r>
      <w:r w:rsidRPr="005D3C5F" w:rsidR="005F1D83">
        <w:t xml:space="preserve">αναθέτει στην Πρόεδρό του να διαβιβάσει το παρόν ψήφισμα στο Συμβούλιο και στην Επιτροπή και στον Πρόεδρο του Ευρωπαϊκού Συμβουλίου, στην Αντιπρόεδρο της </w:t>
      </w:r>
      <w:r w:rsidRPr="005D3C5F" w:rsidR="005F1D83">
        <w:t>Επιτροπής / Ύπατη Εκπρόσωπο της Ένωσης για Θέματα Εξωτερικής Πολιτικής και Πολιτικής Ασφαλείας, στις κυβερνήσεις και τα κοινοβούλια των κρατών μελών, καθώς και στον Πρόεδρο, την κυβέρνηση και το κοινοβούλιο της Δημοκρατίας της Αλβανίας.</w:t>
      </w:r>
    </w:p>
    <w:p w:rsidR="00E365E1" w:rsidRPr="005D3C5F" w:rsidP="00F75944" w14:paraId="741B08E8" w14:textId="7D06F382"/>
    <w:sectPr w:rsidSect="005D3C5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3C5F" w14:paraId="5D1B9AE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3C5F" w14:paraId="6F91570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3C5F" w14:paraId="28964B3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75944" w:rsidRPr="005D3C5F" w14:paraId="32A9B460" w14:textId="77777777">
      <w:r w:rsidRPr="005D3C5F">
        <w:separator/>
      </w:r>
    </w:p>
  </w:footnote>
  <w:footnote w:type="continuationSeparator" w:id="1">
    <w:p w:rsidR="00F75944" w:rsidRPr="005D3C5F" w14:paraId="58574959" w14:textId="77777777">
      <w:r w:rsidRPr="005D3C5F">
        <w:continuationSeparator/>
      </w:r>
    </w:p>
  </w:footnote>
  <w:footnote w:id="2">
    <w:p w:rsidR="005F1D83" w:rsidRPr="00BE3AEE" w:rsidP="00BE3AEE" w14:paraId="3C012E2A" w14:textId="3A5AF676">
      <w:pPr>
        <w:pStyle w:val="FootnoteText"/>
        <w:ind w:left="567" w:hanging="567"/>
        <w:rPr>
          <w:sz w:val="24"/>
          <w:szCs w:val="24"/>
          <w:lang w:val="el-GR"/>
        </w:rPr>
      </w:pPr>
      <w:r w:rsidRPr="00BE3AEE">
        <w:rPr>
          <w:rStyle w:val="FootnoteReference"/>
          <w:sz w:val="24"/>
          <w:szCs w:val="24"/>
          <w:lang w:val="el-GR"/>
        </w:rPr>
        <w:footnoteRef/>
      </w:r>
      <w:r w:rsidRPr="00BE3AEE" w:rsidR="005D3C5F">
        <w:rPr>
          <w:sz w:val="24"/>
          <w:szCs w:val="24"/>
          <w:lang w:val="el-GR"/>
        </w:rPr>
        <w:t xml:space="preserve"> </w:t>
      </w:r>
      <w:r w:rsidRPr="00BE3AEE" w:rsidR="005D3C5F">
        <w:rPr>
          <w:sz w:val="24"/>
          <w:szCs w:val="24"/>
          <w:lang w:val="el-GR"/>
        </w:rPr>
        <w:tab/>
      </w:r>
      <w:r w:rsidRPr="00BE3AEE">
        <w:rPr>
          <w:sz w:val="24"/>
          <w:szCs w:val="24"/>
          <w:lang w:val="el-GR"/>
        </w:rPr>
        <w:t xml:space="preserve">ΕΕ L 107 της 28.4.2009, σ. 166, ELI: </w:t>
      </w:r>
      <w:hyperlink r:id="rId1" w:tooltip="Πρόσβαση στο έγγραφο μέσω URI τύπου ELI." w:history="1">
        <w:r w:rsidRPr="00BE3AEE">
          <w:rPr>
            <w:rStyle w:val="Hyperlink"/>
            <w:sz w:val="24"/>
            <w:szCs w:val="24"/>
            <w:lang w:val="el-GR"/>
          </w:rPr>
          <w:t>http://data.europa.eu/eli/agree_internation/2009/332/oj</w:t>
        </w:r>
      </w:hyperlink>
      <w:r w:rsidRPr="00BE3AEE">
        <w:rPr>
          <w:sz w:val="24"/>
          <w:szCs w:val="24"/>
          <w:lang w:val="el-GR"/>
        </w:rPr>
        <w:t>.</w:t>
      </w:r>
    </w:p>
  </w:footnote>
  <w:footnote w:id="3">
    <w:p w:rsidR="005F1D83" w:rsidRPr="00BE3AEE" w:rsidP="00BE3AEE" w14:paraId="1454C3B9" w14:textId="02166CCF">
      <w:pPr>
        <w:pStyle w:val="FootnoteText"/>
        <w:ind w:left="567" w:hanging="567"/>
        <w:rPr>
          <w:sz w:val="24"/>
          <w:szCs w:val="24"/>
          <w:lang w:val="el-GR"/>
        </w:rPr>
      </w:pPr>
      <w:r w:rsidRPr="00BE3AEE">
        <w:rPr>
          <w:rStyle w:val="FootnoteReference"/>
          <w:sz w:val="24"/>
          <w:szCs w:val="24"/>
          <w:lang w:val="el-GR"/>
        </w:rPr>
        <w:footnoteRef/>
      </w:r>
      <w:r w:rsidRPr="00BE3AEE" w:rsidR="005D3C5F">
        <w:rPr>
          <w:sz w:val="24"/>
          <w:szCs w:val="24"/>
          <w:lang w:val="el-GR"/>
        </w:rPr>
        <w:t xml:space="preserve"> </w:t>
      </w:r>
      <w:r w:rsidRPr="00BE3AEE" w:rsidR="005D3C5F">
        <w:rPr>
          <w:sz w:val="24"/>
          <w:szCs w:val="24"/>
          <w:lang w:val="el-GR"/>
        </w:rPr>
        <w:tab/>
      </w:r>
      <w:r w:rsidRPr="00BE3AEE">
        <w:rPr>
          <w:sz w:val="24"/>
          <w:szCs w:val="24"/>
          <w:lang w:val="el-GR"/>
        </w:rPr>
        <w:t xml:space="preserve">ΕΕ L 330 της 20.9.2021, σ. 1, ELI: </w:t>
      </w:r>
      <w:hyperlink r:id="rId2" w:tooltip="Πρόσβαση στο έγγραφο μέσω URI τύπου ELI." w:history="1">
        <w:r w:rsidRPr="00BE3AEE">
          <w:rPr>
            <w:rStyle w:val="Hyperlink"/>
            <w:sz w:val="24"/>
            <w:szCs w:val="24"/>
            <w:lang w:val="el-GR"/>
          </w:rPr>
          <w:t>http://data.europa.eu/eli/reg/2021/1529/oj</w:t>
        </w:r>
      </w:hyperlink>
      <w:r w:rsidRPr="00BE3AEE">
        <w:rPr>
          <w:sz w:val="24"/>
          <w:szCs w:val="24"/>
          <w:lang w:val="el-GR"/>
        </w:rPr>
        <w:t>.</w:t>
      </w:r>
    </w:p>
  </w:footnote>
  <w:footnote w:id="4">
    <w:p w:rsidR="005F1D83" w:rsidRPr="008E79B1" w:rsidP="00BE3AEE" w14:paraId="12E5481B" w14:textId="39EC4256">
      <w:pPr>
        <w:pStyle w:val="FootnoteText"/>
        <w:ind w:left="567" w:hanging="567"/>
        <w:rPr>
          <w:sz w:val="24"/>
          <w:szCs w:val="24"/>
          <w:lang w:val="fi-FI"/>
        </w:rPr>
      </w:pPr>
      <w:r w:rsidRPr="00BE3AEE">
        <w:rPr>
          <w:rStyle w:val="FootnoteReference"/>
          <w:sz w:val="24"/>
          <w:szCs w:val="24"/>
          <w:lang w:val="el-GR"/>
        </w:rPr>
        <w:footnoteRef/>
      </w:r>
      <w:r w:rsidRPr="008E79B1" w:rsidR="005D3C5F">
        <w:rPr>
          <w:sz w:val="24"/>
          <w:szCs w:val="24"/>
          <w:lang w:val="fi-FI"/>
        </w:rPr>
        <w:t xml:space="preserve"> </w:t>
      </w:r>
      <w:r w:rsidRPr="008E79B1" w:rsidR="005D3C5F">
        <w:rPr>
          <w:sz w:val="24"/>
          <w:szCs w:val="24"/>
          <w:lang w:val="fi-FI"/>
        </w:rPr>
        <w:tab/>
      </w:r>
      <w:r w:rsidRPr="00BE3AEE">
        <w:rPr>
          <w:sz w:val="24"/>
          <w:szCs w:val="24"/>
          <w:lang w:val="el-GR"/>
        </w:rPr>
        <w:t>ΕΕ</w:t>
      </w:r>
      <w:r w:rsidRPr="008E79B1">
        <w:rPr>
          <w:sz w:val="24"/>
          <w:szCs w:val="24"/>
          <w:lang w:val="fi-FI"/>
        </w:rPr>
        <w:t xml:space="preserve"> L, 2024/1449, 24.5.2024, ELI: </w:t>
      </w:r>
      <w:hyperlink r:id="rId3" w:tgtFrame="_blank" w:tooltip="Πρόσβαση στο έγγραφο μέσω URI τύπου ELI." w:history="1">
        <w:r w:rsidRPr="008E79B1">
          <w:rPr>
            <w:rStyle w:val="Hyperlink"/>
            <w:sz w:val="24"/>
            <w:szCs w:val="24"/>
            <w:lang w:val="fi-FI"/>
          </w:rPr>
          <w:t>http://data.europa.eu/eli/reg/2024/1449/oj</w:t>
        </w:r>
      </w:hyperlink>
      <w:r w:rsidRPr="008E79B1">
        <w:rPr>
          <w:sz w:val="24"/>
          <w:szCs w:val="24"/>
          <w:lang w:val="fi-FI"/>
        </w:rPr>
        <w:t>.</w:t>
      </w:r>
    </w:p>
  </w:footnote>
  <w:footnote w:id="5">
    <w:p w:rsidR="005F1D83" w:rsidRPr="00BE3AEE" w:rsidP="00BE3AEE" w14:paraId="010BFA9F" w14:textId="6AC59165">
      <w:pPr>
        <w:pStyle w:val="FootnoteText"/>
        <w:ind w:left="567" w:hanging="567"/>
        <w:rPr>
          <w:sz w:val="24"/>
          <w:szCs w:val="24"/>
          <w:lang w:val="el-GR"/>
        </w:rPr>
      </w:pPr>
      <w:r w:rsidRPr="00BE3AEE">
        <w:rPr>
          <w:rStyle w:val="FootnoteReference"/>
          <w:sz w:val="24"/>
          <w:szCs w:val="24"/>
          <w:lang w:val="el-GR"/>
        </w:rPr>
        <w:footnoteRef/>
      </w:r>
      <w:r w:rsidRPr="00BE3AEE" w:rsidR="005D3C5F">
        <w:rPr>
          <w:sz w:val="24"/>
          <w:szCs w:val="24"/>
          <w:lang w:val="el-GR"/>
        </w:rPr>
        <w:t xml:space="preserve"> </w:t>
      </w:r>
      <w:r w:rsidRPr="00BE3AEE" w:rsidR="005D3C5F">
        <w:rPr>
          <w:sz w:val="24"/>
          <w:szCs w:val="24"/>
          <w:lang w:val="el-GR"/>
        </w:rPr>
        <w:tab/>
      </w:r>
      <w:r w:rsidRPr="00BE3AEE">
        <w:rPr>
          <w:sz w:val="24"/>
          <w:szCs w:val="24"/>
          <w:lang w:val="el-GR"/>
        </w:rPr>
        <w:t>Κείμενα που εγκρίθηκαν, P10_TA(2026)0077.</w:t>
      </w:r>
    </w:p>
  </w:footnote>
  <w:footnote w:id="6">
    <w:p w:rsidR="005F1D83" w:rsidRPr="00BE3AEE" w:rsidP="00BE3AEE" w14:paraId="439A4BD3" w14:textId="07939C54">
      <w:pPr>
        <w:pStyle w:val="FootnoteText"/>
        <w:ind w:left="567" w:hanging="567"/>
        <w:rPr>
          <w:sz w:val="24"/>
          <w:szCs w:val="24"/>
          <w:lang w:val="el-GR"/>
        </w:rPr>
      </w:pPr>
      <w:r w:rsidRPr="00BE3AEE">
        <w:rPr>
          <w:rStyle w:val="FootnoteReference"/>
          <w:sz w:val="24"/>
          <w:szCs w:val="24"/>
          <w:lang w:val="el-GR"/>
        </w:rPr>
        <w:footnoteRef/>
      </w:r>
      <w:r w:rsidRPr="00BE3AEE" w:rsidR="005D3C5F">
        <w:rPr>
          <w:sz w:val="24"/>
          <w:szCs w:val="24"/>
          <w:lang w:val="el-GR"/>
        </w:rPr>
        <w:t xml:space="preserve"> </w:t>
      </w:r>
      <w:r w:rsidRPr="00BE3AEE" w:rsidR="005D3C5F">
        <w:rPr>
          <w:sz w:val="24"/>
          <w:szCs w:val="24"/>
          <w:lang w:val="el-GR"/>
        </w:rPr>
        <w:tab/>
      </w:r>
      <w:r w:rsidRPr="00BE3AEE">
        <w:rPr>
          <w:sz w:val="24"/>
          <w:szCs w:val="24"/>
          <w:lang w:val="el-GR"/>
        </w:rPr>
        <w:t>Οδηγία (ΕΕ) 2022/2555 του Ευρωπαϊκού Κοινοβουλίου και του Συμβουλίου, της 14ης</w:t>
      </w:r>
      <w:r w:rsidRPr="00BE3AEE" w:rsidR="00D555A1">
        <w:rPr>
          <w:sz w:val="24"/>
          <w:szCs w:val="24"/>
          <w:lang w:val="el-GR"/>
        </w:rPr>
        <w:t> </w:t>
      </w:r>
      <w:r w:rsidRPr="00BE3AEE">
        <w:rPr>
          <w:sz w:val="24"/>
          <w:szCs w:val="24"/>
          <w:lang w:val="el-GR"/>
        </w:rPr>
        <w:t>Δεκεμβρίου 2022, σχετικά με μέτρα για υψηλό κοινό επίπεδο κυβερνοασφάλειας σε ολόκληρη την Ένωση, την τροποποίηση του κανονισμού (ΕΕ) αριθ. 910/2014 και της οδηγίας (ΕΕ) 2018/1972, και για την κατάργηση της οδηγίας (ΕΕ) 2016/1148 (οδηγία NIS 2) (ΕΕ L 333 της 27.12.2022, σ. 80, ELI: </w:t>
      </w:r>
      <w:hyperlink r:id="rId4" w:tooltip="Πρόσβαση στο έγγραφο μέσω URI τύπου ELI." w:history="1">
        <w:r w:rsidRPr="00BE3AEE">
          <w:rPr>
            <w:rStyle w:val="Hyperlink"/>
            <w:sz w:val="24"/>
            <w:szCs w:val="24"/>
            <w:lang w:val="el-GR"/>
          </w:rPr>
          <w:t>http://data.europa.eu/eli/dir/2022/2555/oj</w:t>
        </w:r>
      </w:hyperlink>
      <w:r w:rsidRPr="00BE3AEE">
        <w:rPr>
          <w:sz w:val="24"/>
          <w:szCs w:val="24"/>
          <w:lang w:val="el-GR"/>
        </w:rPr>
        <w:t>).</w:t>
      </w:r>
    </w:p>
  </w:footnote>
  <w:footnote w:id="7">
    <w:p w:rsidR="00BE3AEE" w:rsidRPr="008E79B1" w:rsidP="008E79B1" w14:paraId="520B6E9D" w14:textId="2317095E">
      <w:pPr>
        <w:pStyle w:val="FootnoteText"/>
        <w:ind w:left="567" w:hanging="567"/>
        <w:rPr>
          <w:sz w:val="24"/>
          <w:szCs w:val="24"/>
          <w:lang w:val="el-GR"/>
        </w:rPr>
      </w:pPr>
      <w:r w:rsidRPr="008E79B1">
        <w:rPr>
          <w:rStyle w:val="FootnoteReference"/>
          <w:sz w:val="24"/>
          <w:szCs w:val="24"/>
        </w:rPr>
        <w:footnoteRef/>
      </w:r>
      <w:r w:rsidRPr="008E79B1">
        <w:rPr>
          <w:sz w:val="24"/>
          <w:szCs w:val="24"/>
          <w:lang w:val="el-GR"/>
        </w:rPr>
        <w:t xml:space="preserve"> </w:t>
      </w:r>
      <w:r>
        <w:rPr>
          <w:sz w:val="24"/>
          <w:szCs w:val="24"/>
          <w:lang w:val="el-GR"/>
        </w:rPr>
        <w:tab/>
      </w:r>
      <w:r w:rsidRPr="008E79B1">
        <w:rPr>
          <w:sz w:val="24"/>
          <w:szCs w:val="24"/>
          <w:lang w:val="el-GR"/>
        </w:rPr>
        <w:t xml:space="preserve">Οδηγία 2009/147/ΕΚ του Ευρωπαϊκού Κοινοβουλίου και του Συμβουλίου, της 30ής Νοεμβρίου 2009, περί της διατηρήσεως των αγρίων πτηνών (ΕΕ L 20 της 26.1.2010, σ. 7, ELI: </w:t>
      </w:r>
      <w:hyperlink r:id="rId5" w:history="1">
        <w:r w:rsidRPr="008E79B1">
          <w:rPr>
            <w:rStyle w:val="Hyperlink"/>
            <w:sz w:val="24"/>
            <w:szCs w:val="24"/>
          </w:rPr>
          <w:t>http</w:t>
        </w:r>
        <w:r w:rsidRPr="008E79B1">
          <w:rPr>
            <w:rStyle w:val="Hyperlink"/>
            <w:sz w:val="24"/>
            <w:szCs w:val="24"/>
            <w:lang w:val="el-GR"/>
          </w:rPr>
          <w:t>://</w:t>
        </w:r>
        <w:r w:rsidRPr="008E79B1">
          <w:rPr>
            <w:rStyle w:val="Hyperlink"/>
            <w:sz w:val="24"/>
            <w:szCs w:val="24"/>
          </w:rPr>
          <w:t>data</w:t>
        </w:r>
        <w:r w:rsidRPr="008E79B1">
          <w:rPr>
            <w:rStyle w:val="Hyperlink"/>
            <w:sz w:val="24"/>
            <w:szCs w:val="24"/>
            <w:lang w:val="el-GR"/>
          </w:rPr>
          <w:t>.</w:t>
        </w:r>
        <w:r w:rsidRPr="008E79B1">
          <w:rPr>
            <w:rStyle w:val="Hyperlink"/>
            <w:sz w:val="24"/>
            <w:szCs w:val="24"/>
          </w:rPr>
          <w:t>europa</w:t>
        </w:r>
        <w:r w:rsidRPr="008E79B1">
          <w:rPr>
            <w:rStyle w:val="Hyperlink"/>
            <w:sz w:val="24"/>
            <w:szCs w:val="24"/>
            <w:lang w:val="el-GR"/>
          </w:rPr>
          <w:t>.</w:t>
        </w:r>
        <w:r w:rsidRPr="008E79B1">
          <w:rPr>
            <w:rStyle w:val="Hyperlink"/>
            <w:sz w:val="24"/>
            <w:szCs w:val="24"/>
          </w:rPr>
          <w:t>eu</w:t>
        </w:r>
        <w:r w:rsidRPr="008E79B1">
          <w:rPr>
            <w:rStyle w:val="Hyperlink"/>
            <w:sz w:val="24"/>
            <w:szCs w:val="24"/>
            <w:lang w:val="el-GR"/>
          </w:rPr>
          <w:t>/</w:t>
        </w:r>
        <w:r w:rsidRPr="008E79B1">
          <w:rPr>
            <w:rStyle w:val="Hyperlink"/>
            <w:sz w:val="24"/>
            <w:szCs w:val="24"/>
          </w:rPr>
          <w:t>eli</w:t>
        </w:r>
        <w:r w:rsidRPr="008E79B1">
          <w:rPr>
            <w:rStyle w:val="Hyperlink"/>
            <w:sz w:val="24"/>
            <w:szCs w:val="24"/>
            <w:lang w:val="el-GR"/>
          </w:rPr>
          <w:t>/</w:t>
        </w:r>
        <w:r w:rsidRPr="008E79B1">
          <w:rPr>
            <w:rStyle w:val="Hyperlink"/>
            <w:sz w:val="24"/>
            <w:szCs w:val="24"/>
          </w:rPr>
          <w:t>dir</w:t>
        </w:r>
        <w:r w:rsidRPr="008E79B1">
          <w:rPr>
            <w:rStyle w:val="Hyperlink"/>
            <w:sz w:val="24"/>
            <w:szCs w:val="24"/>
            <w:lang w:val="el-GR"/>
          </w:rPr>
          <w:t>/2009/147/</w:t>
        </w:r>
        <w:r w:rsidRPr="008E79B1">
          <w:rPr>
            <w:rStyle w:val="Hyperlink"/>
            <w:sz w:val="24"/>
            <w:szCs w:val="24"/>
          </w:rPr>
          <w:t>oj</w:t>
        </w:r>
      </w:hyperlink>
      <w:r w:rsidRPr="008E79B1">
        <w:rPr>
          <w:sz w:val="24"/>
          <w:szCs w:val="24"/>
          <w:lang w:val="el-GR"/>
        </w:rPr>
        <w:t>).</w:t>
      </w:r>
      <w:r>
        <w:rPr>
          <w:sz w:val="24"/>
          <w:szCs w:val="24"/>
          <w:lang w:val="el-GR"/>
        </w:rPr>
        <w:t xml:space="preserve"> </w:t>
      </w:r>
    </w:p>
  </w:footnote>
  <w:footnote w:id="8">
    <w:p w:rsidR="00BE3AEE" w:rsidRPr="008E79B1" w:rsidP="008E79B1" w14:paraId="22CA2EC0" w14:textId="0FEEAFD5">
      <w:pPr>
        <w:pStyle w:val="FootnoteText"/>
        <w:ind w:left="567" w:hanging="567"/>
        <w:rPr>
          <w:sz w:val="24"/>
          <w:szCs w:val="24"/>
          <w:lang w:val="el-GR"/>
        </w:rPr>
      </w:pPr>
      <w:r w:rsidRPr="008E79B1">
        <w:rPr>
          <w:rStyle w:val="FootnoteReference"/>
          <w:sz w:val="24"/>
          <w:szCs w:val="24"/>
        </w:rPr>
        <w:footnoteRef/>
      </w:r>
      <w:r w:rsidRPr="008E79B1">
        <w:rPr>
          <w:sz w:val="24"/>
          <w:szCs w:val="24"/>
          <w:lang w:val="el-GR"/>
        </w:rPr>
        <w:t xml:space="preserve"> </w:t>
      </w:r>
      <w:r w:rsidRPr="008E79B1">
        <w:rPr>
          <w:sz w:val="24"/>
          <w:szCs w:val="24"/>
          <w:lang w:val="el-GR"/>
        </w:rPr>
        <w:tab/>
        <w:t xml:space="preserve">Οδηγία 92/43/ΕΟΚ του Συμβουλίου, της 21ης Μαΐου 1992, για τη διατήρηση των φυσικών </w:t>
      </w:r>
      <w:r w:rsidRPr="008E79B1">
        <w:rPr>
          <w:sz w:val="24"/>
          <w:szCs w:val="24"/>
          <w:lang w:val="el-GR"/>
        </w:rPr>
        <w:t>οικοτόπων</w:t>
      </w:r>
      <w:r w:rsidRPr="008E79B1">
        <w:rPr>
          <w:sz w:val="24"/>
          <w:szCs w:val="24"/>
          <w:lang w:val="el-GR"/>
        </w:rPr>
        <w:t xml:space="preserve"> καθώς και της άγριας πανίδας και χλωρίδας (ΕΕ L 206 της 22.7.1992, σ. 7, ELI: </w:t>
      </w:r>
      <w:hyperlink r:id="rId6" w:history="1">
        <w:r w:rsidRPr="008E79B1">
          <w:rPr>
            <w:rStyle w:val="Hyperlink"/>
            <w:sz w:val="24"/>
            <w:szCs w:val="24"/>
          </w:rPr>
          <w:t>http</w:t>
        </w:r>
        <w:r w:rsidRPr="008E79B1">
          <w:rPr>
            <w:rStyle w:val="Hyperlink"/>
            <w:sz w:val="24"/>
            <w:szCs w:val="24"/>
            <w:lang w:val="el-GR"/>
          </w:rPr>
          <w:t>://</w:t>
        </w:r>
        <w:r w:rsidRPr="008E79B1">
          <w:rPr>
            <w:rStyle w:val="Hyperlink"/>
            <w:sz w:val="24"/>
            <w:szCs w:val="24"/>
          </w:rPr>
          <w:t>data</w:t>
        </w:r>
        <w:r w:rsidRPr="008E79B1">
          <w:rPr>
            <w:rStyle w:val="Hyperlink"/>
            <w:sz w:val="24"/>
            <w:szCs w:val="24"/>
            <w:lang w:val="el-GR"/>
          </w:rPr>
          <w:t>.</w:t>
        </w:r>
        <w:r w:rsidRPr="008E79B1">
          <w:rPr>
            <w:rStyle w:val="Hyperlink"/>
            <w:sz w:val="24"/>
            <w:szCs w:val="24"/>
          </w:rPr>
          <w:t>europa</w:t>
        </w:r>
        <w:r w:rsidRPr="008E79B1">
          <w:rPr>
            <w:rStyle w:val="Hyperlink"/>
            <w:sz w:val="24"/>
            <w:szCs w:val="24"/>
            <w:lang w:val="el-GR"/>
          </w:rPr>
          <w:t>.</w:t>
        </w:r>
        <w:r w:rsidRPr="008E79B1">
          <w:rPr>
            <w:rStyle w:val="Hyperlink"/>
            <w:sz w:val="24"/>
            <w:szCs w:val="24"/>
          </w:rPr>
          <w:t>eu</w:t>
        </w:r>
        <w:r w:rsidRPr="008E79B1">
          <w:rPr>
            <w:rStyle w:val="Hyperlink"/>
            <w:sz w:val="24"/>
            <w:szCs w:val="24"/>
            <w:lang w:val="el-GR"/>
          </w:rPr>
          <w:t>/</w:t>
        </w:r>
        <w:r w:rsidRPr="008E79B1">
          <w:rPr>
            <w:rStyle w:val="Hyperlink"/>
            <w:sz w:val="24"/>
            <w:szCs w:val="24"/>
          </w:rPr>
          <w:t>eli</w:t>
        </w:r>
        <w:r w:rsidRPr="008E79B1">
          <w:rPr>
            <w:rStyle w:val="Hyperlink"/>
            <w:sz w:val="24"/>
            <w:szCs w:val="24"/>
            <w:lang w:val="el-GR"/>
          </w:rPr>
          <w:t>/</w:t>
        </w:r>
        <w:r w:rsidRPr="008E79B1">
          <w:rPr>
            <w:rStyle w:val="Hyperlink"/>
            <w:sz w:val="24"/>
            <w:szCs w:val="24"/>
          </w:rPr>
          <w:t>dir</w:t>
        </w:r>
        <w:r w:rsidRPr="008E79B1">
          <w:rPr>
            <w:rStyle w:val="Hyperlink"/>
            <w:sz w:val="24"/>
            <w:szCs w:val="24"/>
            <w:lang w:val="el-GR"/>
          </w:rPr>
          <w:t>/1992/43/</w:t>
        </w:r>
        <w:r w:rsidRPr="008E79B1">
          <w:rPr>
            <w:rStyle w:val="Hyperlink"/>
            <w:sz w:val="24"/>
            <w:szCs w:val="24"/>
          </w:rPr>
          <w:t>oj</w:t>
        </w:r>
      </w:hyperlink>
      <w:r w:rsidRPr="008E79B1">
        <w:rPr>
          <w:sz w:val="24"/>
          <w:szCs w:val="24"/>
          <w:lang w:val="el-GR"/>
        </w:rPr>
        <w:t>).</w:t>
      </w:r>
      <w:r>
        <w:rPr>
          <w:sz w:val="24"/>
          <w:szCs w:val="24"/>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3C5F" w14:paraId="578F391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3C5F" w14:paraId="6F46AF3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3C5F" w14:paraId="4D59CD2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428F2D81"/>
    <w:multiLevelType w:val="hybridMultilevel"/>
    <w:tmpl w:val="C33663C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43ED1689"/>
    <w:multiLevelType w:val="hybridMultilevel"/>
    <w:tmpl w:val="DA9420AC"/>
    <w:lvl w:ilvl="0">
      <w:start w:val="1"/>
      <w:numFmt w:val="decimal"/>
      <w:lvlText w:val="%1."/>
      <w:lvlJc w:val="left"/>
      <w:pPr>
        <w:ind w:left="930" w:hanging="570"/>
      </w:pPr>
      <w:rPr>
        <w:rFonts w:hint="default"/>
        <w:b w:val="0"/>
        <w:bCs w:val="0"/>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311247522">
    <w:abstractNumId w:val="9"/>
  </w:num>
  <w:num w:numId="2" w16cid:durableId="226458950">
    <w:abstractNumId w:val="9"/>
  </w:num>
  <w:num w:numId="3" w16cid:durableId="1149634867">
    <w:abstractNumId w:val="7"/>
  </w:num>
  <w:num w:numId="4" w16cid:durableId="781874577">
    <w:abstractNumId w:val="7"/>
  </w:num>
  <w:num w:numId="5" w16cid:durableId="849954086">
    <w:abstractNumId w:val="6"/>
  </w:num>
  <w:num w:numId="6" w16cid:durableId="965425394">
    <w:abstractNumId w:val="6"/>
  </w:num>
  <w:num w:numId="7" w16cid:durableId="806581205">
    <w:abstractNumId w:val="5"/>
  </w:num>
  <w:num w:numId="8" w16cid:durableId="1084645882">
    <w:abstractNumId w:val="5"/>
  </w:num>
  <w:num w:numId="9" w16cid:durableId="1585457392">
    <w:abstractNumId w:val="4"/>
  </w:num>
  <w:num w:numId="10" w16cid:durableId="293633375">
    <w:abstractNumId w:val="4"/>
  </w:num>
  <w:num w:numId="11" w16cid:durableId="1971282881">
    <w:abstractNumId w:val="8"/>
  </w:num>
  <w:num w:numId="12" w16cid:durableId="467095762">
    <w:abstractNumId w:val="8"/>
  </w:num>
  <w:num w:numId="13" w16cid:durableId="587420967">
    <w:abstractNumId w:val="3"/>
  </w:num>
  <w:num w:numId="14" w16cid:durableId="2031759555">
    <w:abstractNumId w:val="3"/>
  </w:num>
  <w:num w:numId="15" w16cid:durableId="113326899">
    <w:abstractNumId w:val="2"/>
  </w:num>
  <w:num w:numId="16" w16cid:durableId="1708480699">
    <w:abstractNumId w:val="2"/>
  </w:num>
  <w:num w:numId="17" w16cid:durableId="1958369036">
    <w:abstractNumId w:val="1"/>
  </w:num>
  <w:num w:numId="18" w16cid:durableId="1589074513">
    <w:abstractNumId w:val="1"/>
  </w:num>
  <w:num w:numId="19" w16cid:durableId="1121807223">
    <w:abstractNumId w:val="0"/>
  </w:num>
  <w:num w:numId="20" w16cid:durableId="1632904119">
    <w:abstractNumId w:val="0"/>
  </w:num>
  <w:num w:numId="21" w16cid:durableId="661391784">
    <w:abstractNumId w:val="9"/>
  </w:num>
  <w:num w:numId="22" w16cid:durableId="637103205">
    <w:abstractNumId w:val="7"/>
  </w:num>
  <w:num w:numId="23" w16cid:durableId="956329080">
    <w:abstractNumId w:val="6"/>
  </w:num>
  <w:num w:numId="24" w16cid:durableId="2095275976">
    <w:abstractNumId w:val="5"/>
  </w:num>
  <w:num w:numId="25" w16cid:durableId="1871455383">
    <w:abstractNumId w:val="4"/>
  </w:num>
  <w:num w:numId="26" w16cid:durableId="1645962160">
    <w:abstractNumId w:val="8"/>
  </w:num>
  <w:num w:numId="27" w16cid:durableId="1813018154">
    <w:abstractNumId w:val="3"/>
  </w:num>
  <w:num w:numId="28" w16cid:durableId="1256981879">
    <w:abstractNumId w:val="2"/>
  </w:num>
  <w:num w:numId="29" w16cid:durableId="121533795">
    <w:abstractNumId w:val="1"/>
  </w:num>
  <w:num w:numId="30" w16cid:durableId="1501046844">
    <w:abstractNumId w:val="0"/>
  </w:num>
  <w:num w:numId="31" w16cid:durableId="1210726888">
    <w:abstractNumId w:val="9"/>
  </w:num>
  <w:num w:numId="32" w16cid:durableId="1147017399">
    <w:abstractNumId w:val="7"/>
  </w:num>
  <w:num w:numId="33" w16cid:durableId="1369448860">
    <w:abstractNumId w:val="6"/>
  </w:num>
  <w:num w:numId="34" w16cid:durableId="558785313">
    <w:abstractNumId w:val="5"/>
  </w:num>
  <w:num w:numId="35" w16cid:durableId="1943294524">
    <w:abstractNumId w:val="4"/>
  </w:num>
  <w:num w:numId="36" w16cid:durableId="1650666083">
    <w:abstractNumId w:val="8"/>
  </w:num>
  <w:num w:numId="37" w16cid:durableId="975719041">
    <w:abstractNumId w:val="3"/>
  </w:num>
  <w:num w:numId="38" w16cid:durableId="899900083">
    <w:abstractNumId w:val="2"/>
  </w:num>
  <w:num w:numId="39" w16cid:durableId="1039360293">
    <w:abstractNumId w:val="1"/>
  </w:num>
  <w:num w:numId="40" w16cid:durableId="1960185471">
    <w:abstractNumId w:val="0"/>
  </w:num>
  <w:num w:numId="41" w16cid:durableId="1160466530">
    <w:abstractNumId w:val="10"/>
  </w:num>
  <w:num w:numId="42" w16cid:durableId="628367042">
    <w:abstractNumId w:val="10"/>
  </w:num>
  <w:num w:numId="43" w16cid:durableId="2013340342">
    <w:abstractNumId w:val="10"/>
  </w:num>
  <w:num w:numId="44" w16cid:durableId="982587649">
    <w:abstractNumId w:val="11"/>
  </w:num>
  <w:num w:numId="45" w16cid:durableId="572931244">
    <w:abstractNumId w:val="12"/>
  </w:num>
  <w:num w:numId="46" w16cid:durableId="5033211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944"/>
    <w:rsid w:val="00002272"/>
    <w:rsid w:val="0001052A"/>
    <w:rsid w:val="00064002"/>
    <w:rsid w:val="000677B9"/>
    <w:rsid w:val="000831BA"/>
    <w:rsid w:val="000A42CC"/>
    <w:rsid w:val="000E7DD9"/>
    <w:rsid w:val="0010095E"/>
    <w:rsid w:val="00125B37"/>
    <w:rsid w:val="0017435D"/>
    <w:rsid w:val="00187494"/>
    <w:rsid w:val="001F32AE"/>
    <w:rsid w:val="002767FF"/>
    <w:rsid w:val="002B18FE"/>
    <w:rsid w:val="002B5493"/>
    <w:rsid w:val="00343214"/>
    <w:rsid w:val="00360E55"/>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3C5F"/>
    <w:rsid w:val="005F1B17"/>
    <w:rsid w:val="005F1D83"/>
    <w:rsid w:val="006037C0"/>
    <w:rsid w:val="006631B6"/>
    <w:rsid w:val="00680577"/>
    <w:rsid w:val="006F74FA"/>
    <w:rsid w:val="00731ADD"/>
    <w:rsid w:val="00734777"/>
    <w:rsid w:val="00747932"/>
    <w:rsid w:val="00751A4A"/>
    <w:rsid w:val="00756632"/>
    <w:rsid w:val="00762C74"/>
    <w:rsid w:val="00775BE7"/>
    <w:rsid w:val="00786EC0"/>
    <w:rsid w:val="007D1690"/>
    <w:rsid w:val="007E22AD"/>
    <w:rsid w:val="00817416"/>
    <w:rsid w:val="00842779"/>
    <w:rsid w:val="00865F67"/>
    <w:rsid w:val="00881A7B"/>
    <w:rsid w:val="008840E5"/>
    <w:rsid w:val="00887B3E"/>
    <w:rsid w:val="008C2AC6"/>
    <w:rsid w:val="008E79B1"/>
    <w:rsid w:val="00930C23"/>
    <w:rsid w:val="0093193B"/>
    <w:rsid w:val="009509D8"/>
    <w:rsid w:val="00950B64"/>
    <w:rsid w:val="00981893"/>
    <w:rsid w:val="009E43F3"/>
    <w:rsid w:val="00A1462B"/>
    <w:rsid w:val="00A1687D"/>
    <w:rsid w:val="00A43E52"/>
    <w:rsid w:val="00A4678D"/>
    <w:rsid w:val="00A778C7"/>
    <w:rsid w:val="00AB441E"/>
    <w:rsid w:val="00AB6293"/>
    <w:rsid w:val="00AD04B1"/>
    <w:rsid w:val="00AE0928"/>
    <w:rsid w:val="00AF3B82"/>
    <w:rsid w:val="00B12E95"/>
    <w:rsid w:val="00B22876"/>
    <w:rsid w:val="00B558F0"/>
    <w:rsid w:val="00BD48FE"/>
    <w:rsid w:val="00BD7BD8"/>
    <w:rsid w:val="00BE3AEE"/>
    <w:rsid w:val="00BE6ADC"/>
    <w:rsid w:val="00C05BFE"/>
    <w:rsid w:val="00C23CD4"/>
    <w:rsid w:val="00C61C0C"/>
    <w:rsid w:val="00C941CB"/>
    <w:rsid w:val="00CC2357"/>
    <w:rsid w:val="00CE5278"/>
    <w:rsid w:val="00CF071A"/>
    <w:rsid w:val="00D058B8"/>
    <w:rsid w:val="00D555A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5944"/>
    <w:rsid w:val="00F87713"/>
    <w:rsid w:val="00FB4360"/>
    <w:rsid w:val="00FD0C70"/>
  </w:rsids>
  <w:docVars>
    <w:docVar w:name="dvdocse" w:val="A10-0141/2026"/>
    <w:docVar w:name="dvlangue" w:val="EL"/>
    <w:docVar w:name="dvnumam" w:val="0"/>
    <w:docVar w:name="dvpe" w:val="784.259"/>
    <w:docVar w:name="dvrapporteur" w:val="Εισηγητής: "/>
    <w:docVar w:name="dvtitre" w:val="Ψήφισμα του Ευρωπαϊκού Κοινοβουλίου της ... 2026 σχετικά με την έκθεση της Επιτροπής του 2025 για την Αλβανία(2025/225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321984E"/>
  <w15:chartTrackingRefBased/>
  <w15:docId w15:val="{3844D2BC-50B0-4F2A-9473-25F766A29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F1D83"/>
    <w:pPr>
      <w:spacing w:after="240"/>
      <w:ind w:left="567" w:hanging="567"/>
    </w:pPr>
  </w:style>
  <w:style w:type="paragraph" w:customStyle="1" w:styleId="EPComma">
    <w:name w:val="EPComma"/>
    <w:basedOn w:val="Normal"/>
    <w:rsid w:val="005F1D83"/>
    <w:pPr>
      <w:spacing w:before="480" w:after="240"/>
    </w:pPr>
  </w:style>
  <w:style w:type="character" w:styleId="Hyperlink">
    <w:name w:val="Hyperlink"/>
    <w:basedOn w:val="DefaultParagraphFont"/>
    <w:unhideWhenUsed/>
    <w:rsid w:val="005F1D83"/>
    <w:rPr>
      <w:color w:val="0563C1" w:themeColor="hyperlink"/>
      <w:u w:val="single"/>
    </w:rPr>
  </w:style>
  <w:style w:type="character" w:customStyle="1" w:styleId="NormalHanging12aChar">
    <w:name w:val="NormalHanging12a Char"/>
    <w:basedOn w:val="DefaultParagraphFont"/>
    <w:link w:val="NormalHanging12a"/>
    <w:rsid w:val="005F1D83"/>
    <w:rPr>
      <w:sz w:val="24"/>
      <w:lang w:val="el-GR"/>
    </w:rPr>
  </w:style>
  <w:style w:type="paragraph" w:styleId="Revision">
    <w:name w:val="Revision"/>
    <w:hidden/>
    <w:uiPriority w:val="99"/>
    <w:semiHidden/>
    <w:rsid w:val="009E43F3"/>
    <w:rPr>
      <w:sz w:val="24"/>
      <w:lang w:val="el-GR"/>
    </w:rPr>
  </w:style>
  <w:style w:type="character" w:styleId="UnresolvedMention">
    <w:name w:val="Unresolved Mention"/>
    <w:basedOn w:val="DefaultParagraphFont"/>
    <w:uiPriority w:val="99"/>
    <w:semiHidden/>
    <w:unhideWhenUsed/>
    <w:rsid w:val="00BE3A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9/33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dir/2022/2555/oj" TargetMode="External" /><Relationship Id="rId5" Type="http://schemas.openxmlformats.org/officeDocument/2006/relationships/hyperlink" Target="http://data.europa.eu/eli/dir/2009/147/oj" TargetMode="External" /><Relationship Id="rId6" Type="http://schemas.openxmlformats.org/officeDocument/2006/relationships/hyperlink" Target="http://data.europa.eu/eli/dir/1992/4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6394</Words>
  <Characters>36446</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2026-07-22T06:54:00Z</dcterms:created>
  <dcterms:modified xsi:type="dcterms:W3CDTF">2026-07-22T06:54:00Z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A10-0141/2026</vt:lpwstr>
  </property>
  <property fmtid="{D5CDD505-2E9C-101B-9397-08002B2CF9AE}" pid="4" name="&lt;Type&gt;">
    <vt:lpwstr>RR</vt:lpwstr>
  </property>
</Properties>
</file>