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E61A8F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40F92" w:rsidP="0010095E" w14:paraId="12EF2CA9" w14:textId="5A479AD1">
            <w:pPr>
              <w:pStyle w:val="EPName"/>
            </w:pPr>
            <w:r w:rsidRPr="00340F92">
              <w:t>Europski parlament</w:t>
            </w:r>
          </w:p>
          <w:p w:rsidR="00751A4A" w:rsidRPr="00340F92" w:rsidP="005F1B17" w14:paraId="7C90FD7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0F92">
              <w:t>2024</w:t>
            </w:r>
            <w:r w:rsidRPr="00340F92" w:rsidR="00817416">
              <w:t>-202</w:t>
            </w:r>
            <w:r w:rsidRPr="00340F9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40F92" w:rsidP="0010095E" w14:paraId="6158FFFE" w14:textId="77777777">
            <w:pPr>
              <w:pStyle w:val="EPLogo"/>
            </w:pPr>
            <w:r w:rsidRPr="00340F9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40F92" w:rsidP="004C5D52" w14:paraId="739CB318" w14:textId="77777777">
      <w:pPr>
        <w:pStyle w:val="LineTop"/>
      </w:pPr>
    </w:p>
    <w:p w:rsidR="00680577" w:rsidRPr="00340F92" w:rsidP="00680577" w14:paraId="5D8FA0F8" w14:textId="2DC3D6E7">
      <w:pPr>
        <w:pStyle w:val="EPBodyTA1"/>
      </w:pPr>
      <w:r w:rsidRPr="00340F92">
        <w:t>USVOJENI TEKSTOVI</w:t>
      </w:r>
    </w:p>
    <w:p w:rsidR="00D058B8" w:rsidRPr="00340F92" w:rsidP="00D058B8" w14:paraId="6A1F30AB" w14:textId="77777777">
      <w:pPr>
        <w:pStyle w:val="LineBottom"/>
      </w:pPr>
    </w:p>
    <w:p w:rsidR="00F943D1" w:rsidRPr="00340F92" w:rsidP="00F943D1" w14:paraId="19636B70" w14:textId="013D31DD">
      <w:pPr>
        <w:pStyle w:val="ATHeading1"/>
      </w:pPr>
      <w:bookmarkStart w:id="0" w:name="TANumber"/>
      <w:r w:rsidRPr="00340F92">
        <w:t>P10_TA(2026)0</w:t>
      </w:r>
      <w:bookmarkEnd w:id="0"/>
      <w:r w:rsidR="000A3D0C">
        <w:t>217</w:t>
      </w:r>
    </w:p>
    <w:p w:rsidR="00F943D1" w:rsidRPr="00340F92" w:rsidP="00F943D1" w14:paraId="34FD5F7E" w14:textId="77777777">
      <w:pPr>
        <w:pStyle w:val="ATHeading2"/>
      </w:pPr>
      <w:bookmarkStart w:id="1" w:name="title"/>
      <w:r w:rsidRPr="00340F92">
        <w:t>Izvješće Komisije o Albaniji za 2025.</w:t>
      </w:r>
      <w:bookmarkEnd w:id="1"/>
    </w:p>
    <w:p w:rsidR="00F943D1" w:rsidRPr="00340F92" w:rsidP="00F943D1" w14:paraId="42C8DAB2" w14:textId="77777777">
      <w:pPr>
        <w:rPr>
          <w:i/>
          <w:vanish/>
        </w:rPr>
      </w:pPr>
      <w:r>
        <w:rPr>
          <w:i/>
        </w:rPr>
        <w:fldChar w:fldCharType="begin"/>
      </w:r>
      <w:r w:rsidRPr="00340F92">
        <w:rPr>
          <w:i/>
        </w:rPr>
        <w:instrText xml:space="preserve"> TC"(</w:instrText>
      </w:r>
      <w:bookmarkStart w:id="2" w:name="DocNumber"/>
      <w:r w:rsidRPr="00340F92">
        <w:rPr>
          <w:i/>
        </w:rPr>
        <w:instrText>A10-0141/2026</w:instrText>
      </w:r>
      <w:bookmarkEnd w:id="2"/>
      <w:r w:rsidRPr="00340F92">
        <w:rPr>
          <w:i/>
        </w:rPr>
        <w:instrText xml:space="preserve"> - Izvjestitelj: Andreas Schieder)"\l3 \n&gt; \* MERGEFORMAT </w:instrText>
      </w:r>
      <w:r>
        <w:rPr>
          <w:i/>
        </w:rPr>
        <w:fldChar w:fldCharType="end"/>
      </w:r>
    </w:p>
    <w:p w:rsidR="00F943D1" w:rsidRPr="00340F92" w:rsidP="00F943D1" w14:paraId="01F3297A" w14:textId="77777777">
      <w:pPr>
        <w:rPr>
          <w:vanish/>
        </w:rPr>
      </w:pPr>
      <w:bookmarkStart w:id="3" w:name="Commission"/>
      <w:r w:rsidRPr="00340F92">
        <w:rPr>
          <w:vanish/>
        </w:rPr>
        <w:t>Odbor za vanjske poslove</w:t>
      </w:r>
      <w:bookmarkEnd w:id="3"/>
    </w:p>
    <w:p w:rsidR="00F943D1" w:rsidRPr="00340F92" w:rsidP="00F943D1" w14:paraId="61EB2E91" w14:textId="77777777">
      <w:pPr>
        <w:rPr>
          <w:vanish/>
        </w:rPr>
      </w:pPr>
      <w:bookmarkStart w:id="4" w:name="PE"/>
      <w:r w:rsidRPr="00340F92">
        <w:rPr>
          <w:vanish/>
        </w:rPr>
        <w:t>PE784.259</w:t>
      </w:r>
      <w:bookmarkEnd w:id="4"/>
    </w:p>
    <w:p w:rsidR="00F943D1" w:rsidRPr="00340F92" w:rsidP="00F943D1" w14:paraId="76C97B15" w14:textId="5E0F805C">
      <w:pPr>
        <w:pStyle w:val="ATHeading3"/>
      </w:pPr>
      <w:bookmarkStart w:id="5" w:name="Sujet"/>
      <w:r w:rsidRPr="00340F92">
        <w:t xml:space="preserve">Rezolucija Europskog parlamenta od </w:t>
      </w:r>
      <w:r w:rsidR="002A32CC">
        <w:t>17. lipnja</w:t>
      </w:r>
      <w:r w:rsidRPr="00340F92">
        <w:t xml:space="preserve"> 2026. o Izvješću Komisije o Albaniji za 2025.</w:t>
      </w:r>
      <w:bookmarkEnd w:id="5"/>
      <w:r w:rsidRPr="00340F92">
        <w:t xml:space="preserve"> </w:t>
      </w:r>
      <w:bookmarkStart w:id="6" w:name="References"/>
      <w:r w:rsidRPr="00340F92">
        <w:t>(2025/2250(INI))</w:t>
      </w:r>
      <w:bookmarkEnd w:id="6"/>
    </w:p>
    <w:p w:rsidR="00B739B0" w:rsidRPr="00340F92" w:rsidP="00B739B0" w14:paraId="407CD59C" w14:textId="77777777">
      <w:pPr>
        <w:pStyle w:val="EPComma"/>
      </w:pPr>
      <w:r w:rsidRPr="00340F92">
        <w:rPr>
          <w:i/>
        </w:rPr>
        <w:t>Europski parlament</w:t>
      </w:r>
      <w:r w:rsidRPr="00340F92">
        <w:t>,</w:t>
      </w:r>
    </w:p>
    <w:p w:rsidR="00B739B0" w:rsidRPr="00340F92" w:rsidP="00B739B0" w14:paraId="101B90B9" w14:textId="77777777">
      <w:pPr>
        <w:pStyle w:val="NormalHanging12a"/>
      </w:pPr>
      <w:r w:rsidRPr="00340F92">
        <w:t>–</w:t>
      </w:r>
      <w:r w:rsidRPr="00340F92">
        <w:tab/>
        <w:t>uzimajući u obzir Sporazum o stabilizaciji i pridruživanju između Europskih zajednica i njihovih država članica, s jedne strane, i Republike Albanije, s druge strane</w:t>
      </w:r>
      <w:r>
        <w:rPr>
          <w:vertAlign w:val="superscript"/>
        </w:rPr>
        <w:footnoteReference w:id="2"/>
      </w:r>
      <w:r w:rsidRPr="00340F92">
        <w:t>,</w:t>
      </w:r>
    </w:p>
    <w:p w:rsidR="00B739B0" w:rsidRPr="00340F92" w:rsidP="00B739B0" w14:paraId="0C8BD4E3" w14:textId="77777777">
      <w:pPr>
        <w:pStyle w:val="NormalHanging12a"/>
      </w:pPr>
      <w:r w:rsidRPr="00340F92">
        <w:t>–</w:t>
      </w:r>
      <w:r w:rsidRPr="00340F92">
        <w:tab/>
        <w:t>uzimajući u obzir da je Albanija 24. travnja 2009. podnijela zahtjev za članstvo u EU-u,</w:t>
      </w:r>
    </w:p>
    <w:p w:rsidR="00B739B0" w:rsidRPr="00340F92" w:rsidP="00B739B0" w14:paraId="6B72CD79" w14:textId="77777777">
      <w:pPr>
        <w:pStyle w:val="NormalHanging12a"/>
      </w:pPr>
      <w:r w:rsidRPr="00340F92">
        <w:t>–</w:t>
      </w:r>
      <w:r w:rsidRPr="00340F92">
        <w:tab/>
        <w:t>uzimajući u obzir Uredbu (EU) 2021/1529 Europskog parlamenta i Vijeća od 15. rujna 2021. o uspostavi Instrumenta pretpristupne pomoći (IPA III)</w:t>
      </w:r>
      <w:r>
        <w:rPr>
          <w:vertAlign w:val="superscript"/>
        </w:rPr>
        <w:footnoteReference w:id="3"/>
      </w:r>
      <w:r w:rsidRPr="00340F92">
        <w:t>,</w:t>
      </w:r>
    </w:p>
    <w:p w:rsidR="00B739B0" w:rsidRPr="00340F92" w:rsidP="00B739B0" w14:paraId="2E417FF6" w14:textId="77777777">
      <w:pPr>
        <w:pStyle w:val="NormalHanging12a"/>
      </w:pPr>
      <w:r w:rsidRPr="00340F92">
        <w:t>–</w:t>
      </w:r>
      <w:r w:rsidRPr="00340F92">
        <w:tab/>
        <w:t>uzimajući u obzir Uredbu (EU) 2024/1449 Europskog parlamenta i Vijeća od 14. svibnja 2024. o uspostavi Instrumenta za reforme i rast za zapadni Balkan</w:t>
      </w:r>
      <w:r>
        <w:rPr>
          <w:vertAlign w:val="superscript"/>
        </w:rPr>
        <w:footnoteReference w:id="4"/>
      </w:r>
      <w:r w:rsidRPr="00340F92">
        <w:t>,</w:t>
      </w:r>
    </w:p>
    <w:p w:rsidR="00B739B0" w:rsidRPr="00340F92" w:rsidP="00B739B0" w14:paraId="21D6D484" w14:textId="77777777">
      <w:pPr>
        <w:pStyle w:val="NormalHanging12a"/>
      </w:pPr>
      <w:r w:rsidRPr="00340F92">
        <w:t>–</w:t>
      </w:r>
      <w:r w:rsidRPr="00340F92">
        <w:tab/>
        <w:t>uzimajući u obzir komunikaciju Komisije od 5. veljače 2020. naslovljenu „Unapređenje pristupnog procesa – Vjerodostojna perspektiva EU-a za zapadni Balkan” (COM(2020)0057),</w:t>
      </w:r>
    </w:p>
    <w:p w:rsidR="00B739B0" w:rsidRPr="00340F92" w:rsidP="00B739B0" w14:paraId="49A37EC1" w14:textId="77777777">
      <w:pPr>
        <w:pStyle w:val="NormalHanging12a"/>
        <w:rPr>
          <w:bCs/>
          <w:iCs/>
          <w:szCs w:val="24"/>
        </w:rPr>
      </w:pPr>
      <w:r w:rsidRPr="00340F92">
        <w:t>–</w:t>
      </w:r>
      <w:r w:rsidRPr="00340F92">
        <w:tab/>
        <w:t>uzimajući u obzir pregovarački okvir EU-a s Albanijom koji je Vijeće odobrilo u srpnju 2022., u kojem se utvrđuju smjernice i načela za pregovore o pristupu Albanije EU-u,</w:t>
      </w:r>
    </w:p>
    <w:p w:rsidR="00B739B0" w:rsidRPr="00340F92" w:rsidP="00B739B0" w14:paraId="204291CD" w14:textId="77777777">
      <w:pPr>
        <w:pStyle w:val="NormalHanging12a"/>
      </w:pPr>
      <w:r w:rsidRPr="00340F92">
        <w:t>–</w:t>
      </w:r>
      <w:r w:rsidRPr="00340F92">
        <w:tab/>
        <w:t>uzimajući u obzir komunikaciju Komisije od 8. studenoga 2023. naslovljenu „Novi plan rasta za zapadni Balkan” (COM(2023)0691),</w:t>
      </w:r>
    </w:p>
    <w:p w:rsidR="00B739B0" w:rsidRPr="00340F92" w:rsidP="00B739B0" w14:paraId="34E0173A" w14:textId="77777777">
      <w:pPr>
        <w:pStyle w:val="NormalHanging12a"/>
      </w:pPr>
      <w:r w:rsidRPr="00340F92">
        <w:t>–</w:t>
      </w:r>
      <w:r w:rsidRPr="00340F92">
        <w:tab/>
        <w:t>uzimajući u obzir program reformi Albanije podnesen u okviru Instrumenta EU-a za reforme i rast za zapadni Balkan, kako ga je Komisija odobrila 23. listopada 2024.,</w:t>
      </w:r>
    </w:p>
    <w:p w:rsidR="00B739B0" w:rsidRPr="00340F92" w:rsidP="00B739B0" w14:paraId="13E7D6ED" w14:textId="77777777">
      <w:pPr>
        <w:pStyle w:val="NormalHanging12a"/>
      </w:pPr>
      <w:r w:rsidRPr="00340F92">
        <w:t>–</w:t>
      </w:r>
      <w:r w:rsidRPr="00340F92">
        <w:tab/>
        <w:t xml:space="preserve">uzimajući u obzir komunikaciju Komisije od 8. srpnja 2025. naslovljenu „Izvješće o </w:t>
      </w:r>
      <w:r w:rsidRPr="00340F92">
        <w:t>vladavini prava za 2025.” (COM(2025)0900) i priloženi radni dokument službi Komisije naslovljen „Izvješće o vladavini prava za 2025. – Poglavlje o stanju vladavine prava u Albaniji” (SWD(2025)0928),</w:t>
      </w:r>
    </w:p>
    <w:p w:rsidR="00B739B0" w:rsidRPr="00340F92" w:rsidP="00B739B0" w14:paraId="402D072F" w14:textId="77777777">
      <w:pPr>
        <w:pStyle w:val="NormalHanging12a"/>
      </w:pPr>
      <w:r w:rsidRPr="00340F92">
        <w:t>–</w:t>
      </w:r>
      <w:r w:rsidRPr="00340F92">
        <w:tab/>
        <w:t>uzimajući u obzir komunikaciju Komisije od 4. studenoga 2025. naslovljenu „Komunikacija o politici proširenja EU-a za 2025.” (COM(2025)0690) i priloženi radni dokument službi Komisije naslovljen „Izvješće o Albaniji za 2025.” (SWD(2025)0750),</w:t>
      </w:r>
    </w:p>
    <w:p w:rsidR="00B739B0" w:rsidRPr="00340F92" w:rsidP="00B739B0" w14:paraId="1A795BAF" w14:textId="77777777">
      <w:pPr>
        <w:pStyle w:val="NormalHanging12a"/>
      </w:pPr>
      <w:r w:rsidRPr="00340F92">
        <w:t>–</w:t>
      </w:r>
      <w:r w:rsidRPr="00340F92">
        <w:tab/>
        <w:t>uzimajući u obzir konačno izvješće misije za promatranje izbora Ureda za demokratske institucije i ljudska prava (ODIHR) Organizacije za europsku sigurnost i suradnju od 23. listopada 2025. o parlamentarnim izborima u Albaniji održanima 11. svibnja 2025.,</w:t>
      </w:r>
    </w:p>
    <w:p w:rsidR="00B739B0" w:rsidRPr="00340F92" w:rsidP="00B739B0" w14:paraId="3CBF1899" w14:textId="77777777">
      <w:pPr>
        <w:pStyle w:val="NormalHanging12a"/>
      </w:pPr>
      <w:r w:rsidRPr="00340F92">
        <w:t>–</w:t>
      </w:r>
      <w:r w:rsidRPr="00340F92">
        <w:tab/>
        <w:t>uzimajući u obzir Izjavu donesenu na sastanku na vrhu EU-a i zemalja zapadnog Balkana održanom 17. prosinca 2025. u Bruxellesu,</w:t>
      </w:r>
    </w:p>
    <w:p w:rsidR="00B739B0" w:rsidRPr="00340F92" w:rsidP="00B739B0" w14:paraId="0A1F7F20" w14:textId="77777777">
      <w:pPr>
        <w:pStyle w:val="NormalHanging12a"/>
        <w:rPr>
          <w:bCs/>
          <w:iCs/>
          <w:szCs w:val="24"/>
        </w:rPr>
      </w:pPr>
      <w:r w:rsidRPr="00340F92">
        <w:t>–</w:t>
      </w:r>
      <w:r w:rsidRPr="00340F92">
        <w:tab/>
        <w:t>uzimajući u obzir sastanke na vrhu EU-a i zemalja zapadnog Balkana koji su se održali u Sofiji, Zagrebu i Brdu pri Kranju 2018., 2020. i 2021. te izjave s tih sastanaka,</w:t>
      </w:r>
    </w:p>
    <w:p w:rsidR="00B739B0" w:rsidRPr="00340F92" w:rsidP="00B739B0" w14:paraId="755CA46C" w14:textId="77777777">
      <w:pPr>
        <w:pStyle w:val="NormalHanging12a"/>
      </w:pPr>
      <w:r w:rsidRPr="00340F92">
        <w:t>–</w:t>
      </w:r>
      <w:r w:rsidRPr="00340F92">
        <w:tab/>
        <w:t>uzimajući u obzir svoje prethodne rezolucije o Albaniji,</w:t>
      </w:r>
    </w:p>
    <w:p w:rsidR="00B739B0" w:rsidRPr="00340F92" w:rsidP="00B739B0" w14:paraId="7E1CAD1B" w14:textId="77777777">
      <w:pPr>
        <w:pStyle w:val="NormalHanging12a"/>
      </w:pPr>
      <w:r w:rsidRPr="00340F92">
        <w:t>–</w:t>
      </w:r>
      <w:r w:rsidRPr="00340F92">
        <w:tab/>
        <w:t>uzimajući u obzir svoju Rezoluciju od 11. ožujka 2026. o strategiji proširenja EU-a</w:t>
      </w:r>
      <w:r>
        <w:rPr>
          <w:rStyle w:val="FootnoteReference"/>
        </w:rPr>
        <w:footnoteReference w:id="5"/>
      </w:r>
      <w:r w:rsidRPr="00340F92">
        <w:t>,</w:t>
      </w:r>
    </w:p>
    <w:p w:rsidR="00B739B0" w:rsidRPr="00340F92" w:rsidP="00B739B0" w14:paraId="2D29D7FA" w14:textId="77777777">
      <w:pPr>
        <w:pStyle w:val="NormalHanging12a"/>
      </w:pPr>
      <w:r w:rsidRPr="00340F92">
        <w:t>–</w:t>
      </w:r>
      <w:r w:rsidRPr="00340F92">
        <w:tab/>
        <w:t>uzimajući u obzir indeks percepcije korupcije za 2025. koji je organizacija Transparency International objavila u veljači 2026.,</w:t>
      </w:r>
    </w:p>
    <w:p w:rsidR="00B739B0" w:rsidRPr="00340F92" w:rsidP="00B739B0" w14:paraId="394F4C57" w14:textId="77777777">
      <w:pPr>
        <w:pStyle w:val="NormalHanging12a"/>
      </w:pPr>
      <w:r w:rsidRPr="00340F92">
        <w:t>–</w:t>
      </w:r>
      <w:r w:rsidRPr="00340F92">
        <w:tab/>
        <w:t>uzimajući u obzir svjetski indeks slobode medija za 2025. koji je organizacija Reporteri bez granica objavila u ožujku 2026.,</w:t>
      </w:r>
    </w:p>
    <w:p w:rsidR="00B739B0" w:rsidRPr="00340F92" w:rsidP="00B739B0" w14:paraId="32307A20" w14:textId="77777777">
      <w:pPr>
        <w:pStyle w:val="NormalHanging12a"/>
        <w:rPr>
          <w:bCs/>
          <w:iCs/>
          <w:szCs w:val="24"/>
        </w:rPr>
      </w:pPr>
      <w:r w:rsidRPr="00340F92">
        <w:t>–</w:t>
      </w:r>
      <w:r w:rsidRPr="00340F92">
        <w:tab/>
        <w:t>uzimajući u obzir izvješće Svjetskoga gospodarskog foruma od 11. lipnja 2025. naslovljeno „Globalno izvješće o rodno uvjetovanim razlikama za 2025.”,</w:t>
      </w:r>
    </w:p>
    <w:p w:rsidR="00B739B0" w:rsidRPr="00340F92" w:rsidP="00B739B0" w14:paraId="08C9F346" w14:textId="77777777">
      <w:pPr>
        <w:pStyle w:val="NormalHanging12a"/>
      </w:pPr>
      <w:r w:rsidRPr="00340F92">
        <w:t>–</w:t>
      </w:r>
      <w:r w:rsidRPr="00340F92">
        <w:tab/>
        <w:t>uzimajući u obzir članak 55. Poslovnika,</w:t>
      </w:r>
    </w:p>
    <w:p w:rsidR="00B739B0" w:rsidRPr="00340F92" w:rsidP="00B739B0" w14:paraId="46866925" w14:textId="77777777">
      <w:pPr>
        <w:pStyle w:val="NormalHanging12a"/>
      </w:pPr>
      <w:r w:rsidRPr="00340F92">
        <w:t>–</w:t>
      </w:r>
      <w:r w:rsidRPr="00340F92">
        <w:tab/>
        <w:t>uzimajući u obzir izvješće Odbora za vanjske poslove (A10-0141/2026),</w:t>
      </w:r>
    </w:p>
    <w:p w:rsidR="00B739B0" w:rsidRPr="00340F92" w:rsidP="00B739B0" w14:paraId="2D7C8A6F" w14:textId="77777777">
      <w:pPr>
        <w:pStyle w:val="NormalHanging12a"/>
      </w:pPr>
      <w:r w:rsidRPr="00340F92">
        <w:t>A.</w:t>
      </w:r>
      <w:r w:rsidRPr="00340F92">
        <w:tab/>
        <w:t>budući da proširenje EU-a i dalje predstavlja strateško ulaganje u mir, sigurnost, stabilnost te demokratski i socioekonomski razvoj na cijelom europskom kontinentu;</w:t>
      </w:r>
    </w:p>
    <w:p w:rsidR="00B739B0" w:rsidRPr="00340F92" w:rsidP="00B739B0" w14:paraId="1DD77D92" w14:textId="77777777">
      <w:pPr>
        <w:pStyle w:val="NormalHanging12a"/>
      </w:pPr>
      <w:r w:rsidRPr="00340F92">
        <w:t>B.</w:t>
      </w:r>
      <w:r w:rsidRPr="00340F92">
        <w:tab/>
        <w:t xml:space="preserve">budući da je Albanija zadržala jasnu i dosljednu stratešku orijentaciju prema članstvu u EU-u i pokazala potpunu usklađenost sa zajedničkom vanjskom i sigurnosnom politikom EU-a (ZVSP), među ostalim u pogledu mjera ograničavanja protiv Rusije i </w:t>
      </w:r>
      <w:r w:rsidRPr="00340F92">
        <w:t>Bjelarusa</w:t>
      </w:r>
      <w:r w:rsidRPr="00340F92">
        <w:t xml:space="preserve"> te pružanja potpore Ukrajini tijekom glasovanja o rezolucijama Opće skupštine UN-a;</w:t>
      </w:r>
    </w:p>
    <w:p w:rsidR="00B739B0" w:rsidRPr="00340F92" w:rsidP="00B739B0" w14:paraId="6EF91B2F" w14:textId="77777777">
      <w:pPr>
        <w:pStyle w:val="NormalHanging12a"/>
      </w:pPr>
      <w:r w:rsidRPr="00340F92">
        <w:t>C.</w:t>
      </w:r>
      <w:r w:rsidRPr="00340F92">
        <w:tab/>
        <w:t>budući da je Albaniji status zemlje kandidatkinje za članstvo u EU-u dodijeljen 2014., da je u srpnju 2022. započela pregovore o pristupanju, u studenome 2023. uspješno završila postupak analitičkog pregleda te između 15. listopada 2024. i 17. studenoga 2025. otvorila sve skupine pregovaračkih poglavlja;</w:t>
      </w:r>
    </w:p>
    <w:p w:rsidR="00B739B0" w:rsidRPr="00340F92" w:rsidP="00B739B0" w14:paraId="6594CF69" w14:textId="77777777">
      <w:pPr>
        <w:pStyle w:val="NormalHanging12a"/>
      </w:pPr>
      <w:r w:rsidRPr="00340F92">
        <w:t>D.</w:t>
      </w:r>
      <w:r w:rsidRPr="00340F92">
        <w:tab/>
        <w:t xml:space="preserve">budući da se u Izvješću Komisije o Albaniji za 2025. potvrđuje da ta zemlja i dalje </w:t>
      </w:r>
      <w:r w:rsidRPr="00340F92">
        <w:t>ostvaruje napredak u većini područja povezanih s pristupanjem te istodobno naglašava potreba za dubljim, dosljednijim i nepovratnim reformama;</w:t>
      </w:r>
    </w:p>
    <w:p w:rsidR="00B739B0" w:rsidRPr="00340F92" w:rsidP="00B739B0" w14:paraId="18E5DA5F" w14:textId="77777777">
      <w:pPr>
        <w:pStyle w:val="NormalHanging12a"/>
        <w:rPr>
          <w:bCs/>
          <w:iCs/>
        </w:rPr>
      </w:pPr>
      <w:r w:rsidRPr="00340F92">
        <w:t>E.</w:t>
      </w:r>
      <w:r w:rsidRPr="00340F92">
        <w:tab/>
        <w:t>budući da vjerodostojnost procesa proširenja EU-a ovisi o strogoj uvjetovanosti, napretku utemeljenom na zaslugama i učinkovitoj provedbi reformi, a ne samo o formalnom donošenju zakonodavstva; budući da pristupanje Albanije EU-u ovisi o trajnim, dubinskim i nepovratnim reformama u područjima koja se odnose na skupinu pristupnih pregovora o „temeljnim pitanjima” , počevši od vladavine prava i funkcioniranja demokratskih institucija; budući da vremenski raspored pristupanja ovisi o kvaliteti reformi koje je poduzela određena zemlja kandidatkinja;</w:t>
      </w:r>
    </w:p>
    <w:p w:rsidR="00B739B0" w:rsidRPr="00340F92" w:rsidP="00B739B0" w14:paraId="44F71F37" w14:textId="77777777">
      <w:pPr>
        <w:pStyle w:val="NormalHanging12a"/>
      </w:pPr>
      <w:r w:rsidRPr="00340F92">
        <w:t>F.</w:t>
      </w:r>
      <w:r w:rsidRPr="00340F92">
        <w:tab/>
        <w:t>budući da je jačanje demokratskih institucija, neovisnosti pravosuđa, napora u borbi protiv korupcije, slobode medija i temeljnih prava, uključujući prava manjina, i dalje ključno na putu Albanije prema pristupanju;</w:t>
      </w:r>
    </w:p>
    <w:p w:rsidR="00B739B0" w:rsidRPr="00340F92" w:rsidP="00B739B0" w14:paraId="57755D5E" w14:textId="77777777">
      <w:pPr>
        <w:pStyle w:val="NormalHanging12a"/>
        <w:rPr>
          <w:bCs/>
          <w:iCs/>
        </w:rPr>
      </w:pPr>
      <w:r w:rsidRPr="00340F92">
        <w:t>G.</w:t>
      </w:r>
      <w:r w:rsidRPr="00340F92">
        <w:tab/>
        <w:t>budući da je zaštita integriteta demokratskih procesa postala središnji element politike proširenja EU-a; budući da je albanski parlament u srpnju 2025. donio prvu nacionalnu strategiju te zemlje protiv vanjskog upletanja i dezinformacija;</w:t>
      </w:r>
    </w:p>
    <w:p w:rsidR="00B739B0" w:rsidRPr="00340F92" w:rsidP="00B739B0" w14:paraId="4C8BB790" w14:textId="77777777">
      <w:pPr>
        <w:pStyle w:val="NormalHanging12a"/>
      </w:pPr>
      <w:r w:rsidRPr="00340F92">
        <w:t>H.</w:t>
      </w:r>
      <w:r w:rsidRPr="00340F92">
        <w:tab/>
        <w:t>budući da još nisu u potpunosti uzete u obzir preporuke ODIHR-a od 23. listopada 2025., koje su uslijedile nakon parlamentarnih izbora u Albaniji održanih 11. svibnja 2025., kao ni prethodne preporuke ODIHR-a za daljnje poboljšanje provedbe izbora u Albaniji;</w:t>
      </w:r>
    </w:p>
    <w:p w:rsidR="00B739B0" w:rsidRPr="00340F92" w:rsidP="00B739B0" w14:paraId="270DF60B" w14:textId="77777777">
      <w:pPr>
        <w:pStyle w:val="NormalHanging12a"/>
      </w:pPr>
      <w:r w:rsidRPr="00340F92">
        <w:t>1.</w:t>
      </w:r>
      <w:r w:rsidRPr="00340F92">
        <w:tab/>
        <w:t>pozdravlja iznimnu predanost Albanije integraciji u EU na temelju konsenzusa među svim političkim strankama i goleme podrške među njezinim građanima te pohvaljuje činjenicu da je Albanija sve skupine poglavlja za pristupne pregovore otvorila u samo 13 mjeseci; primjećuje da je potpora albanskih građana članstvu u EU-u i dalje dosljedno visoka, što odražava snažne europske težnje albanskog društva; potiče Albaniju da zadrži trenutačni zamah u pogledu reformi i nastavi usklađivanje s pravnom stečevinom Europske unije, naglašavajući da napredak Albanije na europskom putu doprinosi stabilnosti, sigurnosti i otpornosti europskog kontinenta;</w:t>
      </w:r>
    </w:p>
    <w:p w:rsidR="00B739B0" w:rsidRPr="00340F92" w:rsidP="00B739B0" w14:paraId="5DA4B898" w14:textId="77777777">
      <w:pPr>
        <w:pStyle w:val="NormalHanging12a"/>
      </w:pPr>
      <w:r w:rsidRPr="00340F92">
        <w:t>2.</w:t>
      </w:r>
      <w:r w:rsidRPr="00340F92">
        <w:tab/>
        <w:t>prima na znanje ambiciju Albanije da zaključi pristupne pregovore do kraja 2027. i u tom smislu pozdravlja brz napredak ostvaren posljednjih godina; ističe da je potrebno da albanske vlasti osiguraju temeljitu provedbu zakonodavstva;</w:t>
      </w:r>
    </w:p>
    <w:p w:rsidR="00B739B0" w:rsidRPr="00340F92" w:rsidP="00B739B0" w14:paraId="134A8CB1" w14:textId="77777777">
      <w:pPr>
        <w:pStyle w:val="NormalHanging12a"/>
      </w:pPr>
      <w:r w:rsidRPr="00340F92">
        <w:t>3.</w:t>
      </w:r>
      <w:r w:rsidRPr="00340F92">
        <w:tab/>
        <w:t xml:space="preserve">napominje da se i u izvješću Komisije o Albaniji za 2025. i u izvješću ODIHR-a o parlamentarnim izborima u svibnju 2025. procjenjuje da je izborni okvir Albanije općenito primjeren za provođenje konkurentnih izbora, ali istodobno ponavlja zabrinutost povezanu s nejednakim uvjetima, zlouporabom administrativnih resursa, kojom se brišu granice između državnih institucija i stranačkih struktura, financiranjem političkih stranaka, navodima o kupovini glasova i pritiskom na glasače; stoga poziva i političku većinu i oporbu u Albaniji da nastave s konstruktivnom i </w:t>
      </w:r>
      <w:r w:rsidRPr="00340F92">
        <w:t>uključivom</w:t>
      </w:r>
      <w:r w:rsidRPr="00340F92">
        <w:t xml:space="preserve"> sveobuhvatnom izbornom reformom u bliskoj suradnji s civilnim društvom te da u potpunosti provedu preostale preporuke ODIHR-a i Venecijanske komisije znatno prije budućih izbornih ciklusa; naglašava da bi se takvom reformom trebao osnažiti izborni okvir, uključujući u pogledu transparentnosti financiranja kampanja, jednakog pristupa medijima i zaštitnih mjera protiv zlouporabe administrativnih resursa, te osigurati učinkovita provedba tog okvira; ističe da su širok politički konsenzus i istinska provedba takvih reformi ključni za osiguravanje povjerenja javnosti u buduće izbore;</w:t>
      </w:r>
    </w:p>
    <w:p w:rsidR="00B739B0" w:rsidRPr="00340F92" w:rsidP="00B739B0" w14:paraId="2E04243D" w14:textId="77777777">
      <w:pPr>
        <w:pStyle w:val="NormalHanging12a"/>
      </w:pPr>
      <w:r w:rsidRPr="00340F92">
        <w:t>4.</w:t>
      </w:r>
      <w:r w:rsidRPr="00340F92">
        <w:tab/>
        <w:t>izražava zabrinutost zbog kontinuirane političke polarizacije i konfrontacijskog političkog diskursa, koji ugrožavaju parlamentarni nadzor, povjerenje javnosti i učinkovito funkcioniranje demokratskih institucija; potiče političke aktere da se ponovno uključe u konstruktivan parlamentarni dijalog, kako bi se osiguralo da albanski parlament ostane središnji forum za demokratsku raspravu i demokratski nadzor; ističe da funkcionalna demokracija podrazumijeva smisleno sudjelovanje oporbe u parlamentarnim postupcima; podsjeća da u funkcionalnoj demokraciji nema mjesta nasilnim prosvjedima;</w:t>
      </w:r>
    </w:p>
    <w:p w:rsidR="00B739B0" w:rsidRPr="00340F92" w:rsidP="00B739B0" w14:paraId="6FEF0C01" w14:textId="77777777">
      <w:pPr>
        <w:pStyle w:val="NormalHanging12a"/>
      </w:pPr>
      <w:r w:rsidRPr="00340F92">
        <w:t>5.</w:t>
      </w:r>
      <w:r w:rsidRPr="00340F92">
        <w:tab/>
        <w:t xml:space="preserve">potiče snažniji parlamentarni nadzor izvršne vlasti, veću transparentnost zakonodavnih postupaka i smislenije savjetovanje, u ranijim fazama, s organizacijama civilnog društva, socijalnim partnerima i neovisnim institucijama; naglašava da bi se napredak u procesu integracije u EU trebao ostvarivati bez ugrožavanja kvalitete i </w:t>
      </w:r>
      <w:r w:rsidRPr="00340F92">
        <w:t>uključivosti</w:t>
      </w:r>
      <w:r w:rsidRPr="00340F92">
        <w:t xml:space="preserve"> reformi; ističe važnost odgovarajućeg sudjelovanja dionika i nacionalnog osjećaja odgovornosti kako bi se osigurala održiva provedba i trajan učinak; naglašava važnost jačanja uloge i kapaciteta parlamentarnih odbora Albanije, među ostalim boljim pristupom informacijama, stručnom potporom i transparentnim zakonodavnim postupcima;</w:t>
      </w:r>
    </w:p>
    <w:p w:rsidR="00B739B0" w:rsidRPr="00340F92" w:rsidP="00B739B0" w14:paraId="30D297C6" w14:textId="77777777">
      <w:pPr>
        <w:pStyle w:val="NormalHanging12a"/>
        <w:rPr>
          <w:b/>
          <w:bCs/>
          <w:i/>
          <w:iCs/>
        </w:rPr>
      </w:pPr>
      <w:r w:rsidRPr="00340F92">
        <w:rPr>
          <w:b/>
          <w:i/>
        </w:rPr>
        <w:t>Vladavina prava, pravosuđe i borba protiv korupcije</w:t>
      </w:r>
    </w:p>
    <w:p w:rsidR="00B739B0" w:rsidRPr="00340F92" w:rsidP="00B739B0" w14:paraId="1A15451F" w14:textId="77777777">
      <w:pPr>
        <w:pStyle w:val="NormalHanging12a"/>
      </w:pPr>
      <w:r w:rsidRPr="00340F92">
        <w:t>6.</w:t>
      </w:r>
      <w:r w:rsidRPr="00340F92">
        <w:tab/>
        <w:t>pozdravlja kontinuiranu provedbu procesa reforme pravosuđa u Albaniji, uključujući postupke provjere sudaca i tužitelja, što je doprinijelo većoj odgovornosti i integritetu unutar pravosuđa; pohvaljuje Visoko sudbeno vijeće za nova imenovanja sudaca, čime se doprinijelo smanjenju broja slobodnih radnih mjesta; ističe da je zaštita neovisnosti pravosuđa i dalje ključna za vladavinu prava, kao i stalni napori za daljnje poboljšanje odgovornosti, kvalitete i učinkovitosti pravosuđa;</w:t>
      </w:r>
      <w:r w:rsidRPr="00340F92">
        <w:rPr>
          <w:b/>
          <w:i/>
        </w:rPr>
        <w:t xml:space="preserve"> </w:t>
      </w:r>
      <w:r w:rsidRPr="00340F92">
        <w:t>primjećuje, međutim, ustrajne izazove povezane s učinkovitošću pravosuđa, djelotvornom provedbom pravomoćnih sudskih odluka, brojem neriješenih predmeta, dosljednošću sudske prakse i pokušajima vršenja neprimjerenog utjecaja;</w:t>
      </w:r>
    </w:p>
    <w:p w:rsidR="00B739B0" w:rsidRPr="00340F92" w:rsidP="00B739B0" w14:paraId="3D0986F6" w14:textId="77777777">
      <w:pPr>
        <w:pStyle w:val="NormalHanging12a"/>
      </w:pPr>
      <w:r w:rsidRPr="00340F92">
        <w:t>7.</w:t>
      </w:r>
      <w:r w:rsidRPr="00340F92">
        <w:tab/>
        <w:t>podsjeća da je parlamentarni imunitet dio ustavnog okvira Albanije, osmišljen kako bi se osiguralo pravilno funkcioniranje demokratskih institucija; naglašava da bi se sve odluke u tom pogledu trebale donositi strogo u skladu s ustavnim odredbama i utvrđenim pravnim postupcima, bez političkog upletanja i bez nepotrebnog odgađanja;</w:t>
      </w:r>
    </w:p>
    <w:p w:rsidR="00B739B0" w:rsidRPr="00340F92" w:rsidP="00B739B0" w14:paraId="318B56E5" w14:textId="77777777">
      <w:pPr>
        <w:pStyle w:val="NormalHanging12a"/>
        <w:rPr>
          <w:bCs/>
          <w:iCs/>
        </w:rPr>
      </w:pPr>
      <w:r w:rsidRPr="00340F92">
        <w:t>8.</w:t>
      </w:r>
      <w:r w:rsidRPr="00340F92">
        <w:tab/>
        <w:t>pohvaljuje albanske vlasti za kontinuirano poboljšanje učinkovitosti Ustavnog suda; međutim, poziva na daljnje jačanje upravljačkih tijela u pravosuđu općenito i na održivo ulaganje u sudsku infrastrukturu i digitalizaciju; podsjeća da se pravosuđe i dalje suočava s političkim pritiscima i prijetnjama, što bi moglo ugroziti neovisnost pravosuđa; naglašava važnost pravodobne i potpune provedbe odluka Ustavnog suda od strane izvršne i zakonodavne vlasti, kao ključnog elementa vladavine prava i institucionalne ravnoteže;</w:t>
      </w:r>
    </w:p>
    <w:p w:rsidR="00B739B0" w:rsidRPr="00340F92" w:rsidP="00B739B0" w14:paraId="49916CA0" w14:textId="77777777">
      <w:pPr>
        <w:pStyle w:val="NormalHanging12a"/>
        <w:rPr>
          <w:bCs/>
          <w:iCs/>
        </w:rPr>
      </w:pPr>
      <w:r w:rsidRPr="00340F92">
        <w:t>9.</w:t>
      </w:r>
      <w:r w:rsidRPr="00340F92">
        <w:tab/>
        <w:t xml:space="preserve">žali zbog toga što je u poretku na indeksu percepcije korupcije za 2025. koji objavljuje organizacija Transparency International Albanija pala na 91. mjesto, u usporedbi s 2024. kad je bila na 80. mjestu; naglašava da je korupcija i dalje ozbiljan problem i da Albanija, unatoč napretku ostvarenom u pogledu njezina pravnog i institucijskog okvira, mora dodatno povećati namjenske policijske kapacitete i konsolidirati svoje rezultate u istragama, kaznenom progonu i pravomoćnim presudama, posebno u slučajevima korupcije na visokoj razini; pozdravlja donošenje ključnog antikorupcijskog </w:t>
      </w:r>
      <w:r w:rsidRPr="00340F92">
        <w:t>zakonodavstva, među ostalim o zaštiti zviždača i sukobima interesa, te poziva na njegovu temeljitu provedbu; pozdravlja kontinuirani rad specijaliziranih institucija za borbu protiv korupcije i institucija za borbu protiv organiziranog kriminala, uključujući Posebnu strukturu za borbu protiv korupcije i organiziranog kriminala (SPAK), te poziva da im se osiguraju trajna neovisnost, odgovarajući resursi i dostatni operativni kapaciteti, bez primjene ograničenja na njihove istražne ovlasti ili ugrožavanja njihova rada; poziva na pojačano djelovanje kako bi se osiguralo učinkovito praćenje, zamrzavanje i oduzimanje imovine stečene kaznenim djelima te upravljanje njome, među ostalim sustavnim financijskim istragama, poboljšanom međuagencijskom i prekograničnom suradnjom te potpunom upotrebom alata za oduzimanje imovine u skladu s temeljnim pravima;</w:t>
      </w:r>
    </w:p>
    <w:p w:rsidR="00B739B0" w:rsidRPr="00340F92" w:rsidP="00B739B0" w14:paraId="6B01235E" w14:textId="77777777">
      <w:pPr>
        <w:pStyle w:val="NormalHanging12a"/>
      </w:pPr>
      <w:r w:rsidRPr="00340F92">
        <w:t>10.</w:t>
      </w:r>
      <w:r w:rsidRPr="00340F92">
        <w:tab/>
        <w:t>ustraje u tome da se problem korupcije treba rješavati na svim razinama kako bi se ojačalo povjerenje građana u državne institucije i omogućilo predvidljivo poslovno okruženje; poziva na veću transparentnost, kontrole sukoba interesa, procjene rizika za integritet i ciljane preventivne mjere u visokorizičnim sektorima, posebno u javnoj nabavi i koncesijama, licenciranju i inspekcijama te građevinarstvu i prostornom planiranju;</w:t>
      </w:r>
    </w:p>
    <w:p w:rsidR="00B739B0" w:rsidRPr="00340F92" w:rsidP="00B739B0" w14:paraId="25B6C6E9" w14:textId="77777777">
      <w:pPr>
        <w:pStyle w:val="NormalHanging12a"/>
      </w:pPr>
      <w:r w:rsidRPr="00340F92">
        <w:t>11.</w:t>
      </w:r>
      <w:r w:rsidRPr="00340F92">
        <w:tab/>
        <w:t>poziva Albaniju da ostvari odlučan napredak u pogledu prvog upisa vlasništva i pravedne, općeprihvaćene naknade, poboljšanjem transparentnosti državnih zemljišnih knjiga i kvalitete katastarskih podataka u registru nekretnina te da osigura poštovanje prava na pošteno suđenje i prava na djelotvornu pravosudnu zaštitu u slučajevima izvlaštenja i oduzimanja nepokretne imovine;</w:t>
      </w:r>
    </w:p>
    <w:p w:rsidR="00B739B0" w:rsidRPr="00340F92" w:rsidP="00B739B0" w14:paraId="6FF99290" w14:textId="77777777">
      <w:pPr>
        <w:pStyle w:val="NormalHanging12a"/>
        <w:rPr>
          <w:bCs/>
          <w:iCs/>
        </w:rPr>
      </w:pPr>
      <w:r w:rsidRPr="00340F92">
        <w:t>12.</w:t>
      </w:r>
      <w:r w:rsidRPr="00340F92">
        <w:tab/>
        <w:t xml:space="preserve">ističe važnost učinkovite borbe protiv organiziranog kriminala, uključujući mreže za pranje novca i trgovinu drogom, te poziva na pojačanu suradnju s agencijama EU-a kao što su </w:t>
      </w:r>
      <w:r w:rsidRPr="00340F92">
        <w:t>Europol</w:t>
      </w:r>
      <w:r w:rsidRPr="00340F92">
        <w:t xml:space="preserve"> i </w:t>
      </w:r>
      <w:r w:rsidRPr="00340F92">
        <w:t>Eurojust</w:t>
      </w:r>
      <w:r w:rsidRPr="00340F92">
        <w:t>; poziva vlasti da ubrzaju napore na usklađivanju pravnog okvira Albanije o organiziranom kriminalu s pravnom stečevinom EU-a, ojačaju kapacitete tijela kaznenog progona i poboljšaju učinkovitost istraga;</w:t>
      </w:r>
    </w:p>
    <w:p w:rsidR="00B739B0" w:rsidRPr="00340F92" w:rsidP="00B739B0" w14:paraId="547887D0" w14:textId="77777777">
      <w:pPr>
        <w:pStyle w:val="NormalHanging12a"/>
      </w:pPr>
      <w:r w:rsidRPr="00340F92">
        <w:t>13.</w:t>
      </w:r>
      <w:r w:rsidRPr="00340F92">
        <w:tab/>
        <w:t>pozdravlja činjenicu da su banke u Albaniji službeno počele izvršavati prekogranične transakcije u eurima putem sustava SEPA; pohvaljuje albanske vlasti za njihove velike napore u borbi protiv pranja novca donošenjem Nacionalne strategije za borbu protiv pranja novca i financiranja terorizma za razdoblje 2024. – 2030.; prima na znanje inicijativu „Bezgotovinska Albanija 2030.”, čiji je cilj borba protiv visoke razine neformalnosti u poslovanju i nezakonitih novčanih tokova;</w:t>
      </w:r>
    </w:p>
    <w:p w:rsidR="00B739B0" w:rsidRPr="00340F92" w:rsidP="00B739B0" w14:paraId="2EFF06D0" w14:textId="77777777">
      <w:pPr>
        <w:pStyle w:val="NormalHanging12a"/>
        <w:rPr>
          <w:b/>
          <w:bCs/>
          <w:i/>
          <w:iCs/>
        </w:rPr>
      </w:pPr>
      <w:r w:rsidRPr="00340F92">
        <w:rPr>
          <w:b/>
          <w:i/>
        </w:rPr>
        <w:t>Temeljna prava i sloboda medija</w:t>
      </w:r>
    </w:p>
    <w:p w:rsidR="00B739B0" w:rsidRPr="00340F92" w:rsidP="00B739B0" w14:paraId="08B521A6" w14:textId="77777777">
      <w:pPr>
        <w:pStyle w:val="NormalHanging12a"/>
        <w:rPr>
          <w:bCs/>
          <w:iCs/>
        </w:rPr>
      </w:pPr>
      <w:r w:rsidRPr="00340F92">
        <w:t>14.</w:t>
      </w:r>
      <w:r w:rsidRPr="00340F92">
        <w:tab/>
        <w:t>pozdravlja činjenicu da je Albanija na Svjetskom indeksu slobode medija za 2025., koji objavljuje organizacija Reporteri bez granica, napredovala s 99. mjesta 2024. na 80. mjesto 2025.; poziva na ulaganje dodatnih napora u zaštitu slobode izražavanja i medijskog pluralizma u Albaniji, uključujući veću transparentnost u pogledu mogućih sukoba interesa vlasnika medija, zaštitne mjere protiv političkog i ekonomskog pritiska na novinare i učinkovitu istragu prijetnji i napada usmjerenih na medijske djelatnike; također poziva na veću transparentnost struktura vlasništva nad medijima i transparentnu raspodjelu državnog oglašavanja kako bi se zaštitili urednička neovisnost i medijski pluralizam;</w:t>
      </w:r>
    </w:p>
    <w:p w:rsidR="00B739B0" w:rsidRPr="00340F92" w:rsidP="00B739B0" w14:paraId="27D886BE" w14:textId="77777777">
      <w:pPr>
        <w:pStyle w:val="NormalHanging12a"/>
        <w:rPr>
          <w:bCs/>
          <w:iCs/>
        </w:rPr>
      </w:pPr>
      <w:r w:rsidRPr="00340F92">
        <w:t>15.</w:t>
      </w:r>
      <w:r w:rsidRPr="00340F92">
        <w:tab/>
        <w:t xml:space="preserve">oštro osuđuje neprijateljstvo prema neovisnim novinarima i medijskim djelatnicima u </w:t>
      </w:r>
      <w:r w:rsidRPr="00340F92">
        <w:t xml:space="preserve">Albaniji, uključujući verbalne napade i </w:t>
      </w:r>
      <w:r w:rsidRPr="00340F92">
        <w:t>antimedijsku</w:t>
      </w:r>
      <w:r w:rsidRPr="00340F92">
        <w:t xml:space="preserve"> retoriku visokih dužnosnika, kampanje ocrnjivanja i </w:t>
      </w:r>
      <w:r w:rsidRPr="00340F92">
        <w:t>mizoginističko</w:t>
      </w:r>
      <w:r w:rsidRPr="00340F92">
        <w:t xml:space="preserve"> uznemiravanje na internetu, često usmjereno na novinare koji izvješćuju o vladavini prava, korupciji i pravosuđu; nadalje, izražava zabrinutost zbog velikog broja tužbi protiv novinara; pozdravlja nedavne izmjene Kaznenog zakona Albanije; međutim, žali zbog toga što te izmjene nisu dovele do potpune dekriminalizacije klevete i uvrede, u skladu s europskim i međunarodnim standardima;</w:t>
      </w:r>
    </w:p>
    <w:p w:rsidR="00B739B0" w:rsidRPr="00340F92" w:rsidP="00B739B0" w14:paraId="38B5EBA9" w14:textId="77777777">
      <w:pPr>
        <w:pStyle w:val="NormalHanging12a"/>
      </w:pPr>
      <w:r w:rsidRPr="00340F92">
        <w:t>16.</w:t>
      </w:r>
      <w:r w:rsidRPr="00340F92">
        <w:tab/>
        <w:t>poziva albanske vlasti da promiču medijsku i digitalnu pismenost kao komplementarnu mjeru za jačanje otpornosti informacijskog okruženja, među ostalim integracijom inicijativa za medijsku pismenost u cijeli obrazovni sustav, podupiranjem osposobljavanja nastavnika i modernih resursa za učenje te jačanjem suradnje s neovisnim medijima i relevantnim programima EU-a radi promicanja kritičkog razmišljanja i odgovornog digitalnog angažmana;</w:t>
      </w:r>
    </w:p>
    <w:p w:rsidR="00B739B0" w:rsidRPr="00340F92" w:rsidP="00B739B0" w14:paraId="361E748F" w14:textId="77777777">
      <w:pPr>
        <w:pStyle w:val="NormalHanging12a"/>
      </w:pPr>
      <w:r w:rsidRPr="00340F92">
        <w:t>17.</w:t>
      </w:r>
      <w:r w:rsidRPr="00340F92">
        <w:tab/>
        <w:t xml:space="preserve">potiče Albaniju da ojača institucionalni okvir za zaštitu i promicanje prava osoba koje pripadaju etničkim i vjerskim manjinama te ranjivim skupinama, uključujući Rome i Egipćane, osobe s invaliditetom, radnike migrante i LGBTIQ+ osobe, te da osigura učinkovitu provedbu </w:t>
      </w:r>
      <w:r w:rsidRPr="00340F92">
        <w:t>antidiskriminacijskog</w:t>
      </w:r>
      <w:r w:rsidRPr="00340F92">
        <w:t xml:space="preserve"> zakonodavstva i bolji pristup javnim uslugama za etničke i vjerske manjine i ranjive skupine te njihovo smisleno sudjelovanje u društvenom, gospodarskom i političkom životu; zabrinut je zbog </w:t>
      </w:r>
      <w:r w:rsidRPr="00340F92">
        <w:t>antirodne</w:t>
      </w:r>
      <w:r w:rsidRPr="00340F92">
        <w:t xml:space="preserve"> retorike prisutne u političkom diskursu u Albaniji; napominje da jačanje institucionalnog okvira za zaštitu prava manjina mora biti popraćeno učinkovitim mjerama kojima se osigurava potpuna i učinkovita provedba tih prava u praksi;</w:t>
      </w:r>
    </w:p>
    <w:p w:rsidR="00B739B0" w:rsidRPr="00340F92" w:rsidP="00B739B0" w14:paraId="496A5456" w14:textId="77777777">
      <w:pPr>
        <w:pStyle w:val="NormalHanging12a"/>
      </w:pPr>
      <w:r w:rsidRPr="00340F92">
        <w:t>18.</w:t>
      </w:r>
      <w:r w:rsidRPr="00340F92">
        <w:tab/>
        <w:t>poziva albanske vlasti da osiguraju održiv pristup obrazovanju na manjinskim jezicima za priznate nacionalne manjine te da podrže odgovarajuće osposobljavanje nastavnika, izradu udžbenika i očuvanje kulturnog identiteta;</w:t>
      </w:r>
    </w:p>
    <w:p w:rsidR="00B739B0" w:rsidRPr="00340F92" w:rsidP="00B739B0" w14:paraId="0F323E89" w14:textId="77777777">
      <w:pPr>
        <w:pStyle w:val="NormalHanging12a"/>
        <w:rPr>
          <w:bCs/>
          <w:iCs/>
        </w:rPr>
      </w:pPr>
      <w:r w:rsidRPr="00340F92">
        <w:t>19.</w:t>
      </w:r>
      <w:r w:rsidRPr="00340F92">
        <w:tab/>
        <w:t>pohvaljuje donošenje u Albaniji Zakona o rodnoj ravnopravnosti koji je u skladu s pravnom stečevinom EU-a i međunarodnim standardima u području ljudskih prava; zabrinut je međutim zbog valova dezinformacija i mržnje prema LGBTIQ+ osobama, uključujući kampanje ocrnjivanja rada organizacija civilnog društva koje rade na ravnopravnosti LGBTIQ+ osoba; poziva albanske vlasti da se pobrinu da osobe koje šire diskriminacijsku retoriku odgovaraju pred zakonom; poziva albansku vladu da izradi nacrt pravnih mjera, kao što je registrirano partnerstvo, kako bi se priznali i zaštitili istospolni parovi, u skladu s njezinom obvezom iz Nacionalnog akcijskog plana za LGBTI osobe (2021. – 2027.) te kako bi se albansko zakonodavstvo o ljudskim pravima uskladilo s pravnom stečevinom EU-a;</w:t>
      </w:r>
    </w:p>
    <w:p w:rsidR="00B739B0" w:rsidRPr="00340F92" w:rsidP="00B739B0" w14:paraId="1595D8B3" w14:textId="77777777">
      <w:pPr>
        <w:pStyle w:val="NormalHanging12a"/>
        <w:rPr>
          <w:bCs/>
          <w:iCs/>
        </w:rPr>
      </w:pPr>
      <w:r w:rsidRPr="00340F92">
        <w:t>20.</w:t>
      </w:r>
      <w:r w:rsidRPr="00340F92">
        <w:tab/>
        <w:t xml:space="preserve">pozdravlja priznanje dugogodišnje povijesne prisutnosti bugarske zajednice u regijama kao što su </w:t>
      </w:r>
      <w:r w:rsidRPr="00340F92">
        <w:t>Prespa</w:t>
      </w:r>
      <w:r w:rsidRPr="00340F92">
        <w:t xml:space="preserve">, </w:t>
      </w:r>
      <w:r w:rsidRPr="00340F92">
        <w:t>Gollobordë</w:t>
      </w:r>
      <w:r w:rsidRPr="00340F92">
        <w:t xml:space="preserve"> i Gora te potiče albanske vlasti da osiguraju potpuno poštovanje njihovih jezičnih, kulturnih i obrazovnih prava, kao i prava drugih priznatih nacionalnih manjina u Albaniji;</w:t>
      </w:r>
    </w:p>
    <w:p w:rsidR="00B739B0" w:rsidP="00B739B0" w14:paraId="30A71715" w14:textId="77777777">
      <w:pPr>
        <w:pStyle w:val="NormalHanging12a"/>
      </w:pPr>
      <w:r w:rsidRPr="00340F92">
        <w:t>21.</w:t>
      </w:r>
      <w:r w:rsidRPr="00340F92">
        <w:tab/>
        <w:t xml:space="preserve">žali zbog toga što su stalni problemi diskriminacije i socijalne isključenosti koji utječu na manjinske skupine u Albaniji, posebno u pogledu pristupa obrazovanju, zapošljavanju i javnim uslugama i dalje prisutni; poziva albansku vladu da u potpunosti uskladi </w:t>
      </w:r>
      <w:r w:rsidRPr="00340F92">
        <w:t>antidiskriminacijske</w:t>
      </w:r>
      <w:r w:rsidRPr="00340F92">
        <w:t xml:space="preserve"> politike i prava manjina s pravnom stečevinom EU-a; ističe potrebu za poboljšanjem pristupa pravosuđu i političkog sudjelovanja, posebno za ranjive i marginalizirane skupine;</w:t>
      </w:r>
    </w:p>
    <w:p w:rsidR="000A3D0C" w:rsidRPr="00340F92" w:rsidP="00B739B0" w14:paraId="62750CD6" w14:textId="32419DA2">
      <w:pPr>
        <w:pStyle w:val="NormalHanging12a"/>
      </w:pPr>
      <w:r>
        <w:t>22</w:t>
      </w:r>
      <w:r w:rsidRPr="000A3D0C">
        <w:t>.</w:t>
      </w:r>
      <w:r w:rsidRPr="000A3D0C">
        <w:tab/>
        <w:t>prima na znanje da grčka nacionalna manjina ima snažnu povijesnu prisutnost, posebno u južnoj Albaniji, te poziva Albaniju da osigura zaštitu prava vlasništva;</w:t>
      </w:r>
    </w:p>
    <w:p w:rsidR="00B739B0" w:rsidRPr="00340F92" w:rsidP="00B739B0" w14:paraId="152D421F" w14:textId="3D78E1CA">
      <w:pPr>
        <w:pStyle w:val="NormalHanging12a"/>
      </w:pPr>
      <w:r>
        <w:t>23</w:t>
      </w:r>
      <w:r w:rsidRPr="00340F92">
        <w:t>.</w:t>
      </w:r>
      <w:r w:rsidRPr="00340F92">
        <w:tab/>
        <w:t>također ističe važnost očuvanja mjesta sjećanja povezanih s komunističkom diktaturom i podupiranja inicijativa za sjećanje i obrazovnih inicijativa kojima se promiče povijesna osviještenost i jača demokratska kultura, posebno među mlađim generacijama;</w:t>
      </w:r>
    </w:p>
    <w:p w:rsidR="00B739B0" w:rsidRPr="00340F92" w:rsidP="00B739B0" w14:paraId="044E494D" w14:textId="617ADD7E">
      <w:pPr>
        <w:pStyle w:val="NormalHanging12a"/>
      </w:pPr>
      <w:r>
        <w:t>24</w:t>
      </w:r>
      <w:r w:rsidRPr="00340F92">
        <w:t>.</w:t>
      </w:r>
      <w:r w:rsidRPr="00340F92">
        <w:tab/>
        <w:t xml:space="preserve">pozdravlja dinamično i konstruktivno civilno društvo Albanije koje ima ključnu i pozitivnu ulogu u procesu reformi; potiče albansku vladu da izgradi suradničke odnose i istinski uključi civilno društvo u transparentan zakonodavni postupak od rane faze nadalje; žali zbog toga što se organizacije civilnog društva i dalje suočavaju s problemima i primaju ograničeno javno financiranje; nadalje, poziva albansku vladu da osigura poticajno, sigurno i </w:t>
      </w:r>
      <w:r w:rsidRPr="00340F92">
        <w:t>nediskriminirajuće</w:t>
      </w:r>
      <w:r w:rsidRPr="00340F92">
        <w:t xml:space="preserve"> okruženje za civilno društvo;</w:t>
      </w:r>
    </w:p>
    <w:p w:rsidR="00B739B0" w:rsidRPr="00340F92" w:rsidP="00B739B0" w14:paraId="4A5EBEA0" w14:textId="4190262E">
      <w:pPr>
        <w:pStyle w:val="NormalHanging12a"/>
      </w:pPr>
      <w:r>
        <w:t>25</w:t>
      </w:r>
      <w:r w:rsidRPr="00340F92">
        <w:t>.</w:t>
      </w:r>
      <w:r w:rsidRPr="00340F92">
        <w:tab/>
        <w:t xml:space="preserve">zabrinut je zbog toga što je, prema izvješću Svjetskog gospodarskog foruma o rodno uvjetovanim razlikama za 2025., Albanija nazadovala s 23. mjesta 2024. na 36. mjesto 2025., što upućuje na sve veći rodni jaz; žali zbog toga što pravni okvir Albanije za rodno uvjetovano nasilje još nije u potpunosti usklađen s </w:t>
      </w:r>
      <w:r w:rsidRPr="00340F92">
        <w:t>Istanbulskom</w:t>
      </w:r>
      <w:r w:rsidRPr="00340F92">
        <w:t xml:space="preserve"> konvencijom; apelira na albansku vladu da ojača službe za potporu žrtvama, posebno u zdravstvu, financiranje skloništa za žene, besplatnu pravnu pomoć te programe reintegracije i rehabilitacije;</w:t>
      </w:r>
    </w:p>
    <w:p w:rsidR="00B739B0" w:rsidRPr="00340F92" w:rsidP="00B739B0" w14:paraId="2FC3EE0C" w14:textId="521592C5">
      <w:pPr>
        <w:pStyle w:val="NormalHanging12a"/>
      </w:pPr>
      <w:r>
        <w:t>26</w:t>
      </w:r>
      <w:r w:rsidRPr="00340F92">
        <w:t>.</w:t>
      </w:r>
      <w:r w:rsidRPr="00340F92">
        <w:tab/>
        <w:t>zabrinut je zbog činjenice da Nacionalni program Albanije o pravima djeteta za razdoblje 2021. – 2026. još nije u potpunosti proveden, a pristup djece pravosuđu otežan je zbog kašnjenja, ograničene pravne pomoći i neodgovarajuće institucionalne koordinacije; žali zbog činjenice da je većina djece u Albaniji i dalje izložena riziku od siromaštva; poziva albanske vlasti da djelotvorno provedu Nacionalni program o pravima djeteta pružanjem pomoći djeci koja se suočavaju s isključenošću i siromaštvom;</w:t>
      </w:r>
    </w:p>
    <w:p w:rsidR="00B739B0" w:rsidRPr="00340F92" w:rsidP="00B739B0" w14:paraId="0A9007BF" w14:textId="77777777">
      <w:pPr>
        <w:pStyle w:val="NormalHanging12a"/>
        <w:rPr>
          <w:b/>
          <w:bCs/>
          <w:i/>
          <w:iCs/>
        </w:rPr>
      </w:pPr>
      <w:r w:rsidRPr="00340F92">
        <w:rPr>
          <w:b/>
          <w:i/>
        </w:rPr>
        <w:t>Reforma javne uprave i upravljanje</w:t>
      </w:r>
    </w:p>
    <w:p w:rsidR="00B739B0" w:rsidRPr="00340F92" w:rsidP="00B739B0" w14:paraId="5285E581" w14:textId="20AC642A">
      <w:pPr>
        <w:pStyle w:val="NormalHanging12a"/>
        <w:rPr>
          <w:bCs/>
          <w:iCs/>
        </w:rPr>
      </w:pPr>
      <w:r>
        <w:t>27</w:t>
      </w:r>
      <w:r w:rsidRPr="00340F92">
        <w:t>.</w:t>
      </w:r>
      <w:r w:rsidRPr="00340F92">
        <w:tab/>
        <w:t>prima na znanje napredak u reformi javne uprave, uključujući strateško planiranje i koordinaciju; pozdravlja donošenje međusektorske strategije za reformu javne uprave za razdoblje od 2025. do 2030.; naglašava, međutim, da su potrebni dodatni napori kako bi se osiguralo zapošljavanje na temelju zasluga i depolitizacija javne službe, uključujući donošenje i provedbu novog zakonodavnog okvira za javnu službu;</w:t>
      </w:r>
    </w:p>
    <w:p w:rsidR="00B739B0" w:rsidRPr="00340F92" w:rsidP="00B739B0" w14:paraId="75C26BC3" w14:textId="108B5582">
      <w:pPr>
        <w:pStyle w:val="NormalHanging12a"/>
        <w:rPr>
          <w:bCs/>
        </w:rPr>
      </w:pPr>
      <w:r>
        <w:t>28</w:t>
      </w:r>
      <w:r w:rsidRPr="00340F92">
        <w:t>.</w:t>
      </w:r>
      <w:r w:rsidRPr="00340F92">
        <w:tab/>
        <w:t>zabrinut je zbog toga što ni pravni okvir za javnu nabavu ni zakonodavstvo o pravu trgovačkih društava nisu u potpunosti usklađeni s pravnom stečevinom EU-a; poziva albanske vlasti da nastave ulagati napore u potpuno usklađivanje zakonodavstva Albanije s pravnom stečevinom EU-a; poziva na pojačani parlamentarni nadzor, neovisne revizije i potpunu transparentnost u postupcima javne nabave kako bi se osigurala usklađenost sa standardima EU-a o tržišnom natjecanju, zaštiti podataka i borbi protiv korupcije;</w:t>
      </w:r>
    </w:p>
    <w:p w:rsidR="00B739B0" w:rsidRPr="00340F92" w:rsidP="00B739B0" w14:paraId="3EAD193E" w14:textId="4C5C232F">
      <w:pPr>
        <w:pStyle w:val="NormalHanging12a"/>
        <w:rPr>
          <w:bCs/>
        </w:rPr>
      </w:pPr>
      <w:r>
        <w:t>29</w:t>
      </w:r>
      <w:r w:rsidRPr="00340F92">
        <w:t>.</w:t>
      </w:r>
      <w:r w:rsidRPr="00340F92">
        <w:tab/>
        <w:t xml:space="preserve">pozdravlja tekući rad albanskog međustranačkog parlamentarnog odbora na teritorijalnoj reformi; naglašava da bi se svaka reforma u tom području trebala provesti </w:t>
      </w:r>
      <w:r w:rsidRPr="00340F92">
        <w:t>uključivim</w:t>
      </w:r>
      <w:r w:rsidRPr="00340F92">
        <w:t xml:space="preserve"> procesom i temeljiti na objektivnim socioekonomskim kriterijima i europskim standardima lokalne samouprave;</w:t>
      </w:r>
    </w:p>
    <w:p w:rsidR="00B739B0" w:rsidRPr="00340F92" w:rsidP="00B739B0" w14:paraId="11AE2DAD" w14:textId="05BE9C71">
      <w:pPr>
        <w:pStyle w:val="NormalHanging12a"/>
        <w:rPr>
          <w:bCs/>
          <w:iCs/>
        </w:rPr>
      </w:pPr>
      <w:r>
        <w:t>30</w:t>
      </w:r>
      <w:r w:rsidRPr="00340F92">
        <w:t>.</w:t>
      </w:r>
      <w:r w:rsidRPr="00340F92">
        <w:tab/>
        <w:t>poziva na poboljšano planiranje politika, donošenje odluka na temelju dokaza i transparentne proračunske postupke, uključujući pojačani parlamentarni nadzor javnih financija; ustraje u tome da bi trebalo poboljšati financijska sredstva, upravne kapacitete i fiskalnu autonomiju jedinica lokalne uprave;</w:t>
      </w:r>
    </w:p>
    <w:p w:rsidR="00B739B0" w:rsidRPr="00340F92" w:rsidP="00B739B0" w14:paraId="621B0AA1" w14:textId="7C8450C5">
      <w:pPr>
        <w:pStyle w:val="NormalHanging12a"/>
        <w:rPr>
          <w:bCs/>
          <w:iCs/>
        </w:rPr>
      </w:pPr>
      <w:r>
        <w:t>31</w:t>
      </w:r>
      <w:r w:rsidRPr="00340F92">
        <w:t>.</w:t>
      </w:r>
      <w:r w:rsidRPr="00340F92">
        <w:tab/>
        <w:t>pohvaljuje albanske vlasti na nedavnom donošenju Nacionalne strategije za kibernetičku sigurnost za razdoblje od 2025. do 2030.; pozdravlja usklađivanje postojećeg albanskog Zakona o kibernetičkoj sigurnosti s Direktivom EU-a NIS 2</w:t>
      </w:r>
      <w:r>
        <w:rPr>
          <w:rStyle w:val="FootnoteReference"/>
          <w:bCs/>
          <w:iCs/>
        </w:rPr>
        <w:footnoteReference w:id="6"/>
      </w:r>
      <w:r w:rsidRPr="00340F92">
        <w:t>; pohvaljuje albanske vlasti zbog donošenja ažuriranog popisa operatora ključne i važne informacijske infrastrukture;</w:t>
      </w:r>
    </w:p>
    <w:p w:rsidR="00B739B0" w:rsidRPr="00340F92" w:rsidP="00B739B0" w14:paraId="4273B8F3" w14:textId="6C3FA3FC">
      <w:pPr>
        <w:pStyle w:val="NormalHanging12a"/>
        <w:rPr>
          <w:bCs/>
          <w:iCs/>
        </w:rPr>
      </w:pPr>
      <w:r>
        <w:t>32</w:t>
      </w:r>
      <w:r w:rsidRPr="00340F92">
        <w:t>.</w:t>
      </w:r>
      <w:r w:rsidRPr="00340F92">
        <w:tab/>
        <w:t>pozdravlja činjenicu da Albanija kontinuirano poboljšava svoj prijenos podataka Eurostatu; poziva albanske vlasti da dodatno povećaju proizvodnju i distribuciju visokokvalitetnih podataka;</w:t>
      </w:r>
    </w:p>
    <w:p w:rsidR="00B739B0" w:rsidRPr="00340F92" w:rsidP="00B739B0" w14:paraId="6C8B22C8" w14:textId="6082DE80">
      <w:pPr>
        <w:pStyle w:val="NormalHanging12a"/>
        <w:rPr>
          <w:bCs/>
          <w:iCs/>
        </w:rPr>
      </w:pPr>
      <w:r>
        <w:t>33</w:t>
      </w:r>
      <w:r w:rsidRPr="00340F92">
        <w:t>.</w:t>
      </w:r>
      <w:r w:rsidRPr="00340F92">
        <w:tab/>
        <w:t>pohvaljuje albansku vladu zbog donošenja novih zakona o žigovima i patentima; poziva albanske vlasti da u potpunosti usklade albansko pravo intelektualnog vlasništva s pravnom stečevinom EU-a i nastave ga jačati;</w:t>
      </w:r>
    </w:p>
    <w:p w:rsidR="00B739B0" w:rsidRPr="00340F92" w:rsidP="00B739B0" w14:paraId="30C25110" w14:textId="77777777">
      <w:pPr>
        <w:pStyle w:val="NormalHanging12a"/>
        <w:rPr>
          <w:b/>
          <w:bCs/>
          <w:i/>
          <w:iCs/>
        </w:rPr>
      </w:pPr>
      <w:r w:rsidRPr="00340F92">
        <w:rPr>
          <w:b/>
          <w:i/>
        </w:rPr>
        <w:t>Socioekonomske reforme i okoliš</w:t>
      </w:r>
    </w:p>
    <w:p w:rsidR="00B739B0" w:rsidRPr="00340F92" w:rsidP="00B739B0" w14:paraId="29AC96C6" w14:textId="179EBA55">
      <w:pPr>
        <w:pStyle w:val="NormalHanging12a"/>
      </w:pPr>
      <w:r>
        <w:t>34</w:t>
      </w:r>
      <w:r w:rsidRPr="00340F92">
        <w:t>.</w:t>
      </w:r>
      <w:r w:rsidRPr="00340F92">
        <w:tab/>
        <w:t>pozdravlja angažman Albanije u provedbi Plana rasta EU-a za zapadni Balkan; napominje, međutim, da i dalje postoje strukturni nedostaci, uključujući neprijavljeni rad, ograničen rast produktivnosti i zahtjevno poslovno okruženje; žali zbog toga što veliko neformalno gospodarstvo ometa poslovno okruženje i tržišno natjecanje; ponavlja važnost poboljšanja prometne infrastrukture među zemljama zapadnog Balkana i daljnjeg razvijanja željezničkih i zračnih veza s državama članicama EU-a; pohvaljuje albanske vlasti zbog oslobađanja od plaćanja PDV-a za projekte koje EU financira u Albaniji;</w:t>
      </w:r>
    </w:p>
    <w:p w:rsidR="00B739B0" w:rsidRPr="00340F92" w:rsidP="00B739B0" w14:paraId="5D20FA1A" w14:textId="3F5EFC96">
      <w:pPr>
        <w:pStyle w:val="NormalHanging12a"/>
        <w:rPr>
          <w:bCs/>
          <w:iCs/>
        </w:rPr>
      </w:pPr>
      <w:r>
        <w:t>35</w:t>
      </w:r>
      <w:r w:rsidRPr="00340F92">
        <w:t>.</w:t>
      </w:r>
      <w:r w:rsidRPr="00340F92">
        <w:tab/>
        <w:t>podsjeća na potencijal koji Gospodarski i investicijski plan EU-a za zapadni Balkan ima u pogledu poboljšanja regionalne povezanosti željeznicom i cestom; u tom pogledu potiče vlasti u svim zemljama na koje se taj plan odnosi da dovrše koridor VIII koji povezuje Albaniju, Sjevernu Makedoniju i Bugarsku;</w:t>
      </w:r>
    </w:p>
    <w:p w:rsidR="00B739B0" w:rsidRPr="00340F92" w:rsidP="00B739B0" w14:paraId="55279EEC" w14:textId="3A0CD8B0">
      <w:pPr>
        <w:pStyle w:val="NormalHanging12a"/>
        <w:rPr>
          <w:bCs/>
          <w:iCs/>
        </w:rPr>
      </w:pPr>
      <w:r>
        <w:t>36</w:t>
      </w:r>
      <w:r w:rsidRPr="00340F92">
        <w:t>.</w:t>
      </w:r>
      <w:r w:rsidRPr="00340F92">
        <w:tab/>
        <w:t>poziva na implementaciju sveobuhvatnog mehanizma za provjeru izravnih stranih ulaganja kao strateške inicijative za zaštitu nacionalnih interesa Albanije, jačanje sigurnosti i osiguravanje predvidljivosti za ulagače i usklađenosti sa standardima EU-a;</w:t>
      </w:r>
    </w:p>
    <w:p w:rsidR="00B739B0" w:rsidRPr="00340F92" w:rsidP="00B739B0" w14:paraId="6C0897A7" w14:textId="19E1BBBF">
      <w:pPr>
        <w:pStyle w:val="NormalHanging12a"/>
        <w:rPr>
          <w:bCs/>
          <w:iCs/>
        </w:rPr>
      </w:pPr>
      <w:r>
        <w:t>37</w:t>
      </w:r>
      <w:r w:rsidRPr="00340F92">
        <w:t>.</w:t>
      </w:r>
      <w:r w:rsidRPr="00340F92">
        <w:tab/>
        <w:t>ističe činjenicu da sustav unutarnje kontrole albanske javne unutarnje financijske kontrole i dalje nije u potpunosti djelotvoran; poziva Albaniju da poveća odgovornost i transparentnost poduzeća u državnom vlasništvu objavljivanjem njihovih godišnjih izvješća o financijskim rezultatima; poziva albanske vlasti da u potpunosti primijene preporuke albanske vrhovne revizorske institucije;</w:t>
      </w:r>
    </w:p>
    <w:p w:rsidR="00B739B0" w:rsidRPr="00340F92" w:rsidP="00B739B0" w14:paraId="20AECC4B" w14:textId="03EC3FC5">
      <w:pPr>
        <w:pStyle w:val="NormalHanging12a"/>
        <w:rPr>
          <w:bCs/>
          <w:iCs/>
        </w:rPr>
      </w:pPr>
      <w:r>
        <w:t>38</w:t>
      </w:r>
      <w:r w:rsidRPr="00340F92">
        <w:t>.</w:t>
      </w:r>
      <w:r w:rsidRPr="00340F92">
        <w:tab/>
        <w:t xml:space="preserve">pozdravlja donošenje albanske Strategije za modernizaciju i usklađivanje albanskih </w:t>
      </w:r>
      <w:r w:rsidRPr="00340F92">
        <w:t>carinskih informacijskih sustava sa sustavima EU-a za razdoblje 2025. – 2030.; pohvaljuje albanske vlasti na njihovim naporima u ispunjavanju standarda EU-a usklađivanjem i poboljšanjem carinske infrastrukture;</w:t>
      </w:r>
      <w:r w:rsidR="000A3D0C">
        <w:t xml:space="preserve"> </w:t>
      </w:r>
      <w:r w:rsidRPr="000A3D0C" w:rsidR="000A3D0C">
        <w:t>naglašava da je potrebna znatna nadogradnja carinskih IT sustava kako bi se postigla potpuna usklađenost sa standardima EU-a te poziva albanske vlasti da ubrzaju potrebna ulaganja i reforme u tom pogledu;</w:t>
      </w:r>
    </w:p>
    <w:p w:rsidR="00B739B0" w:rsidRPr="00340F92" w:rsidP="00B739B0" w14:paraId="6CE01F00" w14:textId="19571095">
      <w:pPr>
        <w:pStyle w:val="NormalHanging12a"/>
        <w:rPr>
          <w:bCs/>
          <w:iCs/>
        </w:rPr>
      </w:pPr>
      <w:r>
        <w:t>39</w:t>
      </w:r>
      <w:r w:rsidRPr="00340F92">
        <w:t>.</w:t>
      </w:r>
      <w:r w:rsidRPr="00340F92">
        <w:tab/>
        <w:t>pohvaljuje albanske vlasti na usklađivanju zakonodavstva o privatnim mirovinskim fondovima s pravnom stečevinom EU-a; poziva Albaniju da dovrši usklađivanje s pravnom stečevinom EU-a o osiguranju, tržištima kapitala, tržištima vrijednosnih papira, investicijskim fondovima i infrastrukturama financijskog tržišta;</w:t>
      </w:r>
    </w:p>
    <w:p w:rsidR="00B739B0" w:rsidRPr="00340F92" w:rsidP="00B739B0" w14:paraId="6D124752" w14:textId="326DDDC4">
      <w:pPr>
        <w:pStyle w:val="NormalHanging12a"/>
        <w:rPr>
          <w:bCs/>
          <w:iCs/>
        </w:rPr>
      </w:pPr>
      <w:r>
        <w:t>40</w:t>
      </w:r>
      <w:r w:rsidRPr="00340F92">
        <w:t>.</w:t>
      </w:r>
      <w:r w:rsidRPr="00340F92">
        <w:tab/>
        <w:t xml:space="preserve">toplo pozdravlja prijedlog Komisije </w:t>
      </w:r>
      <w:r w:rsidRPr="00A70ABD" w:rsidR="00A70ABD">
        <w:t xml:space="preserve">i odobrenje Vijeća </w:t>
      </w:r>
      <w:r w:rsidRPr="00340F92">
        <w:t xml:space="preserve">za otvaranje pregovora o proširenju EU-ova sustava „u roamingu kao kod kuće” na zapadni Balkan </w:t>
      </w:r>
      <w:r w:rsidR="00A70ABD">
        <w:t>te</w:t>
      </w:r>
      <w:r w:rsidRPr="00340F92">
        <w:t xml:space="preserve"> poziva </w:t>
      </w:r>
      <w:r w:rsidRPr="00A70ABD" w:rsidR="00A70ABD">
        <w:t>Komisiju i partnere sa zapadnog Balkana</w:t>
      </w:r>
      <w:r w:rsidRPr="00340F92">
        <w:t xml:space="preserve"> da brzo </w:t>
      </w:r>
      <w:r w:rsidRPr="00A70ABD" w:rsidR="00A70ABD">
        <w:t>poduzmu potrebne korake za recipročno</w:t>
      </w:r>
      <w:r w:rsidRPr="00340F92">
        <w:t xml:space="preserve"> otvaranje </w:t>
      </w:r>
      <w:r w:rsidRPr="00A70ABD" w:rsidR="00A70ABD">
        <w:t>tržišta roaminga EU-a i partnera</w:t>
      </w:r>
      <w:r w:rsidRPr="00340F92">
        <w:t xml:space="preserve"> sa zapadnog Balkana</w:t>
      </w:r>
      <w:r w:rsidRPr="00A70ABD" w:rsidR="00A70ABD">
        <w:t>, čime bi se građanima i poduzećima omogućilo da iskoriste usluge roaminga bez dodatnih naknada</w:t>
      </w:r>
      <w:r w:rsidRPr="00340F92">
        <w:t>;</w:t>
      </w:r>
    </w:p>
    <w:p w:rsidR="00B739B0" w:rsidRPr="00340F92" w:rsidP="00B739B0" w14:paraId="71470C99" w14:textId="3BE165F2">
      <w:pPr>
        <w:pStyle w:val="NormalHanging12a"/>
        <w:rPr>
          <w:bCs/>
          <w:iCs/>
        </w:rPr>
      </w:pPr>
      <w:r>
        <w:t>41</w:t>
      </w:r>
      <w:r w:rsidRPr="00340F92">
        <w:t>.</w:t>
      </w:r>
      <w:r w:rsidRPr="00340F92">
        <w:tab/>
        <w:t>ističe važnost ulaganja u obrazovanje, razvoj vještina i inovacije kako bi se poduprli održivi rast i socijalna kohezija; pohvaljuje albansku vladu na donošenju zakonodavnih akata za reformu visokog obrazovanja i za kontinuiranu provedbu Nacionalne strategije za obrazovanje za razdoblje 2021. – 2026.; poziva albanske vlasti da finaliziraju provedbeno zakonodavstvo za Zakon o kulturnoj baštini i muzejima; potiče donošenje politika usmjerenih na smanjenje iseljavanja mladih i odljeva mozgova te na povećanje prilika za mlade stručnjake poboljšavanjem uvjeta na tržištu rada, reformom obrazovanja i potporom inovacijama;</w:t>
      </w:r>
    </w:p>
    <w:p w:rsidR="00B739B0" w:rsidRPr="00340F92" w:rsidP="00B739B0" w14:paraId="4DBB3481" w14:textId="5110C22A">
      <w:pPr>
        <w:pStyle w:val="NormalHanging12a"/>
        <w:rPr>
          <w:bCs/>
          <w:iCs/>
        </w:rPr>
      </w:pPr>
      <w:r>
        <w:t>42</w:t>
      </w:r>
      <w:r w:rsidRPr="00340F92">
        <w:t>.</w:t>
      </w:r>
      <w:r w:rsidRPr="00340F92">
        <w:tab/>
        <w:t>poziva na daljnji razvoj i učinkovitu provedbu okvira za socijalno stanovanje u Albaniji na temelju nastavka i poboljšanja Nacionalne strategije za socijalno stanovanje 2016. – 2025., kako bi se osigurali stabilni i pristojni životni uvjeti za skupine s nižim dohotkom i ranjive skupine; posebno naglašava važnost dostupnog i cjenovno pristupačnog socijalnog stanovanja za mlade, uključujući studente i naučnike, jer se time podupire njihova geografska mobilnost, pristup obrazovanju i osposobljavanju te uspješna integracija na tržište rada;</w:t>
      </w:r>
    </w:p>
    <w:p w:rsidR="00B739B0" w:rsidRPr="00340F92" w:rsidP="00B739B0" w14:paraId="21DA1A7F" w14:textId="0AF5A984">
      <w:pPr>
        <w:pStyle w:val="NormalHanging12a"/>
      </w:pPr>
      <w:r>
        <w:t>43</w:t>
      </w:r>
      <w:r w:rsidRPr="00340F92">
        <w:t>.</w:t>
      </w:r>
      <w:r w:rsidRPr="00340F92">
        <w:tab/>
        <w:t>naglašava ključnu važnost istinskog socijalnog dijaloga kako bi različiti segmenti stanovništva profitirali od proširenja EU-a; pozdravlja poboljšanje prijenosa baza podataka i rano povezivanje s Europskom mrežom službi za zapošljavanje (EURES), što je omogućeno potpunim usklađivanjem nacionalnog popisa djelatnosti s višejezičnom klasifikacijom europskih vještina, kompetencija, kvalifikacija i zanimanja (ESCO); žali, međutim, zbog niske učestalosti sastanaka Nacionalnog radničkog vijeća; poziva na jačanje trostranog postupka savjetovanja, uključujući odgovarajuće sindikalno zastupanje; naglašava potrebu za daljnjom potporom izgradnji kapaciteta socijalnih partnera;</w:t>
      </w:r>
    </w:p>
    <w:p w:rsidR="00B739B0" w:rsidRPr="00340F92" w:rsidP="00B739B0" w14:paraId="4737479D" w14:textId="0D74E1C8">
      <w:pPr>
        <w:pStyle w:val="NormalHanging12a"/>
        <w:rPr>
          <w:bCs/>
          <w:iCs/>
        </w:rPr>
      </w:pPr>
      <w:r>
        <w:t>44</w:t>
      </w:r>
      <w:r w:rsidRPr="00340F92">
        <w:t>.</w:t>
      </w:r>
      <w:r w:rsidRPr="00340F92">
        <w:tab/>
        <w:t xml:space="preserve">poziva na ulaganje većih napora u poticanje usklađenosti s radnim pravom EU-a i okvirom EU-a za zdravlje i sigurnost na radu, uključujući potpunu provedbu </w:t>
      </w:r>
      <w:r w:rsidRPr="00340F92">
        <w:t>nediskriminirajućih</w:t>
      </w:r>
      <w:r w:rsidRPr="00340F92">
        <w:t xml:space="preserve"> politika i mjera za ravnopravnost, te potiče relevantna nacionalna tijela da osiguraju učinkovito praćenje, provedbu te odgovarajuće sankcije u slučajevima neusklađenosti;</w:t>
      </w:r>
    </w:p>
    <w:p w:rsidR="00B739B0" w:rsidRPr="00340F92" w:rsidP="00B739B0" w14:paraId="2EC324D5" w14:textId="58066B4E">
      <w:pPr>
        <w:pStyle w:val="NormalHanging12a"/>
        <w:rPr>
          <w:bCs/>
          <w:iCs/>
        </w:rPr>
      </w:pPr>
      <w:r>
        <w:t>45</w:t>
      </w:r>
      <w:r w:rsidRPr="00340F92">
        <w:t>.</w:t>
      </w:r>
      <w:r w:rsidRPr="00340F92">
        <w:tab/>
        <w:t>naglašava da napredak prema pristupanju EU-u zahtijeva kontinuitet rezultata u provedbi i primjeni pravne stečevine u području okoliša, posebno u pogledu procjena utjecaja na okoliš, zakona o zaštiti prirode i prava javnosti na sudjelovanje;</w:t>
      </w:r>
    </w:p>
    <w:p w:rsidR="00B739B0" w:rsidRPr="00340F92" w:rsidP="00B739B0" w14:paraId="0F68CE35" w14:textId="094F6B47">
      <w:pPr>
        <w:pStyle w:val="NormalHanging12a"/>
      </w:pPr>
      <w:r>
        <w:t>46</w:t>
      </w:r>
      <w:r w:rsidRPr="00340F92">
        <w:t>.</w:t>
      </w:r>
      <w:r w:rsidRPr="00340F92">
        <w:tab/>
        <w:t>prima na znanje najavu albanske vlade da će reformirati sektor gospodarenja otpadom te zemlje, uz centralizaciju i poboljšanje prikupljanja otpada i njegovo gospodarenje; sa zabrinutošću prima na znanje, međutim, da prema procjeni Komisije tijekom razdoblja izvješćivanja nije bilo napretka u području okoliša i klimatskih promjena; potiče albansku vladu da prednost da provedbi strategija za prilagodbu klimatskim promjenama i razvoju obnovljivih izvora energije i da podrži održivi gospodarski rast;</w:t>
      </w:r>
    </w:p>
    <w:p w:rsidR="00B739B0" w:rsidP="00B739B0" w14:paraId="42BB7E07" w14:textId="46D33166">
      <w:pPr>
        <w:pStyle w:val="NormalHanging12a"/>
      </w:pPr>
      <w:r>
        <w:t>47</w:t>
      </w:r>
      <w:r w:rsidRPr="00340F92">
        <w:t>.</w:t>
      </w:r>
      <w:r w:rsidRPr="00340F92">
        <w:tab/>
        <w:t>duboko žali zbog činjenice da je produljen albanski Zakona o strateškim ulaganjima iz 2015,. s obzirom na njegove odredbe kojima se omogućuju ubrzani postupci izdavanja dozvola i smanjeni okolišni nadzor, što bi moglo negativno utjecati na zaštićena područja i druga okolišno osjetljiva područja; poziva na stavljanje izvan snage izmjena Zakona o zaštićenim područjima iz 2024., kojima se omogućuje razvoj turističke infrastrukture velikih razmjera unutar zaštićenih područja a ključne nadležnosti za upravljanje i donošenje odluka prenose na Nacionalno vijeće teritorija, čime se slabi nadzor okoliša;</w:t>
      </w:r>
    </w:p>
    <w:p w:rsidR="00A70ABD" w:rsidP="00B739B0" w14:paraId="4CE53055" w14:textId="6288D655">
      <w:pPr>
        <w:pStyle w:val="NormalHanging12a"/>
      </w:pPr>
      <w:r>
        <w:t>48</w:t>
      </w:r>
      <w:r w:rsidRPr="00A70ABD">
        <w:t>.</w:t>
      </w:r>
      <w:r w:rsidRPr="00A70ABD">
        <w:tab/>
        <w:t>ističe činjenicu da je Komisija upozorila Albaniju na mjere koje bi mogle utjecati na njezin put pristupanja EU-u u kontekstu aktualnih nacionalnih prosvjeda zbog velikog luksuznog građevinskog projekta kojim se ugrožava zaštićeno područje divlje faune i flore u kojem žive plamenci, tuljani i mjesto je za gniježđenje kornjača; u tom pogledu ponavlja kritiku Komisije i podsjeća da je usklađivanje s pravilima EU-a o okolišu, uključujući Direktivu o pticama</w:t>
      </w:r>
      <w:r>
        <w:rPr>
          <w:rStyle w:val="FootnoteReference"/>
        </w:rPr>
        <w:footnoteReference w:id="7"/>
      </w:r>
      <w:r w:rsidRPr="00A70ABD">
        <w:t xml:space="preserve"> i Direktivu o staništima</w:t>
      </w:r>
      <w:r>
        <w:rPr>
          <w:rStyle w:val="FootnoteReference"/>
        </w:rPr>
        <w:footnoteReference w:id="8"/>
      </w:r>
      <w:r w:rsidRPr="00A70ABD">
        <w:t>, preduvjet za pristupanje EU-u;</w:t>
      </w:r>
    </w:p>
    <w:p w:rsidR="000A3D0C" w:rsidRPr="00340F92" w:rsidP="00B739B0" w14:paraId="3CE01540" w14:textId="4D7664E5">
      <w:pPr>
        <w:pStyle w:val="NormalHanging12a"/>
        <w:rPr>
          <w:bCs/>
          <w:iCs/>
        </w:rPr>
      </w:pPr>
      <w:r>
        <w:rPr>
          <w:bCs/>
          <w:iCs/>
        </w:rPr>
        <w:t>49</w:t>
      </w:r>
      <w:r w:rsidRPr="000A3D0C">
        <w:rPr>
          <w:bCs/>
          <w:iCs/>
        </w:rPr>
        <w:t>.</w:t>
      </w:r>
      <w:r w:rsidRPr="000A3D0C">
        <w:rPr>
          <w:bCs/>
          <w:iCs/>
        </w:rPr>
        <w:tab/>
        <w:t xml:space="preserve">izražava ozbiljnu zabrinutost zbog toga što aktualni razvoj događaja u zaštićenom području </w:t>
      </w:r>
      <w:r w:rsidRPr="000A3D0C">
        <w:rPr>
          <w:bCs/>
          <w:iCs/>
        </w:rPr>
        <w:t>Vjosa-Narta</w:t>
      </w:r>
      <w:r w:rsidRPr="000A3D0C">
        <w:rPr>
          <w:bCs/>
          <w:iCs/>
        </w:rPr>
        <w:t xml:space="preserve"> pokazuje praktične posljedice tih zakonodavnih promjena i rizike koji iz toga proizlaze za područja priznate ekološke vrijednosti; u tom pogledu pomno prati aktualne mirne masovne prosvjede; poziva albanske vlasti da odmah uvedu moratorij na sve nove postupke izdavanja dozvola, građevinske radove i razvojne intervencije u zaštićenim područjima dok se nespojive odredbe izmijenjenog Zakona o zaštićenim područjima ne stave izvan snage, na temelju dugotrajnog zahtjeva Komisije i Parlamenta i u skladu s mjerilima za zatvaranje poglavlja 27., te dok se ne osigura potpuna usklađenost sa standardima EU-a za zaštitu prirode; naglašava da svi projekti u tom području moraju proći sveobuhvatne procjene utjecaja na okoliš koje su u potpunosti u skladu sa standardima EU-a, uključujući transparentan javni postupak uz sudjelovanje lokalnih zajednica, znanstvenika i civilnog društva;</w:t>
      </w:r>
    </w:p>
    <w:p w:rsidR="00B739B0" w:rsidRPr="00340F92" w:rsidP="00B739B0" w14:paraId="2DDEA3EB" w14:textId="77777777">
      <w:pPr>
        <w:pStyle w:val="NormalHanging12a"/>
        <w:rPr>
          <w:b/>
          <w:bCs/>
          <w:i/>
          <w:iCs/>
        </w:rPr>
      </w:pPr>
      <w:r w:rsidRPr="00340F92">
        <w:rPr>
          <w:b/>
          <w:i/>
        </w:rPr>
        <w:t>Vanjska politika i regionalna suradnja</w:t>
      </w:r>
    </w:p>
    <w:p w:rsidR="00B739B0" w:rsidRPr="00340F92" w:rsidP="00B739B0" w14:paraId="51432BE3" w14:textId="2F1AEF25">
      <w:pPr>
        <w:pStyle w:val="NormalHanging12a"/>
      </w:pPr>
      <w:r>
        <w:t>50</w:t>
      </w:r>
      <w:r w:rsidRPr="00340F92">
        <w:t>.</w:t>
      </w:r>
      <w:r w:rsidRPr="00340F92">
        <w:tab/>
        <w:t xml:space="preserve">pohvaljuje stalnu potpunu usklađenost Albanije sa zajedničkom vanjskom i sigurnosnom politikom EU-a, uključujući mjere ograničavanja, kontinuirani angažman </w:t>
      </w:r>
      <w:r w:rsidRPr="00340F92">
        <w:t>Albanije u misijama i operacijama zajedničke sigurnosne i obrambene politike te njezinu konstruktivnu ulogu u promicanju regionalne stabilnosti, što potvrđuje snažnu euro-atlantsku orijentaciju te zemlje; pozdravlja pojačanu suradnju u sigurnosnim i obrambenim pitanjima u okviru partnerstva EU-a i Albanije u području sigurnosti i obrane te dijaloga o sigurnosti i obrani; naglašava da je važna daljnja suradnja, primjerice zajedničke inicijative za osposobljavanje, zajednički obavještajni kapaciteti i poboljšane mjere za sigurnost granica, kako bi se rješavali regionalni i globalni sigurnosni izazovi;</w:t>
      </w:r>
    </w:p>
    <w:p w:rsidR="00B739B0" w:rsidRPr="00340F92" w:rsidP="00B739B0" w14:paraId="18F7822D" w14:textId="37553728">
      <w:pPr>
        <w:pStyle w:val="NormalHanging12a"/>
      </w:pPr>
      <w:r>
        <w:t>51</w:t>
      </w:r>
      <w:r w:rsidRPr="00340F92">
        <w:t>.</w:t>
      </w:r>
      <w:r w:rsidRPr="00340F92">
        <w:tab/>
        <w:t>naglašava da bi sudjelovanje u međunarodnim inicijativama i organizacijama trebalo i dalje biti usklađeno s vrijednostima EU-a, regionalnom stabilnošću i ciljevima Albanije u pogledu europskih integracija; naglašava važnost transparentnosti i odgovarajućeg parlamentarnog nadzora u odlukama povezanima s međunarodnim obvezama;</w:t>
      </w:r>
    </w:p>
    <w:p w:rsidR="00B739B0" w:rsidRPr="00340F92" w:rsidP="00B739B0" w14:paraId="6A49C299" w14:textId="5B31D5C4">
      <w:pPr>
        <w:pStyle w:val="NormalHanging12a"/>
        <w:rPr>
          <w:bCs/>
          <w:iCs/>
        </w:rPr>
      </w:pPr>
      <w:r>
        <w:t>52</w:t>
      </w:r>
      <w:r w:rsidRPr="00340F92">
        <w:t>.</w:t>
      </w:r>
      <w:r w:rsidRPr="00340F92">
        <w:tab/>
        <w:t>naglašava važnost dobrosusjedskih odnosa i regionalne suradnje kao ključnih sastavnica procesa proširenja EU-a i pozdravlja aktivno sudjelovanje Albanije u regionalnim inicijativama; naglašava potrebu za dubljom sigurnosnom suradnjom na zapadnom Balkanu, poticanjem tješnje koordinacije među regionalnim partnerima u borbi protiv organiziranog kriminala, kibernetičkih prijetnji i hibridnih izazova; prepoznaje stratešku važnost jadransko-jonske regije za europsku sigurnost i gospodarsku stabilnost; poziva Albaniju da poboljša svoje kapacitete za pomorsku sigurnost u koordinaciji s EU-om i NATO-om, uključujući jačanje pomorske infrastrukture, poboljšanje sustava nadzora i jačanje napora u borbi protiv nezakonitih aktivnosti kao što su trgovina ljudima; potiče Albaniju na tješnju suradnju s obalnim državama EU-a kako bi se osigurala zaštita ključnih pomorskih ruta i ekološka održivost u regiji;</w:t>
      </w:r>
    </w:p>
    <w:p w:rsidR="00B739B0" w:rsidRPr="00340F92" w:rsidP="00B739B0" w14:paraId="2ABB6803" w14:textId="21E2B10C">
      <w:pPr>
        <w:pStyle w:val="NormalHanging12a"/>
        <w:rPr>
          <w:bCs/>
          <w:iCs/>
        </w:rPr>
      </w:pPr>
      <w:r>
        <w:t>53</w:t>
      </w:r>
      <w:r w:rsidRPr="00340F92">
        <w:t>.</w:t>
      </w:r>
      <w:r w:rsidRPr="00340F92">
        <w:tab/>
        <w:t>upozorava da bi inicijative razvijene izvan okvira EU-a, uključujući inicijativu „Otvoreni Balkan”, mogle stvoriti paralelne strukture koje bi mogle ugroziti Berlinski proces i zajedničko regionalno tržište zapadnog Balkana;</w:t>
      </w:r>
    </w:p>
    <w:p w:rsidR="00B739B0" w:rsidRPr="00340F92" w:rsidP="00B739B0" w14:paraId="7291FB4D" w14:textId="77777777">
      <w:pPr>
        <w:pStyle w:val="NormalHanging12a"/>
        <w:rPr>
          <w:b/>
          <w:bCs/>
          <w:i/>
          <w:iCs/>
        </w:rPr>
      </w:pPr>
      <w:r w:rsidRPr="00340F92">
        <w:rPr>
          <w:b/>
          <w:i/>
        </w:rPr>
        <w:t>Potpora EU-a</w:t>
      </w:r>
    </w:p>
    <w:p w:rsidR="00B739B0" w:rsidRPr="00340F92" w:rsidP="00B739B0" w14:paraId="6562AC5C" w14:textId="10AEE1F8">
      <w:pPr>
        <w:pStyle w:val="NormalHanging12a"/>
      </w:pPr>
      <w:r>
        <w:t>54</w:t>
      </w:r>
      <w:r w:rsidRPr="00340F92">
        <w:t>.</w:t>
      </w:r>
      <w:r w:rsidRPr="00340F92">
        <w:tab/>
        <w:t>pozdravlja financijsku i tehničku pomoć EU-a pruženu Albaniji u okviru IPA-e III i Instrumenta za reforme i rast te naglašava da takva potpora mora ostati čvrsto povezana s konkretnom provedbom reformi i mjerljivim rezultatima; poziva na veću potporu EU-a regionalnim sigurnosnim inicijativama kojima se jačaju stabilnost i otpornost diljem zapadnog Balkana; pozdravlja mjere bilateralne pomoći u okviru Europskog instrumenta mirovne pomoći za potporu albanskim oružanim snagama kojima se povećava potencijal Albanije za doprinos misijama i operacijama zajedničke sigurnosne i obrambene politike EU-a.</w:t>
      </w:r>
    </w:p>
    <w:p w:rsidR="00B739B0" w:rsidRPr="00340F92" w:rsidP="00B739B0" w14:paraId="157B3B23" w14:textId="201F9AF2">
      <w:pPr>
        <w:pStyle w:val="NormalHanging12a"/>
        <w:rPr>
          <w:bCs/>
          <w:iCs/>
        </w:rPr>
      </w:pPr>
      <w:r>
        <w:t>55</w:t>
      </w:r>
      <w:r w:rsidRPr="00340F92">
        <w:t>.</w:t>
      </w:r>
      <w:r w:rsidRPr="00340F92">
        <w:tab/>
        <w:t>poziva na pojačani nadzor i smisleno sudjelovanje organizacija civilnog društva, poslovnih udruženja i socijalnih partnera u svim fazama Instrumenta za reforme i rast za zapadni Balkan, uključujući osmišljavanje reformskih mjera, provedbu projekata i praćenje rezultata;</w:t>
      </w:r>
    </w:p>
    <w:p w:rsidR="00B739B0" w:rsidRPr="00340F92" w:rsidP="00B739B0" w14:paraId="33986EE7" w14:textId="77880410">
      <w:pPr>
        <w:pStyle w:val="NormalHanging12a"/>
        <w:rPr>
          <w:bCs/>
          <w:iCs/>
        </w:rPr>
      </w:pPr>
      <w:r>
        <w:t>56</w:t>
      </w:r>
      <w:r w:rsidRPr="00340F92">
        <w:t>.</w:t>
      </w:r>
      <w:r w:rsidRPr="00340F92">
        <w:tab/>
        <w:t>poziva EU da pruži dodatnu financijsku i tehničku pomoć Albaniji, za potporu održivom ruralnom razvoju i smanjenje jaza između urbanih i ruralnih područja u skladu s kohezijskim politikama EU-a;</w:t>
      </w:r>
    </w:p>
    <w:p w:rsidR="00B739B0" w:rsidRPr="00340F92" w:rsidP="00B739B0" w14:paraId="79E36ECE" w14:textId="3810C4F6">
      <w:pPr>
        <w:pStyle w:val="NormalHanging12a"/>
        <w:rPr>
          <w:bCs/>
          <w:iCs/>
        </w:rPr>
      </w:pPr>
      <w:r>
        <w:t>57</w:t>
      </w:r>
      <w:r w:rsidRPr="00340F92">
        <w:t>.</w:t>
      </w:r>
      <w:r w:rsidRPr="00340F92">
        <w:tab/>
        <w:t xml:space="preserve">izražava zabrinutost zbog ozbiljnih nepravilnosti koje je Europski ured za borbu protiv </w:t>
      </w:r>
      <w:r w:rsidRPr="00340F92">
        <w:t>prijevara utvrdio u provedbi programa Instrumenta pretpristupne pomoći EU-a za ruralni razvoj (IPARD II) u Albaniji; naglašava važnost jamčenja potpune transparentnosti, odgovornosti i djelotvornih mehanizama kontrole pri korištenju financijske pomoći EU-a, kako bi se zaštitili financijski interesi Unije i održalo povjerenje javnosti; poziva na hitnu provedbu potrebnih korektivnih mjera;</w:t>
      </w:r>
    </w:p>
    <w:p w:rsidR="00B739B0" w:rsidRPr="00340F92" w:rsidP="00B739B0" w14:paraId="251EBB57" w14:textId="7660E19D">
      <w:pPr>
        <w:pStyle w:val="NormalHanging12a"/>
        <w:rPr>
          <w:bCs/>
          <w:iCs/>
        </w:rPr>
      </w:pPr>
      <w:r>
        <w:t>58</w:t>
      </w:r>
      <w:r w:rsidRPr="00340F92">
        <w:t>.</w:t>
      </w:r>
      <w:r w:rsidRPr="00340F92">
        <w:tab/>
        <w:t>poziva Komisiju da nastavi pružati jasne smjernice o prioritetima reformi te da osigura transparentno i strogo praćenje napretka reformi; nadalje poziva Komisiju da pokrene informativnu kampanju u svim državama članicama i Albaniji kako bi se građanima objasnio pozitivan učinak proširenja EU-a;</w:t>
      </w:r>
    </w:p>
    <w:p w:rsidR="00B739B0" w:rsidRPr="00340F92" w:rsidP="00B739B0" w14:paraId="2705BEAA" w14:textId="7DBC327A">
      <w:pPr>
        <w:pStyle w:val="NormalHanging12a"/>
        <w:rPr>
          <w:bCs/>
          <w:iCs/>
        </w:rPr>
      </w:pPr>
      <w:r>
        <w:t>59</w:t>
      </w:r>
      <w:r w:rsidRPr="00340F92">
        <w:t>.</w:t>
      </w:r>
      <w:r w:rsidRPr="00340F92">
        <w:tab/>
        <w:t>potiče Komisiju da, zajedno s Europskom službom za vanjsko djelovanje, dodatno pomogne u jačanju otpornosti Albanije na hibridne prijetnje u području kibernetičke sigurnosti, manipulacije informacijama i zaštite kritičnih infrastruktura; naglašava potrebu za poboljšanjem koordinacije i rješavanjem problema dezinformacija i hibridnih prijetnji kojima je cilj potkopati javnu potporu u Albaniji pristupanju EU-u snažnijim strateškim naglašavanjem važnosti EU-a za ljude na zapadnom Balkanu;</w:t>
      </w:r>
    </w:p>
    <w:p w:rsidR="00CD5F99" w:rsidP="00CD5F99" w14:paraId="74627FD2" w14:textId="01CE9367">
      <w:pPr>
        <w:pStyle w:val="NormalHanging12a"/>
        <w:widowControl/>
        <w:ind w:left="0" w:firstLine="0"/>
        <w:jc w:val="center"/>
      </w:pPr>
      <w:r>
        <w:t>°</w:t>
      </w:r>
    </w:p>
    <w:p w:rsidR="00CD5F99" w:rsidP="00CD5F99" w14:paraId="3D28DC7C" w14:textId="639F6021">
      <w:pPr>
        <w:pStyle w:val="NormalHanging12a"/>
        <w:widowControl/>
        <w:ind w:left="0" w:firstLine="0"/>
        <w:jc w:val="center"/>
      </w:pPr>
      <w:r>
        <w:t>°     °</w:t>
      </w:r>
    </w:p>
    <w:p w:rsidR="00340F92" w:rsidRPr="00340F92" w:rsidP="00340F92" w14:paraId="3522E25B" w14:textId="37E968A2">
      <w:pPr>
        <w:pStyle w:val="NormalHanging12a"/>
      </w:pPr>
      <w:r>
        <w:t>60</w:t>
      </w:r>
      <w:r w:rsidRPr="00340F92" w:rsidR="00B739B0">
        <w:t>.</w:t>
      </w:r>
      <w:r w:rsidRPr="00340F92" w:rsidR="00B739B0">
        <w:tab/>
        <w:t>nalaže svojoj predsjednici da ovu Rezoluciju proslijedi Vijeću i Komisiji, predsjedniku Europskog vijeća, potpredsjednici Komisije / visokoj predstavnici Unije za vanjske poslove i sigurnosnu politiku, vladama i parlamentima država članica te predsjedniku, vladi i parlamentu Republike Albanije.</w:t>
      </w:r>
    </w:p>
    <w:p w:rsidR="00E365E1" w:rsidRPr="00340F92" w:rsidP="00F943D1" w14:paraId="1D60DFD0" w14:textId="175B1A15"/>
    <w:sectPr w:rsidSect="00340F9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943D1" w:rsidRPr="00340F92" w14:paraId="5AA8C91C" w14:textId="77777777">
      <w:r w:rsidRPr="00340F92">
        <w:separator/>
      </w:r>
    </w:p>
  </w:footnote>
  <w:footnote w:type="continuationSeparator" w:id="1">
    <w:p w:rsidR="00F943D1" w:rsidRPr="00340F92" w14:paraId="3933BA4C" w14:textId="77777777">
      <w:r w:rsidRPr="00340F92">
        <w:continuationSeparator/>
      </w:r>
    </w:p>
  </w:footnote>
  <w:footnote w:id="2">
    <w:p w:rsidR="00B739B0" w:rsidRPr="00340F92" w:rsidP="00340F92" w14:paraId="6C314B0E" w14:textId="615750C0">
      <w:pPr>
        <w:pStyle w:val="FootnoteText"/>
        <w:ind w:left="567" w:hanging="567"/>
        <w:rPr>
          <w:sz w:val="24"/>
          <w:lang w:val="hr-HR"/>
        </w:rPr>
      </w:pPr>
      <w:r w:rsidRPr="00340F92">
        <w:rPr>
          <w:rStyle w:val="FootnoteReference"/>
          <w:sz w:val="24"/>
          <w:lang w:val="hr-HR"/>
        </w:rPr>
        <w:footnoteRef/>
      </w:r>
      <w:r w:rsidRPr="00340F92" w:rsidR="00340F92">
        <w:rPr>
          <w:sz w:val="24"/>
          <w:lang w:val="hr-HR"/>
        </w:rPr>
        <w:t xml:space="preserve"> </w:t>
      </w:r>
      <w:r w:rsidRPr="00340F92" w:rsidR="00340F92">
        <w:rPr>
          <w:sz w:val="24"/>
          <w:lang w:val="hr-HR"/>
        </w:rPr>
        <w:tab/>
      </w:r>
      <w:r w:rsidRPr="00340F92">
        <w:rPr>
          <w:sz w:val="24"/>
          <w:lang w:val="hr-HR"/>
        </w:rPr>
        <w:t xml:space="preserve">SL L 107, 28.4.2009., str. 166., ELI: </w:t>
      </w:r>
      <w:hyperlink r:id="rId1" w:tooltip="Poveznica ELI URI za pristup dokumentu." w:history="1">
        <w:r w:rsidRPr="00340F92">
          <w:rPr>
            <w:sz w:val="24"/>
            <w:lang w:val="hr-HR"/>
          </w:rPr>
          <w:t>http://data.europa.eu/eli/agree_internation/2009/332/oj</w:t>
        </w:r>
      </w:hyperlink>
      <w:r w:rsidRPr="00340F92">
        <w:rPr>
          <w:sz w:val="24"/>
          <w:lang w:val="hr-HR"/>
        </w:rPr>
        <w:t>.</w:t>
      </w:r>
    </w:p>
  </w:footnote>
  <w:footnote w:id="3">
    <w:p w:rsidR="00B739B0" w:rsidRPr="00340F92" w:rsidP="00340F92" w14:paraId="3A19537E" w14:textId="3A858503">
      <w:pPr>
        <w:pStyle w:val="FootnoteText"/>
        <w:ind w:left="567" w:hanging="567"/>
        <w:rPr>
          <w:sz w:val="24"/>
          <w:lang w:val="hr-HR"/>
        </w:rPr>
      </w:pPr>
      <w:r w:rsidRPr="00340F92">
        <w:rPr>
          <w:rStyle w:val="FootnoteReference"/>
          <w:sz w:val="24"/>
          <w:lang w:val="hr-HR"/>
        </w:rPr>
        <w:footnoteRef/>
      </w:r>
      <w:r w:rsidRPr="00340F92" w:rsidR="00340F92">
        <w:rPr>
          <w:sz w:val="24"/>
          <w:lang w:val="hr-HR"/>
        </w:rPr>
        <w:t xml:space="preserve"> </w:t>
      </w:r>
      <w:r w:rsidRPr="00340F92" w:rsidR="00340F92">
        <w:rPr>
          <w:sz w:val="24"/>
          <w:lang w:val="hr-HR"/>
        </w:rPr>
        <w:tab/>
      </w:r>
      <w:r w:rsidRPr="00340F92">
        <w:rPr>
          <w:sz w:val="24"/>
          <w:lang w:val="hr-HR"/>
        </w:rPr>
        <w:t xml:space="preserve">SL L 330, 20.9.2021., str. </w:t>
      </w:r>
      <w:r w:rsidRPr="00340F92">
        <w:rPr>
          <w:sz w:val="24"/>
          <w:lang w:val="hr-HR"/>
        </w:rPr>
        <w:t xml:space="preserve">1., ELI: </w:t>
      </w:r>
      <w:hyperlink r:id="rId2" w:tooltip="Poveznica ELI URI za pristup dokumentu." w:history="1">
        <w:r w:rsidRPr="00340F92">
          <w:rPr>
            <w:sz w:val="24"/>
            <w:lang w:val="hr-HR"/>
          </w:rPr>
          <w:t>http://data.europa.eu/eli/reg/2021/1529/oj</w:t>
        </w:r>
      </w:hyperlink>
      <w:r w:rsidRPr="00340F92">
        <w:rPr>
          <w:sz w:val="24"/>
          <w:lang w:val="hr-HR"/>
        </w:rPr>
        <w:t>.</w:t>
      </w:r>
    </w:p>
  </w:footnote>
  <w:footnote w:id="4">
    <w:p w:rsidR="00B739B0" w:rsidRPr="00340F92" w:rsidP="00340F92" w14:paraId="78A4E8E7" w14:textId="26CFA21B">
      <w:pPr>
        <w:pStyle w:val="FootnoteText"/>
        <w:ind w:left="567" w:hanging="567"/>
        <w:rPr>
          <w:sz w:val="24"/>
          <w:lang w:val="hr-HR"/>
        </w:rPr>
      </w:pPr>
      <w:r w:rsidRPr="00340F92">
        <w:rPr>
          <w:rStyle w:val="FootnoteReference"/>
          <w:sz w:val="24"/>
          <w:lang w:val="hr-HR"/>
        </w:rPr>
        <w:footnoteRef/>
      </w:r>
      <w:r w:rsidRPr="00340F92" w:rsidR="00340F92">
        <w:rPr>
          <w:sz w:val="24"/>
          <w:lang w:val="hr-HR"/>
        </w:rPr>
        <w:t xml:space="preserve"> </w:t>
      </w:r>
      <w:r w:rsidRPr="00340F92" w:rsidR="00340F92">
        <w:rPr>
          <w:sz w:val="24"/>
          <w:lang w:val="hr-HR"/>
        </w:rPr>
        <w:tab/>
      </w:r>
      <w:r w:rsidRPr="00340F92">
        <w:rPr>
          <w:sz w:val="24"/>
          <w:lang w:val="hr-HR"/>
        </w:rPr>
        <w:t xml:space="preserve">SL L, 2024/1449, 24.5.2024., ELI: </w:t>
      </w:r>
      <w:hyperlink r:id="rId3" w:tgtFrame="_blank" w:tooltip="Poveznica ELI URI za pristup dokumentu." w:history="1">
        <w:r w:rsidRPr="00340F92">
          <w:rPr>
            <w:sz w:val="24"/>
            <w:lang w:val="hr-HR"/>
          </w:rPr>
          <w:t>http://data.europa.eu/eli/reg/2024/1449/oj</w:t>
        </w:r>
      </w:hyperlink>
      <w:r w:rsidRPr="00340F92">
        <w:rPr>
          <w:sz w:val="24"/>
          <w:lang w:val="hr-HR"/>
        </w:rPr>
        <w:t>.</w:t>
      </w:r>
    </w:p>
  </w:footnote>
  <w:footnote w:id="5">
    <w:p w:rsidR="00B739B0" w:rsidRPr="00340F92" w:rsidP="00340F92" w14:paraId="6987E7D7" w14:textId="0E7213D5">
      <w:pPr>
        <w:pStyle w:val="FootnoteText"/>
        <w:ind w:left="567" w:hanging="567"/>
        <w:rPr>
          <w:sz w:val="24"/>
          <w:lang w:val="hr-HR"/>
        </w:rPr>
      </w:pPr>
      <w:r w:rsidRPr="00340F92">
        <w:rPr>
          <w:rStyle w:val="FootnoteReference"/>
          <w:sz w:val="24"/>
          <w:lang w:val="hr-HR"/>
        </w:rPr>
        <w:footnoteRef/>
      </w:r>
      <w:r w:rsidRPr="00340F92" w:rsidR="00340F92">
        <w:rPr>
          <w:sz w:val="24"/>
          <w:lang w:val="hr-HR"/>
        </w:rPr>
        <w:t xml:space="preserve"> </w:t>
      </w:r>
      <w:r w:rsidRPr="00340F92" w:rsidR="00340F92">
        <w:rPr>
          <w:sz w:val="24"/>
          <w:lang w:val="hr-HR"/>
        </w:rPr>
        <w:tab/>
      </w:r>
      <w:r w:rsidRPr="00340F92">
        <w:rPr>
          <w:sz w:val="24"/>
          <w:lang w:val="hr-HR"/>
        </w:rPr>
        <w:t>Usvojeni tekstovi, P10_TA(2026)0077.</w:t>
      </w:r>
    </w:p>
  </w:footnote>
  <w:footnote w:id="6">
    <w:p w:rsidR="00B739B0" w:rsidRPr="00340F92" w:rsidP="00340F92" w14:paraId="1DD6221D" w14:textId="578E674C">
      <w:pPr>
        <w:pStyle w:val="FootnoteText"/>
        <w:ind w:left="567" w:hanging="567"/>
        <w:rPr>
          <w:sz w:val="24"/>
          <w:lang w:val="hr-HR"/>
        </w:rPr>
      </w:pPr>
      <w:r w:rsidRPr="00340F92">
        <w:rPr>
          <w:rStyle w:val="FootnoteReference"/>
          <w:sz w:val="24"/>
          <w:lang w:val="hr-HR"/>
        </w:rPr>
        <w:footnoteRef/>
      </w:r>
      <w:r w:rsidRPr="00340F92" w:rsidR="00340F92">
        <w:rPr>
          <w:sz w:val="24"/>
          <w:lang w:val="hr-HR"/>
        </w:rPr>
        <w:t xml:space="preserve"> </w:t>
      </w:r>
      <w:r w:rsidRPr="00340F92" w:rsidR="00340F92">
        <w:rPr>
          <w:sz w:val="24"/>
          <w:lang w:val="hr-HR"/>
        </w:rPr>
        <w:tab/>
      </w:r>
      <w:r w:rsidRPr="00340F92">
        <w:rPr>
          <w:sz w:val="24"/>
          <w:lang w:val="hr-HR"/>
        </w:rPr>
        <w:t xml:space="preserve">Direktiva (EU) 2022/2555 Europskog parlamenta i Vijeća od 14. prosinca 2022. o mjerama za visoku zajedničku razinu </w:t>
      </w:r>
      <w:r w:rsidRPr="00340F92">
        <w:rPr>
          <w:sz w:val="24"/>
          <w:lang w:val="hr-HR"/>
        </w:rPr>
        <w:t>kibersigurnosti</w:t>
      </w:r>
      <w:r w:rsidRPr="00340F92">
        <w:rPr>
          <w:sz w:val="24"/>
          <w:lang w:val="hr-HR"/>
        </w:rPr>
        <w:t xml:space="preserve"> širom Unije, izmjeni Uredbe (EU) br. 910/2014 i Direktive (EU) 2018/1972 i stavljanju izvan snage Direktive (EU) 2016/1148 (Direktiva NIS 2) (SL L 333, 27.12.2022., str. 80., ELI: http://data.europa.eu/eli/dir/2022/2555/oj).</w:t>
      </w:r>
    </w:p>
  </w:footnote>
  <w:footnote w:id="7">
    <w:p w:rsidR="00A70ABD" w:rsidRPr="00FB5C6B" w:rsidP="00FB5C6B" w14:paraId="074048F3" w14:textId="4914D977">
      <w:pPr>
        <w:pStyle w:val="FootnoteText"/>
        <w:ind w:left="567" w:hanging="567"/>
        <w:rPr>
          <w:lang w:val="hr-HR"/>
        </w:rPr>
      </w:pPr>
      <w:r>
        <w:rPr>
          <w:rStyle w:val="FootnoteReference"/>
        </w:rPr>
        <w:footnoteRef/>
      </w:r>
      <w:r w:rsidRPr="00FB5C6B">
        <w:rPr>
          <w:lang w:val="hr-HR"/>
        </w:rPr>
        <w:t xml:space="preserve"> </w:t>
      </w:r>
      <w:r>
        <w:rPr>
          <w:lang w:val="hr-HR"/>
        </w:rPr>
        <w:tab/>
      </w:r>
      <w:r w:rsidRPr="00FB5C6B">
        <w:rPr>
          <w:sz w:val="24"/>
          <w:szCs w:val="24"/>
          <w:lang w:val="hr-HR"/>
        </w:rPr>
        <w:t xml:space="preserve">Direktiva 2009/147/EZ Europskog parlamenta i Vijeća od 30. studenog 2009. o očuvanju divljih ptica (SL L 20, 26.1.2010., str. </w:t>
      </w:r>
      <w:r w:rsidRPr="00FB5C6B">
        <w:rPr>
          <w:sz w:val="24"/>
          <w:szCs w:val="24"/>
          <w:lang w:val="hr-HR"/>
        </w:rPr>
        <w:t xml:space="preserve">7., ELI: </w:t>
      </w:r>
      <w:hyperlink r:id="rId4" w:history="1">
        <w:r w:rsidRPr="00FB5C6B">
          <w:rPr>
            <w:rStyle w:val="Hyperlink"/>
            <w:sz w:val="24"/>
            <w:szCs w:val="24"/>
            <w:lang w:val="hr-HR"/>
          </w:rPr>
          <w:t>http://data.europa.eu/eli/dir/2009/147/oj</w:t>
        </w:r>
      </w:hyperlink>
      <w:r w:rsidRPr="00FB5C6B">
        <w:rPr>
          <w:sz w:val="24"/>
          <w:szCs w:val="24"/>
          <w:lang w:val="hr-HR"/>
        </w:rPr>
        <w:t>).</w:t>
      </w:r>
    </w:p>
  </w:footnote>
  <w:footnote w:id="8">
    <w:p w:rsidR="00A70ABD" w:rsidRPr="00FB5C6B" w:rsidP="00FB5C6B" w14:paraId="2C0C35C1" w14:textId="37C875C2">
      <w:pPr>
        <w:pStyle w:val="FootnoteText"/>
        <w:ind w:left="567" w:hanging="567"/>
        <w:rPr>
          <w:sz w:val="24"/>
          <w:szCs w:val="24"/>
          <w:lang w:val="hr-HR"/>
        </w:rPr>
      </w:pPr>
      <w:r>
        <w:rPr>
          <w:rStyle w:val="FootnoteReference"/>
        </w:rPr>
        <w:footnoteRef/>
      </w:r>
      <w:r w:rsidRPr="00FB5C6B">
        <w:rPr>
          <w:lang w:val="hr-HR"/>
        </w:rPr>
        <w:t xml:space="preserve"> </w:t>
      </w:r>
      <w:r>
        <w:rPr>
          <w:lang w:val="hr-HR"/>
        </w:rPr>
        <w:tab/>
      </w:r>
      <w:r w:rsidRPr="00FB5C6B">
        <w:rPr>
          <w:sz w:val="24"/>
          <w:szCs w:val="24"/>
          <w:lang w:val="hr-HR"/>
        </w:rPr>
        <w:t xml:space="preserve">Direktiva Vijeća 92/43/EEZ od 21. svibnja 1992. o očuvanju prirodnih staništa i divlje faune i flore (SL L 206, 22.7.1992., str. </w:t>
      </w:r>
      <w:r w:rsidRPr="00FB5C6B">
        <w:rPr>
          <w:sz w:val="24"/>
          <w:szCs w:val="24"/>
          <w:lang w:val="hr-HR"/>
        </w:rPr>
        <w:t xml:space="preserve">7., ELI: </w:t>
      </w:r>
      <w:hyperlink r:id="rId5" w:history="1">
        <w:r w:rsidRPr="00FB5C6B">
          <w:rPr>
            <w:rStyle w:val="Hyperlink"/>
            <w:sz w:val="24"/>
            <w:szCs w:val="24"/>
            <w:lang w:val="hr-HR"/>
          </w:rPr>
          <w:t>http://data.europa.eu/eli/dir/1992/43/oj</w:t>
        </w:r>
      </w:hyperlink>
      <w:r w:rsidRPr="00FB5C6B">
        <w:rPr>
          <w:sz w:val="24"/>
          <w:szCs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0857808">
    <w:abstractNumId w:val="9"/>
  </w:num>
  <w:num w:numId="2" w16cid:durableId="577902972">
    <w:abstractNumId w:val="9"/>
  </w:num>
  <w:num w:numId="3" w16cid:durableId="1242524606">
    <w:abstractNumId w:val="7"/>
  </w:num>
  <w:num w:numId="4" w16cid:durableId="810364794">
    <w:abstractNumId w:val="7"/>
  </w:num>
  <w:num w:numId="5" w16cid:durableId="2129347321">
    <w:abstractNumId w:val="6"/>
  </w:num>
  <w:num w:numId="6" w16cid:durableId="1765343705">
    <w:abstractNumId w:val="6"/>
  </w:num>
  <w:num w:numId="7" w16cid:durableId="1380402310">
    <w:abstractNumId w:val="5"/>
  </w:num>
  <w:num w:numId="8" w16cid:durableId="1490631656">
    <w:abstractNumId w:val="5"/>
  </w:num>
  <w:num w:numId="9" w16cid:durableId="1708870976">
    <w:abstractNumId w:val="4"/>
  </w:num>
  <w:num w:numId="10" w16cid:durableId="2007784462">
    <w:abstractNumId w:val="4"/>
  </w:num>
  <w:num w:numId="11" w16cid:durableId="212423564">
    <w:abstractNumId w:val="8"/>
  </w:num>
  <w:num w:numId="12" w16cid:durableId="1358044937">
    <w:abstractNumId w:val="8"/>
  </w:num>
  <w:num w:numId="13" w16cid:durableId="910771561">
    <w:abstractNumId w:val="3"/>
  </w:num>
  <w:num w:numId="14" w16cid:durableId="1579167970">
    <w:abstractNumId w:val="3"/>
  </w:num>
  <w:num w:numId="15" w16cid:durableId="895237901">
    <w:abstractNumId w:val="2"/>
  </w:num>
  <w:num w:numId="16" w16cid:durableId="2087263501">
    <w:abstractNumId w:val="2"/>
  </w:num>
  <w:num w:numId="17" w16cid:durableId="813647678">
    <w:abstractNumId w:val="1"/>
  </w:num>
  <w:num w:numId="18" w16cid:durableId="1285036250">
    <w:abstractNumId w:val="1"/>
  </w:num>
  <w:num w:numId="19" w16cid:durableId="564606153">
    <w:abstractNumId w:val="0"/>
  </w:num>
  <w:num w:numId="20" w16cid:durableId="941109961">
    <w:abstractNumId w:val="0"/>
  </w:num>
  <w:num w:numId="21" w16cid:durableId="1895848221">
    <w:abstractNumId w:val="9"/>
  </w:num>
  <w:num w:numId="22" w16cid:durableId="1875078230">
    <w:abstractNumId w:val="7"/>
  </w:num>
  <w:num w:numId="23" w16cid:durableId="1250237773">
    <w:abstractNumId w:val="6"/>
  </w:num>
  <w:num w:numId="24" w16cid:durableId="33847068">
    <w:abstractNumId w:val="5"/>
  </w:num>
  <w:num w:numId="25" w16cid:durableId="1478381101">
    <w:abstractNumId w:val="4"/>
  </w:num>
  <w:num w:numId="26" w16cid:durableId="52698761">
    <w:abstractNumId w:val="8"/>
  </w:num>
  <w:num w:numId="27" w16cid:durableId="1688019793">
    <w:abstractNumId w:val="3"/>
  </w:num>
  <w:num w:numId="28" w16cid:durableId="529489668">
    <w:abstractNumId w:val="2"/>
  </w:num>
  <w:num w:numId="29" w16cid:durableId="1936087234">
    <w:abstractNumId w:val="1"/>
  </w:num>
  <w:num w:numId="30" w16cid:durableId="1544362817">
    <w:abstractNumId w:val="0"/>
  </w:num>
  <w:num w:numId="31" w16cid:durableId="1100107480">
    <w:abstractNumId w:val="9"/>
  </w:num>
  <w:num w:numId="32" w16cid:durableId="376903248">
    <w:abstractNumId w:val="7"/>
  </w:num>
  <w:num w:numId="33" w16cid:durableId="1095589746">
    <w:abstractNumId w:val="6"/>
  </w:num>
  <w:num w:numId="34" w16cid:durableId="2116709315">
    <w:abstractNumId w:val="5"/>
  </w:num>
  <w:num w:numId="35" w16cid:durableId="123624373">
    <w:abstractNumId w:val="4"/>
  </w:num>
  <w:num w:numId="36" w16cid:durableId="2023822795">
    <w:abstractNumId w:val="8"/>
  </w:num>
  <w:num w:numId="37" w16cid:durableId="2071153999">
    <w:abstractNumId w:val="3"/>
  </w:num>
  <w:num w:numId="38" w16cid:durableId="1637757052">
    <w:abstractNumId w:val="2"/>
  </w:num>
  <w:num w:numId="39" w16cid:durableId="2130777475">
    <w:abstractNumId w:val="1"/>
  </w:num>
  <w:num w:numId="40" w16cid:durableId="873615812">
    <w:abstractNumId w:val="0"/>
  </w:num>
  <w:num w:numId="41" w16cid:durableId="2138449393">
    <w:abstractNumId w:val="10"/>
  </w:num>
  <w:num w:numId="42" w16cid:durableId="1184443900">
    <w:abstractNumId w:val="10"/>
  </w:num>
  <w:num w:numId="43" w16cid:durableId="838353599">
    <w:abstractNumId w:val="10"/>
  </w:num>
  <w:num w:numId="44" w16cid:durableId="5321117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D1"/>
    <w:rsid w:val="00002272"/>
    <w:rsid w:val="00064002"/>
    <w:rsid w:val="000677B9"/>
    <w:rsid w:val="000831BA"/>
    <w:rsid w:val="000A3D0C"/>
    <w:rsid w:val="000A42CC"/>
    <w:rsid w:val="000C579F"/>
    <w:rsid w:val="000E7DD9"/>
    <w:rsid w:val="0010095E"/>
    <w:rsid w:val="00125B37"/>
    <w:rsid w:val="00187494"/>
    <w:rsid w:val="001F32AE"/>
    <w:rsid w:val="002767FF"/>
    <w:rsid w:val="002A32CC"/>
    <w:rsid w:val="002B18FE"/>
    <w:rsid w:val="002B5493"/>
    <w:rsid w:val="00340F92"/>
    <w:rsid w:val="00343214"/>
    <w:rsid w:val="00361C00"/>
    <w:rsid w:val="00395FA1"/>
    <w:rsid w:val="003E15D4"/>
    <w:rsid w:val="00411CCE"/>
    <w:rsid w:val="0041666E"/>
    <w:rsid w:val="00421060"/>
    <w:rsid w:val="0044018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0ABD"/>
    <w:rsid w:val="00A778C7"/>
    <w:rsid w:val="00AB441E"/>
    <w:rsid w:val="00AB6293"/>
    <w:rsid w:val="00AE0928"/>
    <w:rsid w:val="00AF3B82"/>
    <w:rsid w:val="00B12E95"/>
    <w:rsid w:val="00B22876"/>
    <w:rsid w:val="00B558F0"/>
    <w:rsid w:val="00B739B0"/>
    <w:rsid w:val="00BD303C"/>
    <w:rsid w:val="00BD48FE"/>
    <w:rsid w:val="00BD7BD8"/>
    <w:rsid w:val="00BE6ADC"/>
    <w:rsid w:val="00C05BFE"/>
    <w:rsid w:val="00C23CD4"/>
    <w:rsid w:val="00C61C0C"/>
    <w:rsid w:val="00C941CB"/>
    <w:rsid w:val="00CC2357"/>
    <w:rsid w:val="00CD5F9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3D1"/>
    <w:rsid w:val="00FB4360"/>
    <w:rsid w:val="00FB5C6B"/>
    <w:rsid w:val="00FD0C70"/>
  </w:rsids>
  <w:docVars>
    <w:docVar w:name="dvdocse" w:val="A10-0141/2026"/>
    <w:docVar w:name="dvlangue" w:val="HR"/>
    <w:docVar w:name="dvnumam" w:val="0"/>
    <w:docVar w:name="dvpe" w:val="784.259"/>
    <w:docVar w:name="dvrapporteur" w:val="Izvjestitelj: "/>
    <w:docVar w:name="dvtitre" w:val="Rezolucija Europskog parlamenta od .... 2026. o Izvješću Komisije o Albaniji za 2025.(2025/2250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1EE1F1E"/>
  <w15:chartTrackingRefBased/>
  <w15:docId w15:val="{B3E5D19D-F011-4536-AB00-F12CD7A61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739B0"/>
    <w:pPr>
      <w:spacing w:after="240"/>
      <w:ind w:left="567" w:hanging="567"/>
    </w:pPr>
  </w:style>
  <w:style w:type="paragraph" w:customStyle="1" w:styleId="EPComma">
    <w:name w:val="EPComma"/>
    <w:basedOn w:val="Normal"/>
    <w:rsid w:val="00B739B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B739B0"/>
    <w:rPr>
      <w:sz w:val="24"/>
      <w:lang w:val="hr-HR"/>
    </w:rPr>
  </w:style>
  <w:style w:type="paragraph" w:styleId="Revision">
    <w:name w:val="Revision"/>
    <w:hidden/>
    <w:uiPriority w:val="99"/>
    <w:semiHidden/>
    <w:rsid w:val="000A3D0C"/>
    <w:rPr>
      <w:sz w:val="24"/>
      <w:lang w:val="hr-HR"/>
    </w:rPr>
  </w:style>
  <w:style w:type="character" w:styleId="Hyperlink">
    <w:name w:val="Hyperlink"/>
    <w:basedOn w:val="DefaultParagraphFont"/>
    <w:rsid w:val="00A70A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0A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70A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09/332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dir/2009/147/oj" TargetMode="External" /><Relationship Id="rId5" Type="http://schemas.openxmlformats.org/officeDocument/2006/relationships/hyperlink" Target="http://data.europa.eu/eli/dir/1992/4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4707</Words>
  <Characters>30424</Characters>
  <Application>Microsoft Office Word</Application>
  <DocSecurity>0</DocSecurity>
  <Lines>563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2026-06-17T15:17:00Z</dcterms:created>
  <dcterms:modified xsi:type="dcterms:W3CDTF">2026-06-17T15:17:00Z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A10-0141/2026</vt:lpwstr>
  </property>
  <property fmtid="{D5CDD505-2E9C-101B-9397-08002B2CF9AE}" pid="4" name="&lt;Type&gt;">
    <vt:lpwstr>RR</vt:lpwstr>
  </property>
</Properties>
</file>