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DDCAEED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45879" w:rsidP="0010095E" w14:paraId="4C2BA847" w14:textId="77777777">
            <w:pPr>
              <w:pStyle w:val="EPName"/>
            </w:pPr>
            <w:r w:rsidRPr="00845879">
              <w:t>Parlament Europejski</w:t>
            </w:r>
          </w:p>
          <w:p w:rsidR="00751A4A" w:rsidRPr="00845879" w:rsidP="005F1B17" w14:paraId="41E39BA9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45879">
              <w:t>2024</w:t>
            </w:r>
            <w:r w:rsidRPr="00845879" w:rsidR="00817416">
              <w:t>-202</w:t>
            </w:r>
            <w:r w:rsidRPr="0084587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45879" w:rsidP="0010095E" w14:paraId="53D78380" w14:textId="77777777">
            <w:pPr>
              <w:pStyle w:val="EPLogo"/>
            </w:pPr>
            <w:r w:rsidRPr="00845879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45879" w:rsidP="004C5D52" w14:paraId="662F8360" w14:textId="77777777">
      <w:pPr>
        <w:pStyle w:val="LineTop"/>
      </w:pPr>
    </w:p>
    <w:p w:rsidR="00680577" w:rsidRPr="00845879" w:rsidP="00680577" w14:paraId="47CFEC71" w14:textId="77777777">
      <w:pPr>
        <w:pStyle w:val="EPBodyTA1"/>
      </w:pPr>
      <w:r w:rsidRPr="00845879">
        <w:t>TEKSTY PRZYJĘTE</w:t>
      </w:r>
    </w:p>
    <w:p w:rsidR="00D058B8" w:rsidRPr="00845879" w:rsidP="00D058B8" w14:paraId="0EAE7A7A" w14:textId="77777777">
      <w:pPr>
        <w:pStyle w:val="LineBottom"/>
      </w:pPr>
    </w:p>
    <w:p w:rsidR="00766B70" w:rsidRPr="00845879" w:rsidP="00766B70" w14:paraId="0F3C3384" w14:textId="11E0D960">
      <w:pPr>
        <w:pStyle w:val="ATHeading1"/>
      </w:pPr>
      <w:bookmarkStart w:id="0" w:name="TANumber"/>
      <w:r w:rsidRPr="00845879">
        <w:t>P10_</w:t>
      </w:r>
      <w:r w:rsidRPr="00845879">
        <w:t>TA(</w:t>
      </w:r>
      <w:r w:rsidRPr="00845879">
        <w:t>2026)0</w:t>
      </w:r>
      <w:r w:rsidR="00A652AA">
        <w:t>217</w:t>
      </w:r>
      <w:bookmarkEnd w:id="0"/>
    </w:p>
    <w:p w:rsidR="00766B70" w:rsidRPr="00845879" w:rsidP="00766B70" w14:paraId="42F603A0" w14:textId="02FED8C1">
      <w:pPr>
        <w:pStyle w:val="ATHeading2"/>
      </w:pPr>
      <w:r w:rsidRPr="00630E9D">
        <w:t>Sprawozdanie Komisji dotyczące Albanii – 2025 r.</w:t>
      </w:r>
    </w:p>
    <w:p w:rsidR="00766B70" w:rsidRPr="00845879" w:rsidP="00766B70" w14:paraId="52365023" w14:textId="77777777">
      <w:pPr>
        <w:rPr>
          <w:i/>
          <w:vanish/>
        </w:rPr>
      </w:pPr>
      <w:r>
        <w:rPr>
          <w:i/>
        </w:rPr>
        <w:fldChar w:fldCharType="begin"/>
      </w:r>
      <w:r w:rsidRPr="00845879">
        <w:rPr>
          <w:i/>
        </w:rPr>
        <w:instrText xml:space="preserve"> TC"(</w:instrText>
      </w:r>
      <w:bookmarkStart w:id="1" w:name="DocNumber"/>
      <w:r w:rsidRPr="00845879">
        <w:rPr>
          <w:i/>
        </w:rPr>
        <w:instrText>A10-0141/2026</w:instrText>
      </w:r>
      <w:bookmarkEnd w:id="1"/>
      <w:r w:rsidRPr="00845879">
        <w:rPr>
          <w:i/>
        </w:rPr>
        <w:instrText xml:space="preserve"> - Sprawozdawca: Andreas </w:instrText>
      </w:r>
      <w:r w:rsidRPr="00845879">
        <w:rPr>
          <w:i/>
        </w:rPr>
        <w:instrText>Schieder</w:instrText>
      </w:r>
      <w:r w:rsidRPr="00845879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766B70" w:rsidRPr="00845879" w:rsidP="00766B70" w14:paraId="60FAD3EF" w14:textId="77777777">
      <w:pPr>
        <w:rPr>
          <w:vanish/>
        </w:rPr>
      </w:pPr>
      <w:bookmarkStart w:id="2" w:name="Commission"/>
      <w:r w:rsidRPr="00845879">
        <w:rPr>
          <w:vanish/>
        </w:rPr>
        <w:t>Komisja Spraw Zagranicznych</w:t>
      </w:r>
      <w:bookmarkEnd w:id="2"/>
    </w:p>
    <w:p w:rsidR="00766B70" w:rsidRPr="00845879" w:rsidP="00766B70" w14:paraId="70F7B201" w14:textId="77777777">
      <w:pPr>
        <w:rPr>
          <w:vanish/>
        </w:rPr>
      </w:pPr>
      <w:bookmarkStart w:id="3" w:name="PE"/>
      <w:r w:rsidRPr="00845879">
        <w:rPr>
          <w:vanish/>
        </w:rPr>
        <w:t>PE784.259</w:t>
      </w:r>
      <w:bookmarkEnd w:id="3"/>
    </w:p>
    <w:p w:rsidR="00766B70" w:rsidRPr="00845879" w:rsidP="00766B70" w14:paraId="6AEE7062" w14:textId="63F90BEE">
      <w:pPr>
        <w:pStyle w:val="ATHeading3"/>
      </w:pPr>
      <w:bookmarkStart w:id="4" w:name="Sujet"/>
      <w:r w:rsidRPr="00845879">
        <w:t xml:space="preserve">Rezolucja Parlamentu Europejskiego z dnia </w:t>
      </w:r>
      <w:r w:rsidR="00630E9D">
        <w:t>17 czerwca</w:t>
      </w:r>
      <w:r w:rsidRPr="00845879">
        <w:t xml:space="preserve"> 2026 r. w sprawie sprawozdania Komisji dotyczącego Albanii – 2025 r.</w:t>
      </w:r>
      <w:bookmarkEnd w:id="4"/>
      <w:r w:rsidRPr="00845879">
        <w:t xml:space="preserve"> </w:t>
      </w:r>
      <w:bookmarkStart w:id="5" w:name="References"/>
      <w:r w:rsidRPr="00845879">
        <w:t>(2025/2250(INI))</w:t>
      </w:r>
      <w:bookmarkEnd w:id="5"/>
    </w:p>
    <w:p w:rsidR="00A43139" w:rsidRPr="00845879" w:rsidP="00A43139" w14:paraId="40B02E19" w14:textId="77777777">
      <w:pPr>
        <w:pStyle w:val="EPComma"/>
      </w:pPr>
      <w:r w:rsidRPr="00845879">
        <w:rPr>
          <w:i/>
        </w:rPr>
        <w:t>Parlament Europejski</w:t>
      </w:r>
      <w:r w:rsidRPr="00845879">
        <w:t>,</w:t>
      </w:r>
    </w:p>
    <w:p w:rsidR="00A43139" w:rsidRPr="00845879" w:rsidP="00A43139" w14:paraId="41E53C44" w14:textId="77777777">
      <w:pPr>
        <w:pStyle w:val="NormalHanging12a"/>
      </w:pPr>
      <w:r w:rsidRPr="00845879">
        <w:t>–</w:t>
      </w:r>
      <w:r w:rsidRPr="00845879">
        <w:tab/>
        <w:t>uwzględniając Układ o stabilizacji i stowarzyszeniu między Wspólnotami Europejskimi i ich państwami członkowskimi, z jednej strony, a Republiką Albanii, z drugiej strony</w:t>
      </w:r>
      <w:r>
        <w:rPr>
          <w:vertAlign w:val="superscript"/>
        </w:rPr>
        <w:footnoteReference w:id="2"/>
      </w:r>
      <w:r w:rsidRPr="00845879">
        <w:t>,</w:t>
      </w:r>
    </w:p>
    <w:p w:rsidR="00A43139" w:rsidRPr="00845879" w:rsidP="00A43139" w14:paraId="1245C59D" w14:textId="77777777">
      <w:pPr>
        <w:pStyle w:val="NormalHanging12a"/>
      </w:pPr>
      <w:r w:rsidRPr="00845879">
        <w:t>–</w:t>
      </w:r>
      <w:r w:rsidRPr="00845879">
        <w:tab/>
        <w:t>uwzględniając wniosek Albanii o członkostwo w UE złożony 24 kwietnia 2009 r.,</w:t>
      </w:r>
    </w:p>
    <w:p w:rsidR="00A43139" w:rsidRPr="00845879" w:rsidP="00A43139" w14:paraId="19BAC166" w14:textId="77777777">
      <w:pPr>
        <w:pStyle w:val="NormalHanging12a"/>
      </w:pPr>
      <w:r w:rsidRPr="00845879">
        <w:t>–</w:t>
      </w:r>
      <w:r w:rsidRPr="00845879">
        <w:tab/>
        <w:t>uwzględniając rozporządzenie Parlamentu Europejskiego i Rady (UE) 2021/1529 z 15 września 2021 r. ustanawiające Instrument Pomocy Przedakcesyjnej (IPA III)</w:t>
      </w:r>
      <w:r>
        <w:rPr>
          <w:vertAlign w:val="superscript"/>
        </w:rPr>
        <w:footnoteReference w:id="3"/>
      </w:r>
      <w:r w:rsidRPr="00845879">
        <w:t>,</w:t>
      </w:r>
    </w:p>
    <w:p w:rsidR="00A43139" w:rsidRPr="00845879" w:rsidP="00A43139" w14:paraId="2C9A23B9" w14:textId="2F4CE154">
      <w:pPr>
        <w:pStyle w:val="NormalHanging12a"/>
      </w:pPr>
      <w:r w:rsidRPr="00845879">
        <w:t>–</w:t>
      </w:r>
      <w:r w:rsidRPr="00845879">
        <w:tab/>
        <w:t xml:space="preserve">uwzględniając rozporządzenie Parlamentu Europejskiego i Rady (UE) 2024/1449 z </w:t>
      </w:r>
      <w:r w:rsidR="00630E9D">
        <w:t xml:space="preserve">dnia </w:t>
      </w:r>
      <w:r w:rsidRPr="00845879">
        <w:t>14 maja 2024 r. w sprawie ustanowienia Instrumentu Wsparcia Reform i Wzrostu Gospodarczego na Bałkanach Zachodnich</w:t>
      </w:r>
      <w:r>
        <w:rPr>
          <w:vertAlign w:val="superscript"/>
        </w:rPr>
        <w:footnoteReference w:id="4"/>
      </w:r>
      <w:r w:rsidRPr="00845879">
        <w:t>,</w:t>
      </w:r>
    </w:p>
    <w:p w:rsidR="00A43139" w:rsidRPr="00845879" w:rsidP="00A43139" w14:paraId="3059367E" w14:textId="39DDF999">
      <w:pPr>
        <w:pStyle w:val="NormalHanging12a"/>
      </w:pPr>
      <w:r w:rsidRPr="00845879">
        <w:t>–</w:t>
      </w:r>
      <w:r w:rsidRPr="00845879">
        <w:tab/>
        <w:t xml:space="preserve">uwzględniając komunikat Komisji z </w:t>
      </w:r>
      <w:r w:rsidR="00630E9D">
        <w:t xml:space="preserve">dnia </w:t>
      </w:r>
      <w:r w:rsidRPr="00845879">
        <w:t>5 lutego 2020 r. pt. „Usprawnienie procesu akcesyjnego – wiarygodna perspektywa członkostwa w UE dla państw regionu Bałkanów Zachodnich” (</w:t>
      </w:r>
      <w:r w:rsidRPr="00845879">
        <w:t>COM(</w:t>
      </w:r>
      <w:r w:rsidRPr="00845879">
        <w:t>2020)0057),</w:t>
      </w:r>
    </w:p>
    <w:p w:rsidR="00A43139" w:rsidRPr="00845879" w:rsidP="00A43139" w14:paraId="698C41C8" w14:textId="77777777">
      <w:pPr>
        <w:pStyle w:val="NormalHanging12a"/>
        <w:rPr>
          <w:bCs/>
          <w:iCs/>
          <w:szCs w:val="24"/>
        </w:rPr>
      </w:pPr>
      <w:r w:rsidRPr="00845879">
        <w:t>–</w:t>
      </w:r>
      <w:r w:rsidRPr="00845879">
        <w:tab/>
        <w:t>uwzględniając ramy negocjacyjne UE z Albanią zatwierdzone przez Radę w lipcu 2022 r., w których określono wytyczne i zasady dotyczące negocjacji akcesyjnych Albanii z UE,</w:t>
      </w:r>
    </w:p>
    <w:p w:rsidR="00A43139" w:rsidRPr="00845879" w:rsidP="00A43139" w14:paraId="44C496D5" w14:textId="1214FC71">
      <w:pPr>
        <w:pStyle w:val="NormalHanging12a"/>
      </w:pPr>
      <w:r w:rsidRPr="00845879">
        <w:t>–</w:t>
      </w:r>
      <w:r w:rsidRPr="00845879">
        <w:tab/>
        <w:t xml:space="preserve">uwzględniając komunikat Komisji z </w:t>
      </w:r>
      <w:r w:rsidR="00630E9D">
        <w:t xml:space="preserve">dnia </w:t>
      </w:r>
      <w:r w:rsidRPr="00845879">
        <w:t>8 listopada 2023 r. pt. „Nowy plan wzrostu gospodarczego dla Bałkanów Zachodnich” (</w:t>
      </w:r>
      <w:r w:rsidRPr="00845879">
        <w:t>COM(</w:t>
      </w:r>
      <w:r w:rsidRPr="00845879">
        <w:t>2023)0691),</w:t>
      </w:r>
    </w:p>
    <w:p w:rsidR="00A43139" w:rsidRPr="00845879" w:rsidP="00A43139" w14:paraId="44DB48EA" w14:textId="77777777">
      <w:pPr>
        <w:pStyle w:val="NormalHanging12a"/>
      </w:pPr>
      <w:r w:rsidRPr="00845879">
        <w:t>–</w:t>
      </w:r>
      <w:r w:rsidRPr="00845879">
        <w:tab/>
        <w:t xml:space="preserve">uwzględniając program reform Albanii przedłożony w ramach unijnego Instrumentu Wsparcia Reform i Wzrostu Gospodarczego na Bałkanach Zachodnich, zatwierdzony </w:t>
      </w:r>
      <w:r w:rsidRPr="00845879">
        <w:t>przez Komisję 23 października 2024 r.,</w:t>
      </w:r>
    </w:p>
    <w:p w:rsidR="00A43139" w:rsidRPr="00845879" w:rsidP="00A43139" w14:paraId="2B890330" w14:textId="696B5E56">
      <w:pPr>
        <w:pStyle w:val="NormalHanging12a"/>
      </w:pPr>
      <w:r w:rsidRPr="00845879">
        <w:t>–</w:t>
      </w:r>
      <w:r w:rsidRPr="00845879">
        <w:tab/>
        <w:t xml:space="preserve">uwzględniając komunikat Komisji z </w:t>
      </w:r>
      <w:r w:rsidR="00630E9D">
        <w:t xml:space="preserve">dnia </w:t>
      </w:r>
      <w:r w:rsidRPr="00845879">
        <w:t>8 lipca 2025 r. pt. „Sprawozdanie na temat praworządności z 2025 r.” (</w:t>
      </w:r>
      <w:r w:rsidRPr="00845879">
        <w:t>COM(</w:t>
      </w:r>
      <w:r w:rsidRPr="00845879">
        <w:t>2025)0900) oraz towarzyszący mu dokument roboczy służb Komisji pt. „Sprawozdanie na temat praworządności z 2025 r. – Rozdział dotyczący sytuacji w zakresie praworządności w Albanii” (</w:t>
      </w:r>
      <w:r w:rsidRPr="00845879">
        <w:t>SWD(</w:t>
      </w:r>
      <w:r w:rsidRPr="00845879">
        <w:t>2025)0928),</w:t>
      </w:r>
    </w:p>
    <w:p w:rsidR="00A43139" w:rsidRPr="00845879" w:rsidP="00A43139" w14:paraId="424C1B88" w14:textId="6B79E556">
      <w:pPr>
        <w:pStyle w:val="NormalHanging12a"/>
      </w:pPr>
      <w:r w:rsidRPr="00845879">
        <w:t>–</w:t>
      </w:r>
      <w:r w:rsidRPr="00845879">
        <w:tab/>
        <w:t>uwzględniając komunikat Komisji z </w:t>
      </w:r>
      <w:r w:rsidR="00630E9D">
        <w:t xml:space="preserve">dnia </w:t>
      </w:r>
      <w:r w:rsidRPr="00845879">
        <w:t>4 listopada 2025 r. pt. „Komunikat z 2025 r. w sprawie polityki rozszerzenia UE” (</w:t>
      </w:r>
      <w:r w:rsidRPr="00845879">
        <w:t>COM(</w:t>
      </w:r>
      <w:r w:rsidRPr="00845879">
        <w:t>2025)0690) oraz towarzyszący mu dokument roboczy służb Komisji pt. „Sprawozdanie za rok 2025 dotyczące Albanii” (SWD(2025)0750),</w:t>
      </w:r>
    </w:p>
    <w:p w:rsidR="00A43139" w:rsidRPr="00845879" w:rsidP="00A43139" w14:paraId="7CC91B1A" w14:textId="74BFBF1C">
      <w:pPr>
        <w:pStyle w:val="NormalHanging12a"/>
      </w:pPr>
      <w:r w:rsidRPr="00845879">
        <w:t>–</w:t>
      </w:r>
      <w:r w:rsidRPr="00845879">
        <w:tab/>
        <w:t xml:space="preserve">uwzględniając sprawozdanie końcowe z misji obserwacji wyborów z ramienia Biura Instytucji Demokratycznych i Praw Człowieka (ODIHR) Organizacji Bezpieczeństwa i Współpracy w Europie z </w:t>
      </w:r>
      <w:r w:rsidR="00630E9D">
        <w:t xml:space="preserve">dnia </w:t>
      </w:r>
      <w:r w:rsidRPr="00845879">
        <w:t>23 października 2025 r. w sprawie wyborów parlamentarnych w Albanii 11 maja 2025 r.,</w:t>
      </w:r>
    </w:p>
    <w:p w:rsidR="00A43139" w:rsidRPr="00845879" w:rsidP="00A43139" w14:paraId="4A21A776" w14:textId="77777777">
      <w:pPr>
        <w:pStyle w:val="NormalHanging12a"/>
      </w:pPr>
      <w:r w:rsidRPr="00845879">
        <w:t>–</w:t>
      </w:r>
      <w:r w:rsidRPr="00845879">
        <w:tab/>
        <w:t>uwzględniając deklarację ze szczytu UE–Bałkany Zachodnie, który odbył się 17 grudnia 2025 r. w Brukseli,</w:t>
      </w:r>
    </w:p>
    <w:p w:rsidR="00A43139" w:rsidRPr="00845879" w:rsidP="00A43139" w14:paraId="08222CD1" w14:textId="77777777">
      <w:pPr>
        <w:pStyle w:val="NormalHanging12a"/>
        <w:rPr>
          <w:bCs/>
          <w:iCs/>
          <w:szCs w:val="24"/>
        </w:rPr>
      </w:pPr>
      <w:r w:rsidRPr="00845879">
        <w:t>–</w:t>
      </w:r>
      <w:r w:rsidRPr="00845879">
        <w:tab/>
        <w:t xml:space="preserve">uwzględniając szczyty UE–Bałkany Zachodnie, które odbyły się w Sofii, Zagrzebiu i Brdzie </w:t>
      </w:r>
      <w:r w:rsidRPr="00845879">
        <w:t>pri</w:t>
      </w:r>
      <w:r w:rsidRPr="00845879">
        <w:t xml:space="preserve"> </w:t>
      </w:r>
      <w:r w:rsidRPr="00845879">
        <w:t>Kranju</w:t>
      </w:r>
      <w:r w:rsidRPr="00845879">
        <w:t> w latach 2018, 2020 i 2021, oraz deklaracje z tych szczytów,</w:t>
      </w:r>
    </w:p>
    <w:p w:rsidR="00A43139" w:rsidRPr="00845879" w:rsidP="00A43139" w14:paraId="221E0453" w14:textId="77777777">
      <w:pPr>
        <w:pStyle w:val="NormalHanging12a"/>
      </w:pPr>
      <w:r w:rsidRPr="00845879">
        <w:t>–</w:t>
      </w:r>
      <w:r w:rsidRPr="00845879">
        <w:tab/>
        <w:t>uwzględniając swoje wcześniejsze rezolucje w sprawie Albanii,</w:t>
      </w:r>
    </w:p>
    <w:p w:rsidR="00A43139" w:rsidRPr="00845879" w:rsidP="00A43139" w14:paraId="7498B90B" w14:textId="77777777">
      <w:pPr>
        <w:pStyle w:val="NormalHanging12a"/>
      </w:pPr>
      <w:r w:rsidRPr="00845879">
        <w:t>–</w:t>
      </w:r>
      <w:r w:rsidRPr="00845879">
        <w:tab/>
        <w:t>uwzględniając swoją rezolucję z dnia 11 marca 2026 r. w sprawie strategii rozszerzenia UE</w:t>
      </w:r>
      <w:r>
        <w:rPr>
          <w:rStyle w:val="FootnoteReference"/>
        </w:rPr>
        <w:footnoteReference w:id="5"/>
      </w:r>
      <w:r w:rsidRPr="00845879">
        <w:t>,</w:t>
      </w:r>
    </w:p>
    <w:p w:rsidR="00A43139" w:rsidRPr="00845879" w:rsidP="00A43139" w14:paraId="21FFD37C" w14:textId="77777777">
      <w:pPr>
        <w:pStyle w:val="NormalHanging12a"/>
      </w:pPr>
      <w:r w:rsidRPr="00845879">
        <w:t>–</w:t>
      </w:r>
      <w:r w:rsidRPr="00845879">
        <w:tab/>
        <w:t xml:space="preserve">uwzględniając wskaźnik postrzegania korupcji z 2025 r. opublikowany przez </w:t>
      </w:r>
      <w:r w:rsidRPr="00845879">
        <w:t>Transparency</w:t>
      </w:r>
      <w:r w:rsidRPr="00845879">
        <w:t xml:space="preserve"> International w lutym 2026 r.,</w:t>
      </w:r>
    </w:p>
    <w:p w:rsidR="00A43139" w:rsidRPr="00845879" w:rsidP="00A43139" w14:paraId="6E60F284" w14:textId="77777777">
      <w:pPr>
        <w:pStyle w:val="NormalHanging12a"/>
      </w:pPr>
      <w:r w:rsidRPr="00845879">
        <w:t>–</w:t>
      </w:r>
      <w:r w:rsidRPr="00845879">
        <w:tab/>
        <w:t>uwzględniając światowy ranking wolności prasy za 2025 r. opublikowany przez Reporterów bez Granic w marcu 2025 r.,</w:t>
      </w:r>
    </w:p>
    <w:p w:rsidR="00A43139" w:rsidRPr="00845879" w:rsidP="00A43139" w14:paraId="1844B42E" w14:textId="291FFCA1">
      <w:pPr>
        <w:pStyle w:val="NormalHanging12a"/>
        <w:rPr>
          <w:bCs/>
          <w:iCs/>
          <w:szCs w:val="24"/>
        </w:rPr>
      </w:pPr>
      <w:r w:rsidRPr="00845879">
        <w:t>–</w:t>
      </w:r>
      <w:r w:rsidRPr="00845879">
        <w:tab/>
        <w:t xml:space="preserve">uwzględniając sprawozdanie Światowego Forum Ekonomicznego z </w:t>
      </w:r>
      <w:r w:rsidR="00630E9D">
        <w:t xml:space="preserve">dnia </w:t>
      </w:r>
      <w:r w:rsidRPr="00845879">
        <w:t>11 czerwca 2025 r. na temat nierówności płci na świecie z 2025 r.,</w:t>
      </w:r>
    </w:p>
    <w:p w:rsidR="00A43139" w:rsidRPr="00845879" w:rsidP="00A43139" w14:paraId="1EC116DD" w14:textId="77777777">
      <w:pPr>
        <w:pStyle w:val="NormalHanging12a"/>
      </w:pPr>
      <w:r w:rsidRPr="00845879">
        <w:t>–</w:t>
      </w:r>
      <w:r w:rsidRPr="00845879">
        <w:tab/>
        <w:t>uwzględniając art. 55 Regulaminu,</w:t>
      </w:r>
    </w:p>
    <w:p w:rsidR="00A43139" w:rsidRPr="00845879" w:rsidP="00A43139" w14:paraId="7096E111" w14:textId="77777777">
      <w:pPr>
        <w:pStyle w:val="NormalHanging12a"/>
      </w:pPr>
      <w:r w:rsidRPr="00845879">
        <w:t>–</w:t>
      </w:r>
      <w:r w:rsidRPr="00845879">
        <w:tab/>
        <w:t>uwzględniając sprawozdanie Komisji Spraw Zagranicznych (A10-0141/2026),</w:t>
      </w:r>
    </w:p>
    <w:p w:rsidR="00A43139" w:rsidRPr="00845879" w:rsidP="00A43139" w14:paraId="67453FA3" w14:textId="77777777">
      <w:pPr>
        <w:pStyle w:val="NormalHanging12a"/>
      </w:pPr>
      <w:r w:rsidRPr="00845879">
        <w:t>A.</w:t>
      </w:r>
      <w:r w:rsidRPr="00845879">
        <w:tab/>
        <w:t>mając na uwadze, że rozszerzenie UE pozostaje strategiczną inwestycją w pokój, bezpieczeństwo, stabilność oraz rozwój demokratyczny i społeczno-gospodarczy na całym kontynencie europejskim;</w:t>
      </w:r>
    </w:p>
    <w:p w:rsidR="00A43139" w:rsidRPr="00845879" w:rsidP="00A43139" w14:paraId="66A730CC" w14:textId="77777777">
      <w:pPr>
        <w:pStyle w:val="NormalHanging12a"/>
      </w:pPr>
      <w:r w:rsidRPr="00845879">
        <w:t>B.</w:t>
      </w:r>
      <w:r w:rsidRPr="00845879">
        <w:tab/>
        <w:t xml:space="preserve">mając na uwadze, że Albania utrzymała wyraźny i spójny strategiczny kurs na członkostwo w UE i wykazała pełne dostosowanie do wspólnej polityki zagranicznej i bezpieczeństwa UE, w tym w odniesieniu do unijnych środków ograniczających wobec Rosji i Białorusi, a także poprzez wspieranie Ukrainy w głosowaniach nad rezolucjami </w:t>
      </w:r>
      <w:r w:rsidRPr="00845879">
        <w:t>Zgromadzenia Ogólnego ONZ;</w:t>
      </w:r>
    </w:p>
    <w:p w:rsidR="00A43139" w:rsidRPr="00845879" w:rsidP="00A43139" w14:paraId="3707E11F" w14:textId="77777777">
      <w:pPr>
        <w:pStyle w:val="NormalHanging12a"/>
      </w:pPr>
      <w:r w:rsidRPr="00845879">
        <w:t>C.</w:t>
      </w:r>
      <w:r w:rsidRPr="00845879">
        <w:tab/>
        <w:t>mając na uwadze, że w 2014 r. Albania uzyskała status kraju kandydującego do UE, w lipcu 2022 r. rozpoczęła negocjacje akcesyjne, w listopadzie 2023 r. pomyślnie zakończyła przegląd zgodności prawa krajowego z prawem unijnym, a między 15 października 2024 r. i 17 listopada 2025 r. otworzyła wszystkie klastry negocjacyjne;</w:t>
      </w:r>
    </w:p>
    <w:p w:rsidR="00A43139" w:rsidRPr="00845879" w:rsidP="00A43139" w14:paraId="44542207" w14:textId="77777777">
      <w:pPr>
        <w:pStyle w:val="NormalHanging12a"/>
      </w:pPr>
      <w:r w:rsidRPr="00845879">
        <w:t>D.</w:t>
      </w:r>
      <w:r w:rsidRPr="00845879">
        <w:tab/>
        <w:t>mając na uwadze, że w sprawozdaniu Komisji za rok 2025 dotyczącym Albanii potwierdzono, że kraj ten nadal czyni postępy w większości obszarów związanych z przystąpieniem, a jednocześnie podkreślono potrzebę głębszych, spójniejszych i nieodwracalnych reform;</w:t>
      </w:r>
    </w:p>
    <w:p w:rsidR="00A43139" w:rsidRPr="00845879" w:rsidP="00A43139" w14:paraId="6AAA301F" w14:textId="77777777">
      <w:pPr>
        <w:pStyle w:val="NormalHanging12a"/>
        <w:rPr>
          <w:bCs/>
          <w:iCs/>
        </w:rPr>
      </w:pPr>
      <w:r w:rsidRPr="00845879">
        <w:t>E.</w:t>
      </w:r>
      <w:r w:rsidRPr="00845879">
        <w:tab/>
        <w:t>mając na uwadze, że wiarygodność procesu rozszerzenia UE zależy od rygorystycznej warunkowości, postępów opartych na osiągnięciach i skutecznego wdrażania reform, a nie tylko od formalnego przyjęcia prawodawstwa; mając na uwadze, że przystąpienie Albanii do UE zależy od trwałych, pogłębionych i nieodwracalnych reform w obszarach objętych klastrem dotyczącym kwestii podstawowych negocjacji akcesyjnych, począwszy od praworządności i funkcjonowania instytucji demokratycznych; mając na uwadze, że o harmonogramie przystąpienia decyduje jakość reform, jakie podejmuje kraj kandydujący;</w:t>
      </w:r>
    </w:p>
    <w:p w:rsidR="00A43139" w:rsidRPr="00845879" w:rsidP="00A43139" w14:paraId="1E04FD57" w14:textId="77777777">
      <w:pPr>
        <w:pStyle w:val="NormalHanging12a"/>
      </w:pPr>
      <w:r w:rsidRPr="00845879">
        <w:t>F.</w:t>
      </w:r>
      <w:r w:rsidRPr="00845879">
        <w:tab/>
        <w:t>mając na uwadze, że wzmocnienie instytucji demokratycznych, niezależności sądów, działań antykorupcyjnych, wolności mediów i praw podstawowych, w tym praw mniejszości, ma nadal zasadnicze znaczenie dla ścieżki akcesyjnej Albanii;</w:t>
      </w:r>
    </w:p>
    <w:p w:rsidR="00A43139" w:rsidRPr="00845879" w:rsidP="00A43139" w14:paraId="4077B18C" w14:textId="77777777">
      <w:pPr>
        <w:pStyle w:val="NormalHanging12a"/>
        <w:rPr>
          <w:bCs/>
          <w:iCs/>
        </w:rPr>
      </w:pPr>
      <w:r w:rsidRPr="00845879">
        <w:t>G.</w:t>
      </w:r>
      <w:r w:rsidRPr="00845879">
        <w:tab/>
        <w:t>mając na uwadze, że ochrona integralności procesów demokratycznych stała się centralnym elementem polityki rozszerzenia UE; mając na uwadze, że w lipcu 2025 r. albański parlament przyjął pierwszą krajową strategię przeciwdziałania obcym ingerencjom i dezinformacji;</w:t>
      </w:r>
    </w:p>
    <w:p w:rsidR="00A43139" w:rsidRPr="00845879" w:rsidP="00A43139" w14:paraId="4AE31183" w14:textId="54064478">
      <w:pPr>
        <w:pStyle w:val="NormalHanging12a"/>
      </w:pPr>
      <w:r w:rsidRPr="00845879">
        <w:t>H.</w:t>
      </w:r>
      <w:r w:rsidRPr="00845879">
        <w:tab/>
        <w:t xml:space="preserve">mając na uwadze, że nie wdrożono jeszcze w pełni zaleceń ODIHR z </w:t>
      </w:r>
      <w:r w:rsidR="00630E9D">
        <w:t xml:space="preserve">dnia </w:t>
      </w:r>
      <w:r w:rsidRPr="00845879">
        <w:t>23 października 2025 r., wydanych po wyborach parlamentarnych w Albanii z 11 maja 2025 r., a także wcześniejszych zaleceń ODIHR dotyczących dalszej poprawy organizacji wyborów w Albanii;</w:t>
      </w:r>
    </w:p>
    <w:p w:rsidR="00A43139" w:rsidRPr="00845879" w:rsidP="00A43139" w14:paraId="0423BDA3" w14:textId="77777777">
      <w:pPr>
        <w:pStyle w:val="NormalHanging12a"/>
      </w:pPr>
      <w:r w:rsidRPr="00845879">
        <w:t>1.</w:t>
      </w:r>
      <w:r w:rsidRPr="00845879">
        <w:tab/>
        <w:t>z zadowoleniem przyjmuje wyjątkowe zaangażowanie Albanii na rzecz integracji z UE, oparte na konsensusie między wszystkimi albańskimi partiami politycznymi i na ogromnym poparciu obywateli, oraz pochwala fakt, że Albania otworzyła wszystkie klastry negocjacji akcesyjnych w ciągu zaledwie 13 miesięcy; zauważa, że poparcie albańskich obywateli dla członkostwa w UE utrzymuje się na stale wysokim poziomie i odzwierciedla silne europejskie aspiracje albańskiego społeczeństwa; zachęca ten kraj do utrzymania obecnego tempa reform oraz do dalszego dostosowywania się do dorobku prawnego UE, podkreślając, że postępy Albanii na drodze do UE przyczyniają się do stabilności, bezpieczeństwa i odporności kontynentu europejskiego;</w:t>
      </w:r>
    </w:p>
    <w:p w:rsidR="00A43139" w:rsidRPr="00845879" w:rsidP="00A43139" w14:paraId="6A2ED108" w14:textId="77777777">
      <w:pPr>
        <w:pStyle w:val="NormalHanging12a"/>
      </w:pPr>
      <w:r w:rsidRPr="00845879">
        <w:t>2.</w:t>
      </w:r>
      <w:r w:rsidRPr="00845879">
        <w:tab/>
        <w:t>odnotowuje ambitny cel Albanii, jakim jest zakończenie negocjacji akcesyjnych do końca 2027 r., i z zadowoleniem przyjmuje szybkie postępy w tym względzie poczynione w ostatnich latach; podkreśla, że władze albańskie muszą zadbać o rzetelne wdrożenie prawodawstwa;</w:t>
      </w:r>
    </w:p>
    <w:p w:rsidR="00A43139" w:rsidRPr="00845879" w:rsidP="00A43139" w14:paraId="2116104D" w14:textId="77777777">
      <w:pPr>
        <w:pStyle w:val="NormalHanging12a"/>
      </w:pPr>
      <w:r w:rsidRPr="00845879">
        <w:t>3.</w:t>
      </w:r>
      <w:r w:rsidRPr="00845879">
        <w:tab/>
        <w:t xml:space="preserve">zauważa, że zarówno w sprawozdaniu Komisji z 2025 r. w sprawie Albanii, jak i w </w:t>
      </w:r>
      <w:r w:rsidRPr="00845879">
        <w:t>sprawozdaniu ODIHR w sprawie wyborów parlamentarnych przeprowadzonych w maju 2025 r. oceniono albańskie ramy wyborcze jako zasadniczo odpowiednie do przeprowadzenia wyborów opartych na rywalizacji, a jednocześnie ponownie wyrażono obawy związane z nierównymi warunkami działania dla podmiotów politycznych, nadużywaniem zasobów administracyjnych prowadzącym do zacierania granic między instytucjami państwowymi a strukturami partii, finansowaniem partii politycznych, zarzutami dotyczącymi kupowania głosów i wywieraniem presji na wyborców; w związku z tym wzywa albańską większość polityczną i opozycję do konstruktywnej i pluralistycznej kompleksowej reformy ordynacji wyborczej, w ścisłej współpracy ze społeczeństwem obywatelskim, oraz do pełnego wdrożenia zaległych zaleceń ODIHR i Komisji Weneckiej na długo przed przyszłymi cyklami wyborczymi; zaznacza, że taka reforma powinna wzmocnić ramy wyborcze, w tym w zakresie przejrzystości finansowania kampanii wyborczych, równego dostępu mediów i zabezpieczeń przed niewłaściwym wykorzystaniem zasobów administracyjnych, a także zapewnić skuteczne egzekwowanie tych ram; podkreśla, że szeroki konsensus polityczny i rzeczywiste wdrożenie tych reform są niezbędne do zapewnienia zaufania publicznego do przyszłych wyborów;</w:t>
      </w:r>
    </w:p>
    <w:p w:rsidR="00A43139" w:rsidRPr="00845879" w:rsidP="00A43139" w14:paraId="667C1F21" w14:textId="77777777">
      <w:pPr>
        <w:pStyle w:val="NormalHanging12a"/>
      </w:pPr>
      <w:r w:rsidRPr="00845879">
        <w:t>4.</w:t>
      </w:r>
      <w:r w:rsidRPr="00845879">
        <w:tab/>
        <w:t>wyraża zaniepokojenie ciągłą polaryzacją polityczną i konfrontacyjnym dyskursem politycznym, które podważają nadzór parlamentarny, zaufanie publiczne i skuteczne funkcjonowanie instytucji demokratycznych; zachęca podmioty polityczne do ponownego zaangażowania się w konstruktywny dialog parlamentarny, tak by albański parlament pozostał głównym forum demokratycznej debaty i demokratycznego nadzoru; podkreśla, że funkcjonująca demokracja wymaga znaczącego udziału opozycji w procedurach parlamentarnych; przypomina, że w funkcjonującej demokracji nie ma miejsca na gwałtowne protesty;</w:t>
      </w:r>
    </w:p>
    <w:p w:rsidR="00A43139" w:rsidRPr="00845879" w:rsidP="00A43139" w14:paraId="42C327EE" w14:textId="77777777">
      <w:pPr>
        <w:pStyle w:val="NormalHanging12a"/>
      </w:pPr>
      <w:r w:rsidRPr="00845879">
        <w:t>5.</w:t>
      </w:r>
      <w:r w:rsidRPr="00845879">
        <w:tab/>
        <w:t xml:space="preserve">zachęca do ściślejszej kontroli parlamentarnej nad władzą wykonawczą, większej przejrzystości procedur ustawodawczych oraz bardziej konstruktywnych konsultacji na wczesnym etapie z organizacjami społeczeństwa obywatelskiego, partnerami społecznymi i niezależnymi instytucjami; podkreśla, że postępy w procesie integracji z UE należy kontynuować bez uszczerbku dla jakości i </w:t>
      </w:r>
      <w:r w:rsidRPr="00845879">
        <w:t>inkluzywności</w:t>
      </w:r>
      <w:r w:rsidRPr="00845879">
        <w:t xml:space="preserve"> reform; akcentuje znaczenie odpowiedniego zaangażowania zainteresowanych stron i odpowiedzialności krajowej w celu zapewnienia zrównoważonego wdrażania i trwałego wpływu; podkreśla, że konieczne jest wzmocnienie roli i zdolności albańskich komisji parlamentarnych, w tym przez lepszy dostęp do informacji, wsparcie ekspertów i przejrzyste procedury ustawodawcze;</w:t>
      </w:r>
    </w:p>
    <w:p w:rsidR="00A43139" w:rsidRPr="00845879" w:rsidP="00A43139" w14:paraId="53DFA15D" w14:textId="77777777">
      <w:pPr>
        <w:pStyle w:val="NormalHanging12a"/>
        <w:rPr>
          <w:b/>
          <w:bCs/>
          <w:i/>
          <w:iCs/>
        </w:rPr>
      </w:pPr>
      <w:r w:rsidRPr="00845879">
        <w:rPr>
          <w:b/>
          <w:i/>
        </w:rPr>
        <w:t>Praworządność, sądownictwo i walka z korupcją</w:t>
      </w:r>
    </w:p>
    <w:p w:rsidR="00A43139" w:rsidRPr="00845879" w:rsidP="00A43139" w14:paraId="453E46B3" w14:textId="77777777">
      <w:pPr>
        <w:pStyle w:val="NormalHanging12a"/>
      </w:pPr>
      <w:r w:rsidRPr="00845879">
        <w:t>6.</w:t>
      </w:r>
      <w:r w:rsidRPr="00845879">
        <w:tab/>
        <w:t>z zadowoleniem przyjmuje dalsze postępy w reformie albańskiego wymiaru sprawiedliwości, w tym weryfikację sędziów i prokuratorów, co przyczyniło się do zwiększenia rozliczalności i uczciwości w sądownictwie; chwali Najwyższą Radę Sądowniczą za nowe nominacje sędziów, przyczyniające się do zmniejszenia liczby wakatów; podkreśla, że kluczowa dla praworządności w dalszym ciągu jest ochrona niezależności sądów, której muszą towarzyszyć ciągłe starania na rzecz dalszej poprawy rozliczalności, jakości i skuteczności sądownictwa;</w:t>
      </w:r>
      <w:r w:rsidRPr="00845879">
        <w:rPr>
          <w:b/>
          <w:i/>
        </w:rPr>
        <w:t xml:space="preserve"> </w:t>
      </w:r>
      <w:r w:rsidRPr="00845879">
        <w:t>zwraca jednak uwagę na utrzymujące się wyzwania związane ze skutecznością wymiaru sprawiedliwości, skutecznym egzekwowaniem prawomocnych orzeczeń sądowych, zaległościami w rozpatrywaniu spraw, spójnością orzecznictwa i próbami wywierania nadmiernego wpływu;</w:t>
      </w:r>
    </w:p>
    <w:p w:rsidR="00A43139" w:rsidRPr="00845879" w:rsidP="00A43139" w14:paraId="012B19AC" w14:textId="77777777">
      <w:pPr>
        <w:pStyle w:val="NormalHanging12a"/>
      </w:pPr>
      <w:r w:rsidRPr="00845879">
        <w:t>7.</w:t>
      </w:r>
      <w:r w:rsidRPr="00845879">
        <w:tab/>
        <w:t>przypomina, że immunitet parlamentarny jest częścią ram konstytucyjnych Albanii mających na celu zapewnienie właściwego funkcjonowania instytucji demokratycznych; podkreśla, że wszelkie decyzje w tym zakresie powinny być podejmowane ściśle zgodnie z przepisami konstytucyjnymi i ustalonymi procedurami prawnymi, bez ingerencji politycznej i zbędnej zwłoki;</w:t>
      </w:r>
    </w:p>
    <w:p w:rsidR="00A43139" w:rsidRPr="00845879" w:rsidP="00A43139" w14:paraId="6D848A63" w14:textId="77777777">
      <w:pPr>
        <w:pStyle w:val="NormalHanging12a"/>
        <w:rPr>
          <w:bCs/>
          <w:iCs/>
        </w:rPr>
      </w:pPr>
      <w:r w:rsidRPr="00845879">
        <w:t>8.</w:t>
      </w:r>
      <w:r w:rsidRPr="00845879">
        <w:tab/>
        <w:t>wyraża uznanie dla władz Albanii w związku z ciągłą poprawą skuteczności działania Trybunału Konstytucyjnego; apeluje jednak o dalsze wzmacnianie szerszych organów zarządzania w sądownictwie, a także o ciągłe inwestycje w infrastrukturę sądową i cyfryzację; przypomina, że sędziowie nadal mierzą się z naciskami politycznymi i groźbami, które mogą zagrozić niezawisłości sądów; podkreśla znaczenie terminowego i pełnego wdrożenia orzeczeń Trybunału Konstytucyjnego zarówno przez władzę wykonawczą, jak i ustawodawczą, jako zasadniczego elementu praworządności i równowagi instytucjonalnej;</w:t>
      </w:r>
    </w:p>
    <w:p w:rsidR="00A43139" w:rsidRPr="00845879" w:rsidP="00A43139" w14:paraId="10BDECEF" w14:textId="77777777">
      <w:pPr>
        <w:pStyle w:val="NormalHanging12a"/>
        <w:rPr>
          <w:bCs/>
          <w:iCs/>
        </w:rPr>
      </w:pPr>
      <w:r w:rsidRPr="00845879">
        <w:t>9.</w:t>
      </w:r>
      <w:r w:rsidRPr="00845879">
        <w:tab/>
        <w:t xml:space="preserve">ubolewa, że Albania spadła na 91. miejsce w rankingu postrzegania korupcji opublikowanym przez </w:t>
      </w:r>
      <w:r w:rsidRPr="00845879">
        <w:t>Transparency</w:t>
      </w:r>
      <w:r w:rsidRPr="00845879">
        <w:t xml:space="preserve"> International w 2025 r., w porównaniu z 80. miejscem zajmowanym w 2024 r.; podkreśla, że korupcja pozostaje poważnym problemem oraz że mimo postępów w rozwijaniu ram prawnych i instytucjonalnych Albania musi jeszcze bardziej wzmocnić potencjał wyspecjalizowanych jednostek policji, skonsolidować swoje wyniki w zakresie dochodzeń, ścigania i prawomocnych wyroków skazujących, zwłaszcza w sprawach dotyczących korupcji na wysokim szczeblu; z zadowoleniem przyjmuje ustanowienie kluczowych przepisów antykorupcyjnych, w tym dotyczących ochrony sygnalistów i konfliktu interesów, oraz wzywa do ich dokładnego wdrożenia; z zadowoleniem przyjmuje ciągłą pracę wyspecjalizowanych instytucji antykorupcyjnych i instytucji zajmujących się zwalczaniem przestępczości zorganizowanej, w tym Specjalnej Struktury ds. Walki z Korupcją i Przestępczością Zorganizowaną (SPAK), i wzywa do zapewnienia ich trwałej niezależności, odpowiednich zasobów i wystarczających zdolności operacyjnych, bez ograniczania ich uprawnień dochodzeniowych ani podważania ich pracy; apeluje o wzmożenie wysiłków w celu zapewnienia skutecznego wykrywania, zamrażania i konfiskaty majątku pochodzącego z przestępstw oraz zarządzania nim, w tym za sprawą systematycznych dochodzeń finansowych, lepszej współpracy między agencjami i współpracy transgranicznej oraz pełnego wykorzystania narzędzi konfiskaty zgodnie z prawami podstawowymi;</w:t>
      </w:r>
    </w:p>
    <w:p w:rsidR="00A43139" w:rsidRPr="00845879" w:rsidP="00A43139" w14:paraId="61373A4E" w14:textId="77777777">
      <w:pPr>
        <w:pStyle w:val="NormalHanging12a"/>
      </w:pPr>
      <w:r w:rsidRPr="00845879">
        <w:t>10.</w:t>
      </w:r>
      <w:r w:rsidRPr="00845879">
        <w:tab/>
        <w:t>podkreśla, że należy zająć się korupcją na wszystkich szczeblach, aby zwiększyć zaufanie obywateli do instytucji państwowych i stworzyć przewidywalne otoczenie biznesowe; apeluje o większą przejrzystość, kontrole konfliktu interesów, oceny ryzyka uczciwości i ukierunkowane środki zapobiegawcze w sektorach wysokiego ryzyka, w szczególności w zamówieniach publicznych i koncesjach, licencjach i inspekcjach, a także w budownictwie i planowaniu przestrzennym;</w:t>
      </w:r>
    </w:p>
    <w:p w:rsidR="00A43139" w:rsidRPr="00845879" w:rsidP="00A43139" w14:paraId="1EC4A5FE" w14:textId="77777777">
      <w:pPr>
        <w:pStyle w:val="NormalHanging12a"/>
      </w:pPr>
      <w:r w:rsidRPr="00845879">
        <w:t>11.</w:t>
      </w:r>
      <w:r w:rsidRPr="00845879">
        <w:tab/>
        <w:t>wzywa Albanię do poczynienia zdecydowanych postępów w zakresie wstępnej rejestracji nieruchomości i sprawiedliwego, powszechnie akceptowanego odszkodowania, poprawy przejrzystości państwowego rejestru gruntów i jakości danych katastralnych w rejestrze nieruchomości oraz do zapewnienia poszanowania prawa do rzetelnego procesu sądowego i prawa do skutecznej ochrony sądowej w przypadkach wywłaszczenia i usunięcia nieruchomości;</w:t>
      </w:r>
    </w:p>
    <w:p w:rsidR="00A43139" w:rsidRPr="00845879" w:rsidP="00A43139" w14:paraId="7920CB13" w14:textId="77777777">
      <w:pPr>
        <w:pStyle w:val="NormalHanging12a"/>
        <w:rPr>
          <w:bCs/>
          <w:iCs/>
        </w:rPr>
      </w:pPr>
      <w:r w:rsidRPr="00845879">
        <w:t>12.</w:t>
      </w:r>
      <w:r w:rsidRPr="00845879">
        <w:tab/>
        <w:t xml:space="preserve">podkreśla znaczenie skutecznego zwalczania przestępczości zorganizowanej, w tym </w:t>
      </w:r>
      <w:r w:rsidRPr="00845879">
        <w:t xml:space="preserve">siatek zajmujących się praniem pieniędzy i handlem narkotykami, oraz wzywa do zacieśnienia współpracy z agencjami UE, takimi jak Europol i </w:t>
      </w:r>
      <w:r w:rsidRPr="00845879">
        <w:t>Eurojust</w:t>
      </w:r>
      <w:r w:rsidRPr="00845879">
        <w:t>; wzywa władze do przyspieszenia prac nad dostosowaniem albańskich ram prawnych dotyczących przestępczości zorganizowanej do dorobku prawnego UE, wzmocnienia zdolności egzekwowania prawa i poprawy skuteczności dochodzeń;</w:t>
      </w:r>
    </w:p>
    <w:p w:rsidR="00A43139" w:rsidRPr="00845879" w:rsidP="00A43139" w14:paraId="7A1B94E1" w14:textId="77777777">
      <w:pPr>
        <w:pStyle w:val="NormalHanging12a"/>
      </w:pPr>
      <w:r w:rsidRPr="00845879">
        <w:t>13.</w:t>
      </w:r>
      <w:r w:rsidRPr="00845879">
        <w:tab/>
        <w:t>z zadowoleniem przyjmuje fakt, że banki w Albanii oficjalnie rozpoczęły przeprowadzanie transgranicznych transakcji w euro za pośrednictwem systemu SEPA; wyraża uznanie dla albańskich władz za ich zdecydowane działania w walce z praniem pieniędzy poprzez przyjęcie krajowej strategii zapobiegania praniu pieniędzy i finansowaniu terroryzmu na lata 2024–2030; odnotowuje inicjatywę „Bezgotówkowa Albania 2030”, której celem jest ograniczenie szarej strefy w biznesie i nielegalnych przepływów pieniężnych;</w:t>
      </w:r>
    </w:p>
    <w:p w:rsidR="00A43139" w:rsidRPr="00845879" w:rsidP="00A43139" w14:paraId="0F2B7B0B" w14:textId="77777777">
      <w:pPr>
        <w:pStyle w:val="NormalHanging12a"/>
        <w:rPr>
          <w:b/>
          <w:bCs/>
          <w:i/>
          <w:iCs/>
        </w:rPr>
      </w:pPr>
      <w:r w:rsidRPr="00845879">
        <w:rPr>
          <w:b/>
          <w:i/>
        </w:rPr>
        <w:t>Prawa podstawowe i wolność mediów</w:t>
      </w:r>
    </w:p>
    <w:p w:rsidR="00A43139" w:rsidRPr="00845879" w:rsidP="00A43139" w14:paraId="121C1FDA" w14:textId="77777777">
      <w:pPr>
        <w:pStyle w:val="NormalHanging12a"/>
        <w:rPr>
          <w:bCs/>
          <w:iCs/>
        </w:rPr>
      </w:pPr>
      <w:r w:rsidRPr="00845879">
        <w:t>14.</w:t>
      </w:r>
      <w:r w:rsidRPr="00845879">
        <w:tab/>
        <w:t>z zadowoleniem przyjmuje fakt, że w światowym rankingu wolności prasy za 2025 r. opublikowanym przez Reporterów bez Granic Albania awansowała z 99. miejsca w 2024 r. na 80. miejsce w 2025 r.; apeluje o dalsze wysiłki na rzecz ochrony wolności wypowiedzi i pluralizmu mediów w Albanii, w tym większej przejrzystości ewentualnych konfliktów interesów właścicieli mediów, zabezpieczeń przed naciskami politycznymi i gospodarczymi na dziennikarzy oraz skutecznego prowadzenia dochodzeń w sprawie gróźb i ataków wobec pracowników mediów; apeluje również o większą przejrzystość struktur własności mediów i przejrzystą dystrybucję reklam państwowych w celu ochrony niezależności redakcyjnej i pluralizmu mediów;</w:t>
      </w:r>
    </w:p>
    <w:p w:rsidR="00A43139" w:rsidRPr="00845879" w:rsidP="00A43139" w14:paraId="5BFEB347" w14:textId="77777777">
      <w:pPr>
        <w:pStyle w:val="NormalHanging12a"/>
        <w:rPr>
          <w:bCs/>
          <w:iCs/>
        </w:rPr>
      </w:pPr>
      <w:r w:rsidRPr="00845879">
        <w:t>15.</w:t>
      </w:r>
      <w:r w:rsidRPr="00845879">
        <w:tab/>
        <w:t xml:space="preserve">zdecydowanie potępia wrogość wobec niezależnych dziennikarzy i pracowników mediów w Albanii, w tym ataki werbalne i </w:t>
      </w:r>
      <w:r w:rsidRPr="00845879">
        <w:t>antymedialną</w:t>
      </w:r>
      <w:r w:rsidRPr="00845879">
        <w:t xml:space="preserve"> retorykę ze strony wysokich rangą urzędników, kampanie oszczerstw i mizoginistyczne nękanie w </w:t>
      </w:r>
      <w:r w:rsidRPr="00845879">
        <w:t>internecie</w:t>
      </w:r>
      <w:r w:rsidRPr="00845879">
        <w:t>, często wymierzone w dziennikarzy zajmujących się praworządnością, korupcją i sprawami sądowymi; wyraża ponadto zaniepokojenie wysoką liczbą pozwów przeciwko dziennikarzom; z zadowoleniem przyjmuje niedawne zmiany w albańskim kodeksie karnym; ubolewa jednak, że nie doprowadziły one do pełnej depenalizacji zniesławienia i zniewagi, zgodnie ze standardami unijnymi i międzynarodowymi;</w:t>
      </w:r>
    </w:p>
    <w:p w:rsidR="00A43139" w:rsidRPr="00845879" w:rsidP="00A43139" w14:paraId="553096C3" w14:textId="77777777">
      <w:pPr>
        <w:pStyle w:val="NormalHanging12a"/>
      </w:pPr>
      <w:r w:rsidRPr="00845879">
        <w:t>16.</w:t>
      </w:r>
      <w:r w:rsidRPr="00845879">
        <w:tab/>
        <w:t>wzywa władze Albanii do promowania umiejętności korzystania z mediów i umiejętności cyfrowych jako środka uzupełniającego w celu wzmocnienia odporności środowiska informacyjnego, w tym przez włączenie inicjatyw w zakresie umiejętności korzystania z mediów do systemu edukacji, wspieranie szkolenia nauczycieli i nowoczesnych zasobów edukacyjnych oraz zacieśnianie współpracy z niezależnymi mediami i odpowiednimi programami UE w celu promowania krytycznego myślenia i odpowiedzialnego zaangażowania cyfrowego;</w:t>
      </w:r>
    </w:p>
    <w:p w:rsidR="00A43139" w:rsidRPr="00845879" w:rsidP="00A43139" w14:paraId="4414AD3A" w14:textId="77777777">
      <w:pPr>
        <w:pStyle w:val="NormalHanging12a"/>
      </w:pPr>
      <w:r w:rsidRPr="00845879">
        <w:t>17.</w:t>
      </w:r>
      <w:r w:rsidRPr="00845879">
        <w:tab/>
        <w:t xml:space="preserve">zachęca władze Albanii, by wzmocniły ramy instytucjonalne na rzecz ochrony i wspierania praw osób należących do mniejszości etnicznych i religijnych oraz słabszych grup społecznych, w tym Romów i Egipcjan, osób z niepełnosprawnościami, pracowników migrujących i osób LGBTIQ+, a także by zadbały o skuteczne wdrożenie przepisów antydyskryminacyjnych i zapewniły mniejszościom etnicznym i religijnym oraz słabszym grupom społecznym lepszy dostęp do usług publicznych oraz znaczący udział w życiu społecznym, gospodarczym i politycznym; jest zaniepokojony </w:t>
      </w:r>
      <w:r w:rsidRPr="00845879">
        <w:t>antygenderową</w:t>
      </w:r>
      <w:r w:rsidRPr="00845879">
        <w:t xml:space="preserve"> retoryką obecną w albańskim dyskursie politycznym; zauważa, że </w:t>
      </w:r>
      <w:r w:rsidRPr="00845879">
        <w:t>wzmocnieniu ram instytucjonalnych ochrony praw mniejszości muszą towarzyszyć skuteczne środki zapewniające pełne i skuteczne wdrażanie tych praw w praktyce;</w:t>
      </w:r>
    </w:p>
    <w:p w:rsidR="00A43139" w:rsidRPr="00845879" w:rsidP="00A43139" w14:paraId="6846639C" w14:textId="77777777">
      <w:pPr>
        <w:pStyle w:val="NormalHanging12a"/>
      </w:pPr>
      <w:r w:rsidRPr="00845879">
        <w:t>18.</w:t>
      </w:r>
      <w:r w:rsidRPr="00845879">
        <w:tab/>
        <w:t>wzywa władze albańskie do zapewnienia uznanym mniejszościom narodowym trwałego dostępu do edukacji w językach mniejszości oraz do wspierania odpowiednich szkoleń dla nauczycieli, opracowywania podręczników i zachowania tożsamości kulturowej;</w:t>
      </w:r>
    </w:p>
    <w:p w:rsidR="00A43139" w:rsidRPr="00845879" w:rsidP="00A43139" w14:paraId="6F6833D5" w14:textId="77777777">
      <w:pPr>
        <w:pStyle w:val="NormalHanging12a"/>
        <w:rPr>
          <w:bCs/>
          <w:iCs/>
        </w:rPr>
      </w:pPr>
      <w:r w:rsidRPr="00845879">
        <w:t>19.</w:t>
      </w:r>
      <w:r w:rsidRPr="00845879">
        <w:tab/>
        <w:t>pochwala przyjęcie w Albanii ustawy o równości płci, która jest zgodna z dorobkiem prawnym UE i międzynarodowymi standardami praw człowieka; wyraża jednak zaniepokojenie falami dezinformacji i nienawiści wobec osób LGBTIQ+, w tym kampaniami oszczerstw przeciwko pracy organizacji społeczeństwa obywatelskiego działających na rzecz równości osób LGBTIQ+; wzywa władze albańskie, by pociągnęły do odpowiedzialności osoby rozpowszechniające dyskryminującą retorykę; wzywa rząd albański do opracowania środków prawnych takich jak zarejestrowane związki partnerskie, służących uznawaniu i ochronie par osób tej samej płci, zgodnie z zobowiązaniem rządu zawartym w krajowym planie działania na rzecz osób LGBTI (2021–2027) oraz w celu dostosowania albańskiego ustawodawstwa dotyczącego praw człowieka do dorobku prawnego UE;</w:t>
      </w:r>
    </w:p>
    <w:p w:rsidR="00A43139" w:rsidRPr="00845879" w:rsidP="00A43139" w14:paraId="0B995C42" w14:textId="77777777">
      <w:pPr>
        <w:pStyle w:val="NormalHanging12a"/>
        <w:rPr>
          <w:bCs/>
          <w:iCs/>
        </w:rPr>
      </w:pPr>
      <w:r w:rsidRPr="00845879">
        <w:t>20.</w:t>
      </w:r>
      <w:r w:rsidRPr="00845879">
        <w:tab/>
        <w:t xml:space="preserve">z zadowoleniem przyjmuje uznanie długotrwałej historycznej obecności społeczności bułgarskiej w regionach takich jak Prespa, </w:t>
      </w:r>
      <w:r w:rsidRPr="00845879">
        <w:t>Gollobordë</w:t>
      </w:r>
      <w:r w:rsidRPr="00845879">
        <w:t xml:space="preserve"> i </w:t>
      </w:r>
      <w:r w:rsidRPr="00845879">
        <w:t>Gora</w:t>
      </w:r>
      <w:r w:rsidRPr="00845879">
        <w:t xml:space="preserve"> oraz zachęca władze albańskie do zapewnienia pełnego poszanowania ich praw językowych, kulturowych i edukacyjnych, a także praw innych uznanych mniejszości narodowych Albanii;</w:t>
      </w:r>
    </w:p>
    <w:p w:rsidR="00A43139" w:rsidP="00A43139" w14:paraId="1574F66B" w14:textId="77777777">
      <w:pPr>
        <w:pStyle w:val="NormalHanging12a"/>
      </w:pPr>
      <w:r w:rsidRPr="00845879">
        <w:t>21.</w:t>
      </w:r>
      <w:r w:rsidRPr="00845879">
        <w:tab/>
        <w:t>ubolewa, że wciąż utrzymują się problemy dyskryminacji i wykluczenia społecznego, które dotykają mniejszości w Albanii, w szczególności w zakresie dostępu do edukacji, zatrudnienia i usług publicznych; wzywa rząd albański do pełnego dostosowania polityki antydyskryminacyjnej i praw mniejszości do dorobku prawnego UE; podkreśla, że należy poprawić dostęp do wymiaru sprawiedliwości i udział polityczny, zwłaszcza dla słabszych i zmarginalizowanych grup społecznych;</w:t>
      </w:r>
    </w:p>
    <w:p w:rsidR="00A652AA" w:rsidRPr="00A652AA" w:rsidP="00A43139" w14:paraId="43571FA2" w14:textId="4D856FBD">
      <w:pPr>
        <w:pStyle w:val="NormalHanging12a"/>
        <w:rPr>
          <w:bCs/>
          <w:iCs/>
        </w:rPr>
      </w:pPr>
      <w:r w:rsidRPr="00A77DC2">
        <w:rPr>
          <w:bCs/>
          <w:iCs/>
        </w:rPr>
        <w:t>2</w:t>
      </w:r>
      <w:r w:rsidR="00A77DC2">
        <w:rPr>
          <w:bCs/>
          <w:iCs/>
        </w:rPr>
        <w:t>2</w:t>
      </w:r>
      <w:r w:rsidRPr="00A77DC2">
        <w:rPr>
          <w:bCs/>
          <w:iCs/>
        </w:rPr>
        <w:t>.</w:t>
      </w:r>
      <w:r w:rsidRPr="00A652AA">
        <w:rPr>
          <w:bCs/>
          <w:iCs/>
        </w:rPr>
        <w:tab/>
      </w:r>
      <w:r w:rsidRPr="00A77DC2">
        <w:rPr>
          <w:bCs/>
          <w:iCs/>
        </w:rPr>
        <w:t>przyznaje, że grecka mniejszość narodowa utrzymuje silną obecność historyczną, zwłaszcza w południowej Albanii, i wzywa Albanię do zapewnienia ochrony prawa własności;</w:t>
      </w:r>
    </w:p>
    <w:p w:rsidR="00A43139" w:rsidRPr="00845879" w:rsidP="00A43139" w14:paraId="431E2151" w14:textId="79E04507">
      <w:pPr>
        <w:pStyle w:val="NormalHanging12a"/>
      </w:pPr>
      <w:r w:rsidRPr="00845879">
        <w:t>2</w:t>
      </w:r>
      <w:r w:rsidR="00A77DC2">
        <w:t>3</w:t>
      </w:r>
      <w:r w:rsidRPr="00845879">
        <w:t>.</w:t>
      </w:r>
      <w:r w:rsidRPr="00845879">
        <w:tab/>
        <w:t>akcentuje także znaczenie zachowania miejsc pamięci związanych z dyktaturą komunistyczną oraz wspierania pamięci i inicjatyw edukacyjnych, które promują świadomość historyczną i wzmacniają kulturę demokratyczną, zwłaszcza wśród młodszych pokoleń;</w:t>
      </w:r>
    </w:p>
    <w:p w:rsidR="00A43139" w:rsidRPr="00845879" w:rsidP="00A43139" w14:paraId="75F0EDF9" w14:textId="2BC52910">
      <w:pPr>
        <w:pStyle w:val="NormalHanging12a"/>
      </w:pPr>
      <w:r w:rsidRPr="00845879">
        <w:t>2</w:t>
      </w:r>
      <w:r w:rsidR="00A77DC2">
        <w:t>4</w:t>
      </w:r>
      <w:r w:rsidRPr="00845879">
        <w:t>.</w:t>
      </w:r>
      <w:r w:rsidRPr="00845879">
        <w:tab/>
        <w:t>z zadowoleniem odnotowuje dynamiczne i konstruktywne społeczeństwo obywatelskie Albanii, które w procesie reform odgrywa istotną i pozytywną rolę; zachęca rząd albański do budowania stosunków opartych na współpracy i do rzeczywistego angażowania społeczeństwa obywatelskiego w przejrzysty proces legislacyjny już na wczesnym etapie; ubolewa jednak, że organizacje społeczeństwa obywatelskiego w Albanii nadal zmagają się z wyzwaniami i otrzymują ograniczone finansowanie publiczne; wzywa ponadto rząd Albanii do zapewnienia sprzyjającego, bezpiecznego i niedyskryminacyjnego środowiska dla społeczeństwa obywatelskiego;</w:t>
      </w:r>
    </w:p>
    <w:p w:rsidR="00A43139" w:rsidRPr="00845879" w:rsidP="00A43139" w14:paraId="36E66996" w14:textId="45C506AE">
      <w:pPr>
        <w:pStyle w:val="NormalHanging12a"/>
      </w:pPr>
      <w:r w:rsidRPr="00845879">
        <w:t>2</w:t>
      </w:r>
      <w:r w:rsidR="00A77DC2">
        <w:t>5</w:t>
      </w:r>
      <w:r w:rsidRPr="00845879">
        <w:t>.</w:t>
      </w:r>
      <w:r w:rsidRPr="00845879">
        <w:tab/>
        <w:t xml:space="preserve">jest zaniepokojony, że w światowych rankingach opublikowanych w sprawozdaniu Światowego Forum Ekonomicznego z 2025 r. na temat różnic w traktowaniu kobiet i </w:t>
      </w:r>
      <w:r w:rsidRPr="00845879">
        <w:t>mężczyzn na świecie Albania spadła z 23. miejsca w 2024 r. na 36. miejsce w 2025 r., co wskazuje na pogłębiające się zróżnicowanie sytuacji kobiet i mężczyzn; ubolewa, że ramy prawne dotyczące zwalczania przemocy ze względu na płeć nie są jeszcze dostosowane do konwencji stambulskiej; apeluje do rządu albańskiego o usprawnienie usług wsparcia dla ofiar, w szczególności w opiece zdrowotnej, finansowaniu schronisk dla kobiet, bezpłatnej pomocy prawnej oraz programach reintegracji i rehabilitacji;</w:t>
      </w:r>
    </w:p>
    <w:p w:rsidR="00A43139" w:rsidRPr="00845879" w:rsidP="00A43139" w14:paraId="406D6A59" w14:textId="329E2012">
      <w:pPr>
        <w:pStyle w:val="NormalHanging12a"/>
      </w:pPr>
      <w:r w:rsidRPr="00845879">
        <w:t>2</w:t>
      </w:r>
      <w:r w:rsidR="00A77DC2">
        <w:t>6</w:t>
      </w:r>
      <w:r w:rsidRPr="00845879">
        <w:t>.</w:t>
      </w:r>
      <w:r w:rsidRPr="00845879">
        <w:tab/>
        <w:t>jest zaniepokojony, że albański krajowy program na rzecz praw dziecka (NARC) na lata 2021–2026 nie został jeszcze w pełni wdrożony, a dostęp dzieci do wymiaru sprawiedliwości jest utrudniony z powodu opóźnień, ograniczonej pomocy prawnej i nieodpowiedniej koordynacji instytucjonalnej; ubolewa, że większość dzieci w Albanii jest nadal zagrożona ubóstwem; wzywa władze albańskie do skutecznego wdrożenia NARC przez zagwarantowanie wsparcia dzieciom dotkniętym wykluczeniem i ubóstwem;</w:t>
      </w:r>
    </w:p>
    <w:p w:rsidR="00A43139" w:rsidRPr="00845879" w:rsidP="00A43139" w14:paraId="40959D6B" w14:textId="77777777">
      <w:pPr>
        <w:pStyle w:val="NormalHanging12a"/>
        <w:rPr>
          <w:b/>
          <w:bCs/>
          <w:i/>
          <w:iCs/>
        </w:rPr>
      </w:pPr>
      <w:r w:rsidRPr="00845879">
        <w:rPr>
          <w:b/>
          <w:i/>
        </w:rPr>
        <w:t>Reforma administracji publicznej i sprawowanie rządów</w:t>
      </w:r>
    </w:p>
    <w:p w:rsidR="00A43139" w:rsidRPr="00845879" w:rsidP="00A43139" w14:paraId="46C4D77B" w14:textId="77412ABA">
      <w:pPr>
        <w:pStyle w:val="NormalHanging12a"/>
        <w:rPr>
          <w:bCs/>
          <w:iCs/>
        </w:rPr>
      </w:pPr>
      <w:r w:rsidRPr="00845879">
        <w:t>2</w:t>
      </w:r>
      <w:r w:rsidR="00A77DC2">
        <w:t>7</w:t>
      </w:r>
      <w:r w:rsidRPr="00845879">
        <w:t>.</w:t>
      </w:r>
      <w:r w:rsidRPr="00845879">
        <w:tab/>
        <w:t>dostrzega postępy w reformie administracji publicznej, w tym w planowaniu strategicznym i koordynacji; wyraża zadowolenie z przyjęcia przekrojowej strategii reformy administracji publicznej na lata 2025–2030; podkreśla jednak, że konieczne są dalsze wysiłki w celu zapewnienia rekrutacji w oparciu o kryteria merytoryczne i odpolitycznienia służby cywilnej, w tym przyjęcie i wdrożenie nowych ram prawnych dla służby cywilnej;</w:t>
      </w:r>
    </w:p>
    <w:p w:rsidR="00A43139" w:rsidRPr="00845879" w:rsidP="00A43139" w14:paraId="088B59B6" w14:textId="1A1119C2">
      <w:pPr>
        <w:pStyle w:val="NormalHanging12a"/>
        <w:rPr>
          <w:bCs/>
        </w:rPr>
      </w:pPr>
      <w:r w:rsidRPr="00845879">
        <w:t>2</w:t>
      </w:r>
      <w:r w:rsidR="00A77DC2">
        <w:t>8</w:t>
      </w:r>
      <w:r w:rsidRPr="00845879">
        <w:t>.</w:t>
      </w:r>
      <w:r w:rsidRPr="00845879">
        <w:tab/>
        <w:t>wyraża zaniepokojenie, że ani ramy prawne dotyczące zamówień publicznych, ani przepisy dotyczące prawa spółek nie są w pełni dostosowane do dorobku prawnego UE; wzywa władze albańskie do kontynuowania wysiłków na rzecz pełnego dostosowania ustawodawstwa Albanii do dorobku prawnego UE; nawołuje do wzmocnienia nadzoru parlamentarnego, niezależnych audytów i pełnej przejrzystości postępowań o udzielenie zamówienia w celu zapewnienia zgodności z normami UE w zakresie konkurencji, ochrony danych i przeciwdziałania korupcji;</w:t>
      </w:r>
    </w:p>
    <w:p w:rsidR="00A43139" w:rsidRPr="00845879" w:rsidP="00A43139" w14:paraId="64FD4E4B" w14:textId="1D15E871">
      <w:pPr>
        <w:pStyle w:val="NormalHanging12a"/>
        <w:rPr>
          <w:bCs/>
        </w:rPr>
      </w:pPr>
      <w:r w:rsidRPr="00845879">
        <w:t>2</w:t>
      </w:r>
      <w:r w:rsidR="00A77DC2">
        <w:t>9</w:t>
      </w:r>
      <w:r w:rsidRPr="00845879">
        <w:t>.</w:t>
      </w:r>
      <w:r w:rsidRPr="00845879">
        <w:tab/>
        <w:t>z zadowoleniem przyjmuje bieżące prace ponadpartyjnej albańskiej komisji parlamentarnej ds. reformy terytorialnej; podkreśla, że wszelkie reformy w tej dziedzinie powinny być przeprowadzane w ramach procesu obejmującego wszystkie zainteresowane strony i opierać się na obiektywnych kryteriach społeczno-gospodarczych i europejskich standardach samorządu lokalnego;</w:t>
      </w:r>
    </w:p>
    <w:p w:rsidR="00A43139" w:rsidRPr="00845879" w:rsidP="00A43139" w14:paraId="64B16F68" w14:textId="6C82FD08">
      <w:pPr>
        <w:pStyle w:val="NormalHanging12a"/>
        <w:rPr>
          <w:bCs/>
          <w:iCs/>
        </w:rPr>
      </w:pPr>
      <w:r>
        <w:t>30</w:t>
      </w:r>
      <w:r w:rsidRPr="00845879">
        <w:t>.</w:t>
      </w:r>
      <w:r w:rsidRPr="00845879">
        <w:tab/>
        <w:t>apeluje o lepsze planowanie polityki, podejmowanie decyzji w oparciu o dowody i o przejrzyste procedury budżetowe, w tym o wzmocniony nadzór parlamentarny nad finansami publicznymi; domaga się zwiększenia zasobów finansowych, zdolności administracyjnych i autonomii fiskalnej władz lokalnych;</w:t>
      </w:r>
    </w:p>
    <w:p w:rsidR="00A43139" w:rsidRPr="00845879" w:rsidP="00A43139" w14:paraId="060BD2A9" w14:textId="78320EC5">
      <w:pPr>
        <w:pStyle w:val="NormalHanging12a"/>
        <w:rPr>
          <w:bCs/>
          <w:iCs/>
        </w:rPr>
      </w:pPr>
      <w:r w:rsidRPr="00845879">
        <w:t>3</w:t>
      </w:r>
      <w:r w:rsidR="00A77DC2">
        <w:t>1</w:t>
      </w:r>
      <w:r w:rsidRPr="00845879">
        <w:t>.</w:t>
      </w:r>
      <w:r w:rsidRPr="00845879">
        <w:tab/>
        <w:t xml:space="preserve">wyraża uznanie dla władz albańskich za niedawne przyjęcie krajowej strategii </w:t>
      </w:r>
      <w:r w:rsidRPr="00845879">
        <w:t>cyberbezpieczeństwa</w:t>
      </w:r>
      <w:r w:rsidRPr="00845879">
        <w:t xml:space="preserve"> na lata 2025–2030; z zadowoleniem przyjmuje dostosowanie </w:t>
      </w:r>
      <w:r w:rsidRPr="00845879">
        <w:t xml:space="preserve">obowiązującej albańskiej ustawy o </w:t>
      </w:r>
      <w:r w:rsidRPr="00845879">
        <w:t>cyberbezpieczeństwie</w:t>
      </w:r>
      <w:r w:rsidRPr="00845879">
        <w:t xml:space="preserve"> do unijnej dyrektywy NIS 2</w:t>
      </w:r>
      <w:r>
        <w:rPr>
          <w:rStyle w:val="FootnoteReference"/>
          <w:bCs/>
          <w:iCs/>
        </w:rPr>
        <w:footnoteReference w:id="6"/>
      </w:r>
      <w:r w:rsidRPr="00845879">
        <w:t>; wyraża uznanie dla władz albańskich za przyjęcie zaktualizowanego wykazu operatorów krytycznej i ważnej infrastruktury informatycznej;</w:t>
      </w:r>
    </w:p>
    <w:p w:rsidR="00A43139" w:rsidRPr="00845879" w:rsidP="00A43139" w14:paraId="0E9D43C3" w14:textId="336D86F1">
      <w:pPr>
        <w:pStyle w:val="NormalHanging12a"/>
        <w:rPr>
          <w:bCs/>
          <w:iCs/>
        </w:rPr>
      </w:pPr>
      <w:r w:rsidRPr="00845879">
        <w:t>3</w:t>
      </w:r>
      <w:r w:rsidR="00A77DC2">
        <w:t>2</w:t>
      </w:r>
      <w:r w:rsidRPr="00845879">
        <w:t>.</w:t>
      </w:r>
      <w:r w:rsidRPr="00845879">
        <w:tab/>
        <w:t>z zadowoleniem przyjmuje ciągłą poprawę przekazywania danych przez Albanię do Eurostatu; wzywa władze albańskie do dalszego zwiększania produkcji i dystrybucji wysokiej jakości danych;</w:t>
      </w:r>
    </w:p>
    <w:p w:rsidR="00A43139" w:rsidRPr="00845879" w:rsidP="00A43139" w14:paraId="423D4351" w14:textId="0BDE8A45">
      <w:pPr>
        <w:pStyle w:val="NormalHanging12a"/>
        <w:rPr>
          <w:bCs/>
          <w:iCs/>
        </w:rPr>
      </w:pPr>
      <w:r w:rsidRPr="00845879">
        <w:t>3</w:t>
      </w:r>
      <w:r w:rsidR="00A77DC2">
        <w:t>3</w:t>
      </w:r>
      <w:r w:rsidRPr="00845879">
        <w:t>.</w:t>
      </w:r>
      <w:r w:rsidRPr="00845879">
        <w:tab/>
        <w:t>wyraża uznanie dla rządu albańskiego za przyjęcie nowych przepisów dotyczących znaków towarowych i patentów; wzywa władze albańskie, by w pełni dostosowały albańskie prawo własności intelektualnej do dorobku prawnego UE i by dalej je wzmacniały;</w:t>
      </w:r>
    </w:p>
    <w:p w:rsidR="00A43139" w:rsidRPr="00845879" w:rsidP="00A43139" w14:paraId="434C4C19" w14:textId="77777777">
      <w:pPr>
        <w:pStyle w:val="NormalHanging12a"/>
        <w:rPr>
          <w:b/>
          <w:bCs/>
          <w:i/>
          <w:iCs/>
        </w:rPr>
      </w:pPr>
      <w:r w:rsidRPr="00845879">
        <w:rPr>
          <w:b/>
          <w:i/>
        </w:rPr>
        <w:t>Reformy społeczno-gospodarcze i środowisko</w:t>
      </w:r>
    </w:p>
    <w:p w:rsidR="00A43139" w:rsidRPr="00845879" w:rsidP="00A43139" w14:paraId="61103478" w14:textId="736B2DD0">
      <w:pPr>
        <w:pStyle w:val="NormalHanging12a"/>
      </w:pPr>
      <w:r w:rsidRPr="00845879">
        <w:t>3</w:t>
      </w:r>
      <w:r w:rsidR="00A77DC2">
        <w:t>4</w:t>
      </w:r>
      <w:r w:rsidRPr="00845879">
        <w:t>.</w:t>
      </w:r>
      <w:r w:rsidRPr="00845879">
        <w:tab/>
        <w:t>z zadowoleniem przyjmuje zaangażowanie Albanii we wdrażanie unijnego planu wzrostu gospodarczego dla Bałkanów Zachodnich; zauważa jednak, że wciąż utrzymują się słabości strukturalne, w tym szara strefa w biznesie, ograniczony wzrost wydajności i trudne otoczenie biznesowe; ubolewa nad tym, że rozbudowana gospodarka nieformalna utrudnia funkcjonowanie otoczenia działalności gospodarczej i zakłóca konkurencję; ponownie podkreśla, jak ważna jest poprawa infrastruktury transportowej między krajami Bałkanów Zachodnich oraz dalsza rozbudowa połączeń kolejowych i lotniczych z państwami członkowskimi UE; pochwala władze albańskie za zwolnienie z podatku VAT projektów finansowanych przez UE w Albanii;</w:t>
      </w:r>
    </w:p>
    <w:p w:rsidR="00A43139" w:rsidRPr="00845879" w:rsidP="00A43139" w14:paraId="45B9D42F" w14:textId="71C97FF7">
      <w:pPr>
        <w:pStyle w:val="NormalHanging12a"/>
        <w:rPr>
          <w:bCs/>
          <w:iCs/>
        </w:rPr>
      </w:pPr>
      <w:r w:rsidRPr="00845879">
        <w:t>3</w:t>
      </w:r>
      <w:r w:rsidR="00A77DC2">
        <w:t>5</w:t>
      </w:r>
      <w:r w:rsidRPr="00845879">
        <w:t>.</w:t>
      </w:r>
      <w:r w:rsidRPr="00845879">
        <w:tab/>
        <w:t>przypomina o potencjale unijnego planu gospodarczo-inwestycyjnego dla Bałkanów Zachodnich pod względem poprawy kolejowych i drogowych połączeń regionalnych; w tym kontekście wzywa władze wszystkich odnośnych krajów do ukończenia projektów wchodzących w skład korytarza VIII łączącego Albanię, Macedonię Północną i Bułgarię;</w:t>
      </w:r>
    </w:p>
    <w:p w:rsidR="00A43139" w:rsidRPr="00845879" w:rsidP="00A43139" w14:paraId="050DDAD5" w14:textId="5A3F2D3A">
      <w:pPr>
        <w:pStyle w:val="NormalHanging12a"/>
        <w:rPr>
          <w:bCs/>
          <w:iCs/>
        </w:rPr>
      </w:pPr>
      <w:r w:rsidRPr="00845879">
        <w:t>3</w:t>
      </w:r>
      <w:r w:rsidR="00A77DC2">
        <w:t>6</w:t>
      </w:r>
      <w:r w:rsidRPr="00845879">
        <w:t>.</w:t>
      </w:r>
      <w:r w:rsidRPr="00845879">
        <w:tab/>
        <w:t>apeluje o wdrożenie kompleksowego mechanizmu kontroli bezpośrednich inwestycji zagranicznych jako strategicznej inicjatywy mającej na celu ochronę interesów krajowych Albanii, zwiększenie bezpieczeństwa oraz zapewnienie przewidywalności dla inwestorów i spójności ze standardami UE;</w:t>
      </w:r>
    </w:p>
    <w:p w:rsidR="00A43139" w:rsidRPr="00845879" w:rsidP="00A43139" w14:paraId="7F90C2FD" w14:textId="44B6E5B5">
      <w:pPr>
        <w:pStyle w:val="NormalHanging12a"/>
        <w:rPr>
          <w:bCs/>
          <w:iCs/>
        </w:rPr>
      </w:pPr>
      <w:r w:rsidRPr="00845879">
        <w:t>3</w:t>
      </w:r>
      <w:r w:rsidR="00A77DC2">
        <w:t>7</w:t>
      </w:r>
      <w:r w:rsidRPr="00845879">
        <w:t>.</w:t>
      </w:r>
      <w:r w:rsidRPr="00845879">
        <w:tab/>
        <w:t>podkreśla, że system albańskiej publicznej wewnętrznej kontroli finansowej pozostaje częściowo skuteczny; wzywa Albanię do zwiększenia odpowiedzialności i przejrzystości przedsiębiorstw państwowych poprzez upublicznienie ich rocznych sprawozdań z wyników finansowych; wzywa władze albańskie do pełnego wdrożenia zaleceń Najwyższego Organu Kontroli Albanii;</w:t>
      </w:r>
    </w:p>
    <w:p w:rsidR="00A43139" w:rsidRPr="00845879" w:rsidP="00A43139" w14:paraId="6F956B27" w14:textId="37973037">
      <w:pPr>
        <w:pStyle w:val="NormalHanging12a"/>
        <w:rPr>
          <w:bCs/>
          <w:iCs/>
        </w:rPr>
      </w:pPr>
      <w:r w:rsidRPr="00845879">
        <w:t>3</w:t>
      </w:r>
      <w:r w:rsidR="00A77DC2">
        <w:t>8</w:t>
      </w:r>
      <w:r w:rsidRPr="00845879">
        <w:t>.</w:t>
      </w:r>
      <w:r w:rsidRPr="00845879">
        <w:tab/>
        <w:t>wyraża zadowolenie z przyjęcia albańskiej strategii na rzecz modernizacji i harmonizacji albańskich systemów informacji celnej z systemami UE na lata 2025–2030; pochwala władze albańskie za ich wysiłki na rzecz spełnienia standardów UE dzięki harmonizacji i poprawie infrastruktury celnej;</w:t>
      </w:r>
      <w:r w:rsidR="00A652AA">
        <w:t xml:space="preserve"> </w:t>
      </w:r>
      <w:r w:rsidRPr="00A77DC2" w:rsidR="00A652AA">
        <w:rPr>
          <w:bCs/>
          <w:iCs/>
        </w:rPr>
        <w:t xml:space="preserve">podkreśla, że celne systemy </w:t>
      </w:r>
      <w:r w:rsidRPr="00A77DC2" w:rsidR="00A652AA">
        <w:rPr>
          <w:bCs/>
          <w:iCs/>
        </w:rPr>
        <w:t>informatyczne wymagają znacznej modernizacji w celu osiągnięcia pełnej harmonizacji ze standardami UE, i wzywa władze albańskie do przyspieszenia niezbędnych inwestycji i reform w tym zakresie;</w:t>
      </w:r>
    </w:p>
    <w:p w:rsidR="00A43139" w:rsidRPr="00845879" w:rsidP="00A43139" w14:paraId="523CB220" w14:textId="3E217131">
      <w:pPr>
        <w:pStyle w:val="NormalHanging12a"/>
        <w:rPr>
          <w:bCs/>
          <w:iCs/>
        </w:rPr>
      </w:pPr>
      <w:r w:rsidRPr="00845879">
        <w:t>3</w:t>
      </w:r>
      <w:r w:rsidR="00A77DC2">
        <w:t>9</w:t>
      </w:r>
      <w:r w:rsidRPr="00845879">
        <w:t>.</w:t>
      </w:r>
      <w:r w:rsidRPr="00845879">
        <w:tab/>
        <w:t>pochwala władze albańskie za dostosowanie przepisów dotyczących prywatnych funduszy emerytalnych do dorobku prawnego UE; wzywa Albanię do dokończenia procesu dostosowywania przepisów do dorobku prawnego UE w zakresie ubezpieczeń, rynków kapitałowych, rynków papierów wartościowych, funduszy inwestycyjnych oraz infrastruktury rynku finansowego;</w:t>
      </w:r>
    </w:p>
    <w:p w:rsidR="00A43139" w:rsidRPr="00845879" w:rsidP="00A43139" w14:paraId="7D8A524F" w14:textId="25005578">
      <w:pPr>
        <w:pStyle w:val="NormalHanging12a"/>
        <w:rPr>
          <w:bCs/>
          <w:iCs/>
        </w:rPr>
      </w:pPr>
      <w:r>
        <w:t>40</w:t>
      </w:r>
      <w:r w:rsidRPr="00845879">
        <w:t>.</w:t>
      </w:r>
      <w:r w:rsidRPr="00845879">
        <w:tab/>
        <w:t xml:space="preserve">z zadowoleniem przyjmuje wniosek Komisji </w:t>
      </w:r>
      <w:r w:rsidRPr="00A77DC2" w:rsidR="00A652AA">
        <w:t>i upoważnienie Rady do</w:t>
      </w:r>
      <w:r w:rsidRPr="005A35D4" w:rsidR="00A652AA">
        <w:t xml:space="preserve"> </w:t>
      </w:r>
      <w:r w:rsidRPr="00845879">
        <w:t xml:space="preserve">rozpoczęcia negocjacji w sprawie rozszerzenia unijnego systemu znoszącego opłaty </w:t>
      </w:r>
      <w:r w:rsidRPr="00845879">
        <w:t>roamingowe</w:t>
      </w:r>
      <w:r w:rsidRPr="00845879">
        <w:t xml:space="preserve"> na Bałkany Zachodnie i wzywa </w:t>
      </w:r>
      <w:r w:rsidRPr="00A77DC2" w:rsidR="00A652AA">
        <w:rPr>
          <w:bCs/>
          <w:iCs/>
        </w:rPr>
        <w:t>Komisję i partnerów z Bałkanów Zachodnich do szybkiego podjęcia niezbędnych kroków</w:t>
      </w:r>
      <w:r w:rsidRPr="00A652AA" w:rsidR="00A652AA">
        <w:rPr>
          <w:bCs/>
          <w:iCs/>
        </w:rPr>
        <w:t xml:space="preserve"> na </w:t>
      </w:r>
      <w:r w:rsidRPr="00A77DC2" w:rsidR="00A652AA">
        <w:rPr>
          <w:bCs/>
          <w:iCs/>
        </w:rPr>
        <w:t xml:space="preserve">rzecz wzajemnego otwarcia rynków </w:t>
      </w:r>
      <w:r w:rsidRPr="00A77DC2" w:rsidR="00A652AA">
        <w:rPr>
          <w:bCs/>
          <w:iCs/>
        </w:rPr>
        <w:t>roamingu</w:t>
      </w:r>
      <w:r w:rsidRPr="00A77DC2" w:rsidR="00A652AA">
        <w:rPr>
          <w:bCs/>
          <w:iCs/>
        </w:rPr>
        <w:t xml:space="preserve"> UE i partnerów</w:t>
      </w:r>
      <w:r w:rsidRPr="00A652AA" w:rsidR="00A652AA">
        <w:rPr>
          <w:bCs/>
          <w:iCs/>
        </w:rPr>
        <w:t xml:space="preserve"> z Bałkanów Zachodnich</w:t>
      </w:r>
      <w:r w:rsidRPr="00A77DC2" w:rsidR="00A652AA">
        <w:rPr>
          <w:bCs/>
          <w:iCs/>
        </w:rPr>
        <w:t xml:space="preserve">, co umożliwi obywatelom i przedsiębiorstwom korzystanie z usług </w:t>
      </w:r>
      <w:r w:rsidRPr="00A77DC2" w:rsidR="00A652AA">
        <w:rPr>
          <w:bCs/>
          <w:iCs/>
        </w:rPr>
        <w:t>roamingu</w:t>
      </w:r>
      <w:r w:rsidRPr="00A77DC2" w:rsidR="00A652AA">
        <w:rPr>
          <w:bCs/>
          <w:iCs/>
        </w:rPr>
        <w:t xml:space="preserve"> bez dodatkowych opłat</w:t>
      </w:r>
      <w:r w:rsidRPr="00845879">
        <w:t>;</w:t>
      </w:r>
    </w:p>
    <w:p w:rsidR="00A43139" w:rsidRPr="00845879" w:rsidP="00A43139" w14:paraId="3E8494FD" w14:textId="18DB9DB6">
      <w:pPr>
        <w:pStyle w:val="NormalHanging12a"/>
        <w:rPr>
          <w:bCs/>
          <w:iCs/>
        </w:rPr>
      </w:pPr>
      <w:r w:rsidRPr="00845879">
        <w:t>4</w:t>
      </w:r>
      <w:r w:rsidR="00A77DC2">
        <w:t>1</w:t>
      </w:r>
      <w:r w:rsidRPr="00845879">
        <w:t>.</w:t>
      </w:r>
      <w:r w:rsidRPr="00845879">
        <w:tab/>
        <w:t>podkreśla znaczenie inwestowania w edukację, rozwój umiejętności i innowacje w celu wspierania zrównoważonego wzrostu i spójności społecznej; wyraża uznanie dla rządu albańskiego za przyjęcie aktów prawnych dotyczących reformy szkolnictwa wyższego oraz za ciągłe wdrażanie krajowej strategii na rzecz edukacji na lata 2021–2026; wzywa władze albańskie do sfinalizowania przepisów wykonawczych do ustawy o dziedzictwie kulturowym i muzeach; zachęca do rozwoju polityki mającej na celu ograniczenie emigracji młodzieży i drenażu mózgów oraz zwiększenie możliwości dla młodych specjalistów przez poprawę warunków na rynku pracy, reformę edukacji i wsparcie innowacji;</w:t>
      </w:r>
    </w:p>
    <w:p w:rsidR="00A43139" w:rsidRPr="00845879" w:rsidP="00A43139" w14:paraId="7F548426" w14:textId="3C3DFCAD">
      <w:pPr>
        <w:pStyle w:val="NormalHanging12a"/>
        <w:rPr>
          <w:bCs/>
          <w:iCs/>
        </w:rPr>
      </w:pPr>
      <w:r w:rsidRPr="00845879">
        <w:t>4</w:t>
      </w:r>
      <w:r w:rsidR="00A77DC2">
        <w:t>2</w:t>
      </w:r>
      <w:r w:rsidRPr="00845879">
        <w:t>.</w:t>
      </w:r>
      <w:r w:rsidRPr="00845879">
        <w:tab/>
        <w:t>apeluje o dalszy rozwój i skuteczne wdrażanie ram mieszkalnictwa socjalnego w Albanii w oparciu o kontynuację i poprawę krajowej strategii na rzecz mieszkalnictwa socjalnego na lata 2016–2025, tak aby zapewnić stabilne i godne warunki życia grupom o niższych dochodach i słabszym grupom społecznym; podkreśla w szczególności znaczenie dostępnych i przystępnych cenowo mieszkań socjalnych dla młodych ludzi, w tym studentów i praktykantów, ponieważ wspiera to ich mobilność geograficzną, dostęp do edukacji i szkoleń oraz udaną integrację na rynku pracy;</w:t>
      </w:r>
    </w:p>
    <w:p w:rsidR="00A43139" w:rsidRPr="00845879" w:rsidP="00A43139" w14:paraId="685EA8A1" w14:textId="31133D1C">
      <w:pPr>
        <w:pStyle w:val="NormalHanging12a"/>
      </w:pPr>
      <w:r w:rsidRPr="00845879">
        <w:t>4</w:t>
      </w:r>
      <w:r w:rsidR="00A77DC2">
        <w:t>3</w:t>
      </w:r>
      <w:r w:rsidRPr="00845879">
        <w:t>.</w:t>
      </w:r>
      <w:r w:rsidRPr="00845879">
        <w:tab/>
        <w:t>podkreśla kluczowe znaczenie prawdziwego dialogu społecznego, tak aby rozszerzenie UE przyniosło korzyści różnym grupom ludności; z zadowoleniem przyjmuje poprawę transferu baz danych i wczesnego połączenia z europejskimi służbami zatrudnienia (EURES), co było możliwe dzięki pełnemu dostosowaniu krajowego wykazu zawodów do wielojęzycznej europejskiej klasyfikacji umiejętności, kompetencji, kwalifikacji i zawodów (ESCO); ubolewa jednak z powodu niskiej częstotliwości posiedzeń Krajowej Rady Pracy; apeluje o wzmocnienie procesu konsultacji trójstronnych, w tym odpowiednią reprezentację związków zawodowych; podkreśla, że należy w dalszym ciągu wspierać budowanie zdolności partnerów społecznych;</w:t>
      </w:r>
    </w:p>
    <w:p w:rsidR="00A43139" w:rsidRPr="00845879" w:rsidP="00A43139" w14:paraId="12780806" w14:textId="4A1C20DB">
      <w:pPr>
        <w:pStyle w:val="NormalHanging12a"/>
        <w:rPr>
          <w:bCs/>
          <w:iCs/>
        </w:rPr>
      </w:pPr>
      <w:r w:rsidRPr="00845879">
        <w:t>4</w:t>
      </w:r>
      <w:r w:rsidR="00A77DC2">
        <w:t>4</w:t>
      </w:r>
      <w:r w:rsidRPr="00845879">
        <w:t>.</w:t>
      </w:r>
      <w:r w:rsidRPr="00845879">
        <w:tab/>
        <w:t>apeluje o wzmożenie działań na rzecz wspierania zgodności z unijnym prawem pracy oraz unijnymi ramami bezpieczeństwa i higieny pracy, w tym o pełne wdrożenie niedyskryminacyjnych strategii politycznych i środków na rzecz równości, a także wzywa odpowiednie organy krajowe do zapewnienia skutecznego monitorowania, egzekwowania i odpowiednich sankcji w przypadkach nieprzestrzegania przepisów;</w:t>
      </w:r>
    </w:p>
    <w:p w:rsidR="00A43139" w:rsidRPr="00845879" w:rsidP="00A43139" w14:paraId="21D8985C" w14:textId="3425488D">
      <w:pPr>
        <w:pStyle w:val="NormalHanging12a"/>
        <w:rPr>
          <w:bCs/>
          <w:iCs/>
        </w:rPr>
      </w:pPr>
      <w:r w:rsidRPr="00845879">
        <w:t>4</w:t>
      </w:r>
      <w:r w:rsidR="00A77DC2">
        <w:t>5</w:t>
      </w:r>
      <w:r w:rsidRPr="00845879">
        <w:t>.</w:t>
      </w:r>
      <w:r w:rsidRPr="00845879">
        <w:tab/>
        <w:t>podkreśla, że postępy na drodze do przystąpienia do UE wymagają rzeczywistych osiągnięć we wdrażaniu i egzekwowaniu dorobku prawnego w dziedzinie środowiska, zwłaszcza w zakresie ocen oddziaływania na środowisko, przepisów dotyczących ochrony przyrody i prawa do udziału społeczeństwa;</w:t>
      </w:r>
    </w:p>
    <w:p w:rsidR="00A43139" w:rsidRPr="00845879" w:rsidP="00A43139" w14:paraId="0D59D485" w14:textId="155D1EA5">
      <w:pPr>
        <w:pStyle w:val="NormalHanging12a"/>
      </w:pPr>
      <w:r w:rsidRPr="00845879">
        <w:t>4</w:t>
      </w:r>
      <w:r w:rsidR="00A77DC2">
        <w:t>6</w:t>
      </w:r>
      <w:r w:rsidRPr="00845879">
        <w:t>.</w:t>
      </w:r>
      <w:r w:rsidRPr="00845879">
        <w:tab/>
        <w:t>odnotowuje zapowiedź rządu albańskiego, że zreformuje on krajowy sektor gospodarowania odpadami, centralizując i usprawniając zbieranie odpadów i gospodarowanie nimi; zauważa jednak z zaniepokojeniem, że według oceny Komisji w okresie sprawozdawczym nie poczyniono żadnych postępów w dziedzinie środowiska i zmiany klimatu; apeluje do rządu albańskiego o nadanie priorytetu wdrażaniu strategii przystosowywania się do zmiany klimatu, rozwojowi odnawialnych źródeł energii i wspieraniu zrównoważonego wzrostu gospodarczego;</w:t>
      </w:r>
    </w:p>
    <w:p w:rsidR="00A43139" w:rsidP="00A43139" w14:paraId="4A3AB6A7" w14:textId="306D561E">
      <w:pPr>
        <w:pStyle w:val="NormalHanging12a"/>
      </w:pPr>
      <w:r w:rsidRPr="00845879">
        <w:t>4</w:t>
      </w:r>
      <w:r w:rsidR="00A77DC2">
        <w:t>7</w:t>
      </w:r>
      <w:r w:rsidRPr="00845879">
        <w:t>.</w:t>
      </w:r>
      <w:r w:rsidRPr="00845879">
        <w:tab/>
        <w:t>głęboko ubolewa z powodu przedłużenia obowiązywania albańskiej ustawy o inwestycjach strategicznych z 2015 r. w świetle jej przepisów umożliwiających przyspieszenie procedur wydawania pozwoleń i ograniczenie kontroli środowiskowej, co może mieć negatywny wpływ na obszary chronione i inne strefy wrażliwe pod względem środowiskowym; apeluje o uchylenie nowelizacji ustawy o obszarach chronionych z 2024 r., która umożliwia rozwój infrastruktury turystycznej na dużą skalę na obszarach chronionych i przenosi kluczowe kompetencje w zakresie zarządzania i podejmowania decyzji na Krajową Radę Terytorialną, co osłabia nadzór środowiskowy;</w:t>
      </w:r>
    </w:p>
    <w:p w:rsidR="00A77DC2" w:rsidRPr="00A652AA" w:rsidP="00A77DC2" w14:paraId="0487FC1D" w14:textId="50F665E4">
      <w:pPr>
        <w:pStyle w:val="NormalHanging12a"/>
        <w:rPr>
          <w:bCs/>
          <w:iCs/>
        </w:rPr>
      </w:pPr>
      <w:r w:rsidRPr="00704CD5">
        <w:rPr>
          <w:bCs/>
          <w:iCs/>
        </w:rPr>
        <w:t>4</w:t>
      </w:r>
      <w:r>
        <w:rPr>
          <w:bCs/>
          <w:iCs/>
        </w:rPr>
        <w:t>8</w:t>
      </w:r>
      <w:r w:rsidRPr="00704CD5">
        <w:rPr>
          <w:bCs/>
          <w:iCs/>
        </w:rPr>
        <w:t>.</w:t>
      </w:r>
      <w:r w:rsidRPr="00A652AA">
        <w:rPr>
          <w:bCs/>
          <w:iCs/>
        </w:rPr>
        <w:tab/>
      </w:r>
      <w:r w:rsidRPr="00704CD5">
        <w:rPr>
          <w:bCs/>
          <w:iCs/>
        </w:rPr>
        <w:t>podkreśla fakt, że Komisja ostrzegła Albanię przed działaniami, które mogą mieć wpływ na jej ścieżkę przystąpienia do UE w kontekście trwających protestów krajowych w sprawie zakrojonego na szeroką skalę luksusowego projektu inwestycyjnego zagrażającemu chronionemu obszarowi dzikiej fauny i flory, w którym znajdują się flamingi, foki i miejsca gniazdowania żółwi; zgadza się w związku z tym z krytyką Komisji i przypomina, że dostosowanie do unijnych przepisów środowiskowych, w tym dyrektywy ptasiej</w:t>
      </w:r>
      <w:r>
        <w:rPr>
          <w:rStyle w:val="FootnoteReference"/>
          <w:bCs/>
          <w:iCs/>
        </w:rPr>
        <w:footnoteReference w:id="7"/>
      </w:r>
      <w:r w:rsidRPr="00704CD5">
        <w:rPr>
          <w:bCs/>
          <w:iCs/>
        </w:rPr>
        <w:t xml:space="preserve"> i dyrektywy siedliskowej</w:t>
      </w:r>
      <w:r>
        <w:rPr>
          <w:rStyle w:val="FootnoteReference"/>
          <w:bCs/>
          <w:iCs/>
        </w:rPr>
        <w:footnoteReference w:id="8"/>
      </w:r>
      <w:r w:rsidRPr="00704CD5">
        <w:rPr>
          <w:bCs/>
          <w:iCs/>
        </w:rPr>
        <w:t>, jest warunkiem wstępnym przystąpienia do UE;</w:t>
      </w:r>
    </w:p>
    <w:p w:rsidR="00A652AA" w:rsidP="00A43139" w14:paraId="245873C9" w14:textId="1F746D25">
      <w:pPr>
        <w:pStyle w:val="NormalHanging12a"/>
        <w:rPr>
          <w:bCs/>
          <w:iCs/>
        </w:rPr>
      </w:pPr>
      <w:r w:rsidRPr="00A77DC2">
        <w:rPr>
          <w:bCs/>
          <w:iCs/>
        </w:rPr>
        <w:t>4</w:t>
      </w:r>
      <w:r w:rsidR="00A77DC2">
        <w:rPr>
          <w:bCs/>
          <w:iCs/>
        </w:rPr>
        <w:t>9</w:t>
      </w:r>
      <w:r w:rsidRPr="00A77DC2">
        <w:rPr>
          <w:bCs/>
          <w:iCs/>
        </w:rPr>
        <w:t>.</w:t>
      </w:r>
      <w:r w:rsidRPr="00A652AA">
        <w:rPr>
          <w:bCs/>
          <w:iCs/>
        </w:rPr>
        <w:tab/>
      </w:r>
      <w:r w:rsidRPr="00A77DC2">
        <w:rPr>
          <w:bCs/>
          <w:iCs/>
        </w:rPr>
        <w:t xml:space="preserve">z poważnym zaniepokojeniem zauważa, że rozwój sytuacji na obszarze chronionym </w:t>
      </w:r>
      <w:r w:rsidRPr="00A77DC2">
        <w:rPr>
          <w:bCs/>
          <w:iCs/>
        </w:rPr>
        <w:t>Wjosa</w:t>
      </w:r>
      <w:r w:rsidRPr="00A77DC2">
        <w:rPr>
          <w:bCs/>
          <w:iCs/>
        </w:rPr>
        <w:t xml:space="preserve">-Narta unaocznia praktyczne konsekwencje tych zmian legislacyjnych i wynikające z nich zagrożenia dla obszarów o uznanej wartości ekologicznej; uważnie śledzi trwające masowe pokojowe protesty w tej sprawie; wzywa władze albańskie do natychmiastowego wprowadzenia moratorium na wszystkie nowe procedury wydawania pozwoleń, prace budowlane i działania rozwojowe na obszarach chronionych do czasu uchylenia niezgodnych przepisów znowelizowanej ustawy o obszarach chronionych, zgodnie z wieloletnim apelem Komisji i Parlamentu oraz z końcowymi kryteriami odniesienia określonymi w rozdziale 27, a także do czasu zapewnienia pełnej zgodności z unijnymi normami ochrony przyrody; podkreśla, że wszelkie projekty w tej dziedzinie muszą podlegać kompleksowym ocenom oddziaływania na środowisko w pełni zgodnym z normami UE, w tym przejrzystemu procesowi partycypacji publicznej z udziałem społeczności lokalnych, naukowców i </w:t>
      </w:r>
      <w:r w:rsidRPr="00A77DC2">
        <w:rPr>
          <w:bCs/>
          <w:iCs/>
        </w:rPr>
        <w:t>społeczeństwa obywatelskiego;</w:t>
      </w:r>
    </w:p>
    <w:p w:rsidR="00A43139" w:rsidRPr="00845879" w:rsidP="00A43139" w14:paraId="497DF152" w14:textId="77777777">
      <w:pPr>
        <w:pStyle w:val="NormalHanging12a"/>
        <w:rPr>
          <w:b/>
          <w:bCs/>
          <w:i/>
          <w:iCs/>
        </w:rPr>
      </w:pPr>
      <w:r w:rsidRPr="00845879">
        <w:rPr>
          <w:b/>
          <w:i/>
        </w:rPr>
        <w:t>Polityka zagraniczna i współpraca regionalna</w:t>
      </w:r>
    </w:p>
    <w:p w:rsidR="00A43139" w:rsidRPr="00845879" w:rsidP="00A43139" w14:paraId="7F9FA9A8" w14:textId="6D8D7CE2">
      <w:pPr>
        <w:pStyle w:val="NormalHanging12a"/>
      </w:pPr>
      <w:r>
        <w:t>50</w:t>
      </w:r>
      <w:r w:rsidRPr="00845879">
        <w:t>.</w:t>
      </w:r>
      <w:r w:rsidRPr="00845879">
        <w:tab/>
        <w:t>pochwala stałe i pełne dostosowanie Albanii do wspólnej polityki zagranicznej i bezpieczeństwa UE, w tym do środków ograniczających, nieprzerwane zaangażowanie Albanii w misje i operacje w ramach wspólnej polityki bezpieczeństwa i obrony UE oraz jej konstruktywną rolę w promowaniu stabilności w regionie, co potwierdza silną orientację euroatlantycką tego kraju; z zadowoleniem przyjmuje wzmocnioną współpracę w kwestiach bezpieczeństwa i obrony w ramach partnerstwa UE–Albania w dziedzinie bezpieczeństwa i obrony oraz dialogów na temat bezpieczeństwa i obrony; podkreśla, jak ważna jest dalsza współpraca, na przykład wspólne inicjatywy szkoleniowe, wspólne zdolności wywiadowcze i wzmocnione środki ochrony granic w celu sprostania regionalnym i globalnym zagrożeniom bezpieczeństwa;</w:t>
      </w:r>
    </w:p>
    <w:p w:rsidR="00A43139" w:rsidRPr="00845879" w:rsidP="00A43139" w14:paraId="2B3C8E30" w14:textId="67FCEEF3">
      <w:pPr>
        <w:pStyle w:val="NormalHanging12a"/>
      </w:pPr>
      <w:r>
        <w:t>51</w:t>
      </w:r>
      <w:r w:rsidRPr="00845879">
        <w:t>.</w:t>
      </w:r>
      <w:r w:rsidRPr="00845879">
        <w:tab/>
        <w:t>zaznacza, że uczestnictwo w międzynarodowych inicjatywach i organizacjach powinno pozostać zgodne z wartościami UE, stabilnością regionalną i celami integracji europejskiej Albanii; zwraca uwagę na znaczenie przejrzystości i odpowiedniej kontroli parlamentarnej w decyzjach dotyczących zobowiązań międzynarodowych;</w:t>
      </w:r>
    </w:p>
    <w:p w:rsidR="00A43139" w:rsidRPr="00845879" w:rsidP="00A43139" w14:paraId="4D27A087" w14:textId="6D67BC10">
      <w:pPr>
        <w:pStyle w:val="NormalHanging12a"/>
        <w:rPr>
          <w:bCs/>
          <w:iCs/>
        </w:rPr>
      </w:pPr>
      <w:r>
        <w:t>52</w:t>
      </w:r>
      <w:r w:rsidRPr="00845879">
        <w:t>.</w:t>
      </w:r>
      <w:r w:rsidRPr="00845879">
        <w:tab/>
        <w:t xml:space="preserve">podkreśla znaczenie stosunków dobrosąsiedzkich i współpracy regionalnej jako zasadniczych elementów procesu rozszerzenia UE i z zadowoleniem przyjmuje aktywny udział Albanii w inicjatywach regionalnych; podkreśla potrzebę pogłębienia współpracy w dziedzinie bezpieczeństwa na Bałkanach Zachodnich oraz zacieśnienia koordynacji między partnerami regionalnymi w walce z przestępczością zorganizowaną, zagrożeniami </w:t>
      </w:r>
      <w:r w:rsidRPr="00845879">
        <w:t>cyberbezpieczeństwa</w:t>
      </w:r>
      <w:r w:rsidRPr="00845879">
        <w:t xml:space="preserve"> i wyzwaniami hybrydowymi; uznaje strategiczne znaczenie regionu Morza Adriatyckiego i Morza Jońskiego dla bezpieczeństwa oraz stabilności gospodarczej w Europie; wzywa Albanię do zwiększenia zdolności w zakresie bezpieczeństwa morskiego we współpracy z UE i NATO, w tym do wzmocnienia infrastruktury morskiej, poprawy systemów nadzoru i zintensyfikowania wysiłków na rzecz zwalczania nielegalnej działalności, takiej jak handel ludźmi; zachęca Albanię do pogłębienia współpracy z państwami nadbrzeżnymi UE w celu zapewnienia ochrony krytycznych szlaków morskich i zrównoważenia środowiskowego w regionie;</w:t>
      </w:r>
    </w:p>
    <w:p w:rsidR="00A43139" w:rsidRPr="00845879" w:rsidP="00A43139" w14:paraId="044633C3" w14:textId="3FA69F35">
      <w:pPr>
        <w:pStyle w:val="NormalHanging12a"/>
        <w:rPr>
          <w:bCs/>
          <w:iCs/>
        </w:rPr>
      </w:pPr>
      <w:r w:rsidRPr="00845879">
        <w:t>5</w:t>
      </w:r>
      <w:r w:rsidR="00A77DC2">
        <w:t>3</w:t>
      </w:r>
      <w:r w:rsidRPr="00845879">
        <w:t>.</w:t>
      </w:r>
      <w:r w:rsidRPr="00845879">
        <w:tab/>
        <w:t>ostrzega, że inicjatywy rozwijane poza ramami UE, np. inicjatywa „Otwarte Bałkany”, niosą ze sobą ryzyko tworzenia równoległych struktur, które mogą podważyć proces berliński i wspólny rynek regionalny Bałkanów Zachodnich;</w:t>
      </w:r>
    </w:p>
    <w:p w:rsidR="00A43139" w:rsidRPr="00845879" w:rsidP="00A43139" w14:paraId="143C75B7" w14:textId="77777777">
      <w:pPr>
        <w:pStyle w:val="NormalHanging12a"/>
        <w:rPr>
          <w:b/>
          <w:bCs/>
          <w:i/>
          <w:iCs/>
        </w:rPr>
      </w:pPr>
      <w:r w:rsidRPr="00845879">
        <w:rPr>
          <w:b/>
          <w:i/>
        </w:rPr>
        <w:t>Wsparcie UE</w:t>
      </w:r>
    </w:p>
    <w:p w:rsidR="00A43139" w:rsidRPr="00845879" w:rsidP="00A43139" w14:paraId="6E7CB7F5" w14:textId="76369595">
      <w:pPr>
        <w:pStyle w:val="NormalHanging12a"/>
      </w:pPr>
      <w:r w:rsidRPr="00845879">
        <w:t>5</w:t>
      </w:r>
      <w:r w:rsidR="00A77DC2">
        <w:t>4</w:t>
      </w:r>
      <w:r w:rsidRPr="00845879">
        <w:t>.</w:t>
      </w:r>
      <w:r w:rsidRPr="00845879">
        <w:tab/>
        <w:t>z zadowoleniem przyjmuje pomoc finansową i techniczną UE udzieloną Albanii w ramach IPA III oraz Instrumentu Wsparcia Reform i Wzrostu Gospodarczego oraz podkreśla, że takie wsparcie musi pozostać ściśle powiązane z konkretnym wdrożeniem reform i mierzalnymi wynikami; apeluje o większe wsparcie UE dla regionalnych inicjatyw w dziedzinie bezpieczeństwa, które zwiększają stabilność i odporność na Bałkanach Zachodnich; z zadowoleniem przyjmuje środki dwustronnej pomocy w ramach Europejskiego Instrumentu na rzecz Pokoju wspierające albańskie siły zbrojne, które zwiększają potencjał Albanii w kontekście udziału w misjach i operacjach w ramach wspólnej polityki bezpieczeństwa i obrony UE;</w:t>
      </w:r>
    </w:p>
    <w:p w:rsidR="00A43139" w:rsidRPr="00845879" w:rsidP="00A43139" w14:paraId="41AA20F9" w14:textId="27157376">
      <w:pPr>
        <w:pStyle w:val="NormalHanging12a"/>
        <w:rPr>
          <w:bCs/>
          <w:iCs/>
        </w:rPr>
      </w:pPr>
      <w:r w:rsidRPr="00845879">
        <w:t>5</w:t>
      </w:r>
      <w:r w:rsidR="00A77DC2">
        <w:t>5</w:t>
      </w:r>
      <w:r w:rsidRPr="00845879">
        <w:t>.</w:t>
      </w:r>
      <w:r w:rsidRPr="00845879">
        <w:tab/>
        <w:t>apeluje o wzmocnienie nadzoru i zapewnienie rzeczywistego udziału organizacji społeczeństwa obywatelskiego, stowarzyszeń przedsiębiorców i partnerów społecznych na wszystkich etapach realizacji Instrumentu Wsparcia Reform i Wzrostu Gospodarczego na Bałkanach Zachodnich, w tym w projektowaniu środków reform, wdrażaniu projektów i monitoringu rezultatów;</w:t>
      </w:r>
    </w:p>
    <w:p w:rsidR="00A43139" w:rsidRPr="00845879" w:rsidP="00A43139" w14:paraId="36BFCABF" w14:textId="7CFB32EE">
      <w:pPr>
        <w:pStyle w:val="NormalHanging12a"/>
        <w:rPr>
          <w:bCs/>
          <w:iCs/>
        </w:rPr>
      </w:pPr>
      <w:r w:rsidRPr="00845879">
        <w:t>5</w:t>
      </w:r>
      <w:r w:rsidR="00A77DC2">
        <w:t>6</w:t>
      </w:r>
      <w:r w:rsidRPr="00845879">
        <w:t>.</w:t>
      </w:r>
      <w:r w:rsidRPr="00845879">
        <w:tab/>
        <w:t>wzywa UE do zapewnienia dodatkowej pomocy finansowej i technicznej Albanii, w celu wsparcia zrównoważonego rozwoju obszarów wiejskich i zmniejszenia przepaści między obszarami miejskimi i wiejskimi zgodnie z polityką spójności UE;</w:t>
      </w:r>
    </w:p>
    <w:p w:rsidR="00A43139" w:rsidRPr="00845879" w:rsidP="00A43139" w14:paraId="76D1D681" w14:textId="4BDDD616">
      <w:pPr>
        <w:pStyle w:val="NormalHanging12a"/>
        <w:rPr>
          <w:bCs/>
          <w:iCs/>
        </w:rPr>
      </w:pPr>
      <w:r w:rsidRPr="00845879">
        <w:t>5</w:t>
      </w:r>
      <w:r w:rsidR="00A77DC2">
        <w:t>7</w:t>
      </w:r>
      <w:r w:rsidRPr="00845879">
        <w:t>.</w:t>
      </w:r>
      <w:r w:rsidRPr="00845879">
        <w:tab/>
        <w:t>wyraża zaniepokojenie poważnymi nieprawidłowościami stwierdzonymi przez Europejski Urząd ds. Zwalczania Nadużyć Finansowych w realizacji unijnego Instrumentu Pomocy Przedakcesyjnej w zakresie rozwoju obszarów wiejskich (IPARD II) w Albanii; podkreśla znaczenie zapewnienia pełnej przejrzystości, rozliczalności i skutecznych mechanizmów kontroli w korzystaniu z pomocy finansowej UE w celu ochrony unijnych interesów finansowych i utrzymania zaufania publicznego; wzywa do natychmiastowego wdrożenia niezbędnych środków naprawczych;</w:t>
      </w:r>
    </w:p>
    <w:p w:rsidR="00A43139" w:rsidRPr="00845879" w:rsidP="00A43139" w14:paraId="6B1EF9E3" w14:textId="186AED20">
      <w:pPr>
        <w:pStyle w:val="NormalHanging12a"/>
        <w:rPr>
          <w:bCs/>
          <w:iCs/>
        </w:rPr>
      </w:pPr>
      <w:r w:rsidRPr="00845879">
        <w:t>5</w:t>
      </w:r>
      <w:r w:rsidR="00A77DC2">
        <w:t>8</w:t>
      </w:r>
      <w:r w:rsidRPr="00845879">
        <w:t>.</w:t>
      </w:r>
      <w:r w:rsidRPr="00845879">
        <w:tab/>
        <w:t>wzywa Komisję do dalszego dostarczania jasnych wytycznych dotyczących priorytetów reform oraz do zapewnienia przejrzystego i rygorystycznego monitorowania postępów reform; ponadto wzywa Komisję do przeprowadzenia kampanii informacyjnej we wszystkich państwach członkowskich i w Albanii w celu wyjaśnienia obywatelom pozytywnego wpływu rozszerzenia UE;</w:t>
      </w:r>
    </w:p>
    <w:p w:rsidR="00A43139" w:rsidRPr="00845879" w:rsidP="00A43139" w14:paraId="1E657061" w14:textId="5917A403">
      <w:pPr>
        <w:pStyle w:val="NormalHanging12a"/>
        <w:rPr>
          <w:bCs/>
          <w:iCs/>
        </w:rPr>
      </w:pPr>
      <w:r w:rsidRPr="00845879">
        <w:t>5</w:t>
      </w:r>
      <w:r w:rsidR="00A77DC2">
        <w:t>9</w:t>
      </w:r>
      <w:r w:rsidRPr="00845879">
        <w:t>.</w:t>
      </w:r>
      <w:r w:rsidRPr="00845879">
        <w:tab/>
        <w:t xml:space="preserve">zachęca Komisję, wraz z Europejską Służbą Działań Zewnętrznych, aby dalej przyczyniały się do wzmacniania odporności Albanii na zagrożenia hybrydowe w dziedzinie </w:t>
      </w:r>
      <w:r w:rsidRPr="00845879">
        <w:t>cyberbezpieczeństwa</w:t>
      </w:r>
      <w:r w:rsidRPr="00845879">
        <w:t>, manipulacji informacją i ochrony infrastruktury krytycznej; podkreśla potrzebę lepszej koordynacji i przeciwdziałania dezinformacji i zagrożeniom hybrydowym, których celem jest podważenie poparcia opinii publicznej dla przystąpienia Albanii do UE, poprzez bardziej strategiczne podkreślanie znaczenia UE dla społeczeństwa Bałkanów Zachodnich;</w:t>
      </w:r>
    </w:p>
    <w:p w:rsidR="00A43139" w:rsidRPr="00845879" w:rsidP="00A43139" w14:paraId="51D0E890" w14:textId="77777777">
      <w:pPr>
        <w:pStyle w:val="NormalHanging12a"/>
        <w:jc w:val="center"/>
      </w:pPr>
      <w:r w:rsidRPr="00845879">
        <w:t>°</w:t>
      </w:r>
    </w:p>
    <w:p w:rsidR="00A43139" w:rsidRPr="00845879" w:rsidP="00A43139" w14:paraId="5676C4B0" w14:textId="77777777">
      <w:pPr>
        <w:pStyle w:val="NormalHanging12a"/>
        <w:jc w:val="center"/>
      </w:pPr>
      <w:r w:rsidRPr="00845879">
        <w:t>°</w:t>
      </w:r>
      <w:r w:rsidRPr="00845879">
        <w:tab/>
        <w:t>°</w:t>
      </w:r>
    </w:p>
    <w:p w:rsidR="00845879" w:rsidRPr="00845879" w:rsidP="00845879" w14:paraId="25646EC1" w14:textId="7AFBFA8D">
      <w:pPr>
        <w:pStyle w:val="NormalHanging12a"/>
      </w:pPr>
      <w:r>
        <w:t>60</w:t>
      </w:r>
      <w:r w:rsidRPr="00845879" w:rsidR="00A43139">
        <w:t>.</w:t>
      </w:r>
      <w:r w:rsidRPr="00845879" w:rsidR="00A43139">
        <w:tab/>
        <w:t>zobowiązuje swoją przewodniczącą do przekazania niniejszej rezolucji Radzie i Komisji, przewodniczącemu Rady Europejskiej, wiceprzewodniczącej Komisji / wysokiej przedstawicielce Unii do spraw zagranicznych i polityki bezpieczeństwa, rządom i parlamentom państw członkowskich oraz prezydentowi, rządowi i parlamentowi Republiki Albanii.</w:t>
      </w:r>
    </w:p>
    <w:p w:rsidR="00E365E1" w:rsidRPr="00845879" w:rsidP="00766B70" w14:paraId="187633A2" w14:textId="0A99D7F7"/>
    <w:sectPr w:rsidSect="008458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45879" w14:paraId="517E28E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45879" w14:paraId="676672FB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45879" w14:paraId="19F34093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66B70" w:rsidRPr="00845879" w14:paraId="64454BFF" w14:textId="77777777">
      <w:r w:rsidRPr="00845879">
        <w:separator/>
      </w:r>
    </w:p>
  </w:footnote>
  <w:footnote w:type="continuationSeparator" w:id="1">
    <w:p w:rsidR="00766B70" w:rsidRPr="00845879" w14:paraId="6A14BE81" w14:textId="77777777">
      <w:r w:rsidRPr="00845879">
        <w:continuationSeparator/>
      </w:r>
    </w:p>
  </w:footnote>
  <w:footnote w:id="2">
    <w:p w:rsidR="00A43139" w:rsidRPr="00845879" w:rsidP="00845879" w14:paraId="00CBEB21" w14:textId="5FCFAFCB">
      <w:pPr>
        <w:pStyle w:val="FootnoteText"/>
        <w:ind w:left="567" w:hanging="567"/>
        <w:rPr>
          <w:sz w:val="24"/>
          <w:lang w:val="pl-PL"/>
        </w:rPr>
      </w:pPr>
      <w:r w:rsidRPr="00845879">
        <w:rPr>
          <w:rStyle w:val="FootnoteReference"/>
          <w:sz w:val="24"/>
          <w:lang w:val="pl-PL"/>
        </w:rPr>
        <w:footnoteRef/>
      </w:r>
      <w:r w:rsidRPr="00845879" w:rsidR="00845879">
        <w:rPr>
          <w:sz w:val="24"/>
          <w:lang w:val="pl-PL"/>
        </w:rPr>
        <w:t xml:space="preserve"> </w:t>
      </w:r>
      <w:r w:rsidRPr="00845879" w:rsidR="00845879">
        <w:rPr>
          <w:sz w:val="24"/>
          <w:lang w:val="pl-PL"/>
        </w:rPr>
        <w:tab/>
      </w:r>
      <w:r w:rsidRPr="00845879">
        <w:rPr>
          <w:sz w:val="24"/>
          <w:lang w:val="pl-PL"/>
        </w:rPr>
        <w:t xml:space="preserve">Dz.U. L 107 z </w:t>
      </w:r>
      <w:r w:rsidRPr="00845879">
        <w:rPr>
          <w:sz w:val="24"/>
          <w:lang w:val="pl-PL"/>
        </w:rPr>
        <w:t>28.4.2009</w:t>
      </w:r>
      <w:r w:rsidRPr="00845879">
        <w:rPr>
          <w:sz w:val="24"/>
          <w:lang w:val="pl-PL"/>
        </w:rPr>
        <w:t xml:space="preserve">, s. 166, ELI: </w:t>
      </w:r>
      <w:hyperlink r:id="rId1" w:tooltip="Dostęp do dokumentu poprzez identyfikator URI w systemie ELI." w:history="1">
        <w:r w:rsidRPr="00845879">
          <w:rPr>
            <w:rStyle w:val="Hyperlink"/>
            <w:sz w:val="24"/>
            <w:lang w:val="pl-PL"/>
          </w:rPr>
          <w:t>http://data.europa.eu/eli/agree_internation/2009/332/oj</w:t>
        </w:r>
      </w:hyperlink>
      <w:r w:rsidRPr="00845879">
        <w:rPr>
          <w:sz w:val="24"/>
          <w:lang w:val="pl-PL"/>
        </w:rPr>
        <w:t>.</w:t>
      </w:r>
    </w:p>
  </w:footnote>
  <w:footnote w:id="3">
    <w:p w:rsidR="00A43139" w:rsidRPr="00845879" w:rsidP="00845879" w14:paraId="2A07EEF6" w14:textId="06BB7464">
      <w:pPr>
        <w:pStyle w:val="FootnoteText"/>
        <w:ind w:left="567" w:hanging="567"/>
        <w:rPr>
          <w:sz w:val="24"/>
          <w:lang w:val="pl-PL"/>
        </w:rPr>
      </w:pPr>
      <w:r w:rsidRPr="00845879">
        <w:rPr>
          <w:rStyle w:val="FootnoteReference"/>
          <w:sz w:val="24"/>
          <w:lang w:val="pl-PL"/>
        </w:rPr>
        <w:footnoteRef/>
      </w:r>
      <w:r w:rsidRPr="00845879" w:rsidR="00845879">
        <w:rPr>
          <w:sz w:val="24"/>
          <w:lang w:val="pl-PL"/>
        </w:rPr>
        <w:t xml:space="preserve"> </w:t>
      </w:r>
      <w:r w:rsidRPr="00845879" w:rsidR="00845879">
        <w:rPr>
          <w:sz w:val="24"/>
          <w:lang w:val="pl-PL"/>
        </w:rPr>
        <w:tab/>
      </w:r>
      <w:r w:rsidRPr="00845879">
        <w:rPr>
          <w:sz w:val="24"/>
          <w:lang w:val="pl-PL"/>
        </w:rPr>
        <w:t xml:space="preserve">Dz.U. L 330 z </w:t>
      </w:r>
      <w:r w:rsidRPr="00845879">
        <w:rPr>
          <w:sz w:val="24"/>
          <w:lang w:val="pl-PL"/>
        </w:rPr>
        <w:t>20.9.2021</w:t>
      </w:r>
      <w:r w:rsidRPr="00845879">
        <w:rPr>
          <w:sz w:val="24"/>
          <w:lang w:val="pl-PL"/>
        </w:rPr>
        <w:t xml:space="preserve">, s. 1, ELI: </w:t>
      </w:r>
      <w:hyperlink r:id="rId2" w:tooltip="Dostęp do dokumentu poprzez identyfikator URI w systemie ELI." w:history="1">
        <w:r w:rsidRPr="00845879">
          <w:rPr>
            <w:rStyle w:val="Hyperlink"/>
            <w:sz w:val="24"/>
            <w:lang w:val="pl-PL"/>
          </w:rPr>
          <w:t>http://data.europa.eu/eli/reg/2021/1529/oj</w:t>
        </w:r>
      </w:hyperlink>
      <w:r w:rsidRPr="00845879">
        <w:rPr>
          <w:sz w:val="24"/>
          <w:lang w:val="pl-PL"/>
        </w:rPr>
        <w:t>.</w:t>
      </w:r>
    </w:p>
  </w:footnote>
  <w:footnote w:id="4">
    <w:p w:rsidR="00A43139" w:rsidRPr="00A77DC2" w:rsidP="00845879" w14:paraId="0D672006" w14:textId="4959DF44">
      <w:pPr>
        <w:pStyle w:val="FootnoteText"/>
        <w:ind w:left="567" w:hanging="567"/>
        <w:rPr>
          <w:sz w:val="24"/>
          <w:lang w:val="fi-FI"/>
        </w:rPr>
      </w:pPr>
      <w:r w:rsidRPr="00845879">
        <w:rPr>
          <w:rStyle w:val="FootnoteReference"/>
          <w:sz w:val="24"/>
          <w:lang w:val="pl-PL"/>
        </w:rPr>
        <w:footnoteRef/>
      </w:r>
      <w:r w:rsidRPr="00A77DC2" w:rsidR="00845879">
        <w:rPr>
          <w:sz w:val="24"/>
          <w:lang w:val="fi-FI"/>
        </w:rPr>
        <w:t xml:space="preserve"> </w:t>
      </w:r>
      <w:r w:rsidRPr="00A77DC2" w:rsidR="00845879">
        <w:rPr>
          <w:sz w:val="24"/>
          <w:lang w:val="fi-FI"/>
        </w:rPr>
        <w:tab/>
      </w:r>
      <w:r w:rsidRPr="00A77DC2">
        <w:rPr>
          <w:sz w:val="24"/>
          <w:lang w:val="fi-FI"/>
        </w:rPr>
        <w:t>Dz.U</w:t>
      </w:r>
      <w:r w:rsidRPr="00A77DC2">
        <w:rPr>
          <w:sz w:val="24"/>
          <w:lang w:val="fi-FI"/>
        </w:rPr>
        <w:t xml:space="preserve">. L, 2024/1449, 24.5.2024, ELI: </w:t>
      </w:r>
      <w:hyperlink r:id="rId3" w:tgtFrame="_blank" w:tooltip="Dostęp do dokumentu poprzez identyfikator URI w systemie ELI." w:history="1">
        <w:r w:rsidRPr="00A77DC2">
          <w:rPr>
            <w:rStyle w:val="Hyperlink"/>
            <w:sz w:val="24"/>
            <w:lang w:val="fi-FI"/>
          </w:rPr>
          <w:t>http://data.europa.eu/eli/reg/2024/1449/oj</w:t>
        </w:r>
      </w:hyperlink>
      <w:r w:rsidRPr="00A77DC2">
        <w:rPr>
          <w:sz w:val="24"/>
          <w:lang w:val="fi-FI"/>
        </w:rPr>
        <w:t>.</w:t>
      </w:r>
    </w:p>
  </w:footnote>
  <w:footnote w:id="5">
    <w:p w:rsidR="00A43139" w:rsidRPr="00845879" w:rsidP="00845879" w14:paraId="48443E30" w14:textId="32AD8275">
      <w:pPr>
        <w:pStyle w:val="FootnoteText"/>
        <w:ind w:left="567" w:hanging="567"/>
        <w:rPr>
          <w:sz w:val="24"/>
          <w:lang w:val="pl-PL"/>
        </w:rPr>
      </w:pPr>
      <w:r w:rsidRPr="00845879">
        <w:rPr>
          <w:rStyle w:val="FootnoteReference"/>
          <w:sz w:val="24"/>
          <w:lang w:val="pl-PL"/>
        </w:rPr>
        <w:footnoteRef/>
      </w:r>
      <w:r w:rsidRPr="00845879" w:rsidR="00845879">
        <w:rPr>
          <w:sz w:val="24"/>
          <w:lang w:val="pl-PL"/>
        </w:rPr>
        <w:t xml:space="preserve"> </w:t>
      </w:r>
      <w:r w:rsidRPr="00845879" w:rsidR="00845879">
        <w:rPr>
          <w:sz w:val="24"/>
          <w:lang w:val="pl-PL"/>
        </w:rPr>
        <w:tab/>
      </w:r>
      <w:r w:rsidRPr="00845879">
        <w:rPr>
          <w:sz w:val="24"/>
          <w:lang w:val="pl-PL"/>
        </w:rPr>
        <w:t>Teksty przyjęte, P10_</w:t>
      </w:r>
      <w:r w:rsidRPr="00845879">
        <w:rPr>
          <w:sz w:val="24"/>
          <w:lang w:val="pl-PL"/>
        </w:rPr>
        <w:t>TA(</w:t>
      </w:r>
      <w:r w:rsidRPr="00845879">
        <w:rPr>
          <w:sz w:val="24"/>
          <w:lang w:val="pl-PL"/>
        </w:rPr>
        <w:t>2026)0077</w:t>
      </w:r>
    </w:p>
  </w:footnote>
  <w:footnote w:id="6">
    <w:p w:rsidR="00A43139" w:rsidRPr="00845879" w:rsidP="00845879" w14:paraId="7D129BE0" w14:textId="59B3A454">
      <w:pPr>
        <w:pStyle w:val="FootnoteText"/>
        <w:ind w:left="567" w:hanging="567"/>
        <w:rPr>
          <w:sz w:val="24"/>
          <w:lang w:val="pl-PL"/>
        </w:rPr>
      </w:pPr>
      <w:r w:rsidRPr="00845879">
        <w:rPr>
          <w:rStyle w:val="FootnoteReference"/>
          <w:sz w:val="24"/>
          <w:lang w:val="pl-PL"/>
        </w:rPr>
        <w:footnoteRef/>
      </w:r>
      <w:r w:rsidRPr="00845879" w:rsidR="00845879">
        <w:rPr>
          <w:sz w:val="24"/>
          <w:lang w:val="pl-PL"/>
        </w:rPr>
        <w:t xml:space="preserve"> </w:t>
      </w:r>
      <w:r w:rsidRPr="00845879" w:rsidR="00845879">
        <w:rPr>
          <w:sz w:val="24"/>
          <w:lang w:val="pl-PL"/>
        </w:rPr>
        <w:tab/>
      </w:r>
      <w:r w:rsidRPr="00845879">
        <w:rPr>
          <w:sz w:val="24"/>
          <w:lang w:val="pl-PL"/>
        </w:rPr>
        <w:t xml:space="preserve">Dyrektywa Parlamentu Europejskiego i Rady (UE) 2022/2555 z dnia 14 grudnia 2022 r. w sprawie środków na rzecz wysokiego wspólnego poziomu </w:t>
      </w:r>
      <w:r w:rsidRPr="00845879">
        <w:rPr>
          <w:sz w:val="24"/>
          <w:lang w:val="pl-PL"/>
        </w:rPr>
        <w:t>cyberbezpieczeństwa</w:t>
      </w:r>
      <w:r w:rsidRPr="00845879">
        <w:rPr>
          <w:sz w:val="24"/>
          <w:lang w:val="pl-PL"/>
        </w:rPr>
        <w:t xml:space="preserve"> na terytorium Unii, zmieniająca rozporządzenie (UE) nr 910/2014 i dyrektywę (UE) 2018/1972 oraz uchylająca dyrektywę (UE) 2016/1148 (dyrektywa NIS 2) (Dz.U. L 333 z 27.12.2022, s. 80, ELI: </w:t>
      </w:r>
      <w:hyperlink r:id="rId4" w:tooltip="Dostęp do dokumentu poprzez identyfikator URI w systemie ELI." w:history="1">
        <w:r w:rsidRPr="00845879">
          <w:rPr>
            <w:rStyle w:val="Hyperlink"/>
            <w:sz w:val="24"/>
            <w:lang w:val="pl-PL"/>
          </w:rPr>
          <w:t>http://data.europa.eu/eli/dir/2022/2555/oj</w:t>
        </w:r>
      </w:hyperlink>
      <w:r w:rsidRPr="00845879">
        <w:rPr>
          <w:sz w:val="24"/>
          <w:lang w:val="pl-PL"/>
        </w:rPr>
        <w:t>).</w:t>
      </w:r>
    </w:p>
  </w:footnote>
  <w:footnote w:id="7">
    <w:p w:rsidR="00A77DC2" w:rsidRPr="00704CD5" w:rsidP="00A77DC2" w14:paraId="6FDFA87E" w14:textId="77777777">
      <w:pPr>
        <w:pStyle w:val="FootnoteText"/>
        <w:ind w:left="567" w:hanging="567"/>
        <w:rPr>
          <w:sz w:val="24"/>
          <w:szCs w:val="24"/>
          <w:lang w:val="pl-PL"/>
        </w:rPr>
      </w:pPr>
      <w:r w:rsidRPr="00704CD5">
        <w:rPr>
          <w:rStyle w:val="FootnoteReference"/>
          <w:sz w:val="24"/>
          <w:szCs w:val="24"/>
        </w:rPr>
        <w:footnoteRef/>
      </w:r>
      <w:r w:rsidRPr="00704CD5">
        <w:rPr>
          <w:sz w:val="24"/>
          <w:szCs w:val="24"/>
          <w:lang w:val="pl-PL"/>
        </w:rPr>
        <w:t xml:space="preserve"> </w:t>
      </w:r>
      <w:r w:rsidRPr="00704CD5">
        <w:rPr>
          <w:sz w:val="24"/>
          <w:szCs w:val="24"/>
          <w:lang w:val="pl-PL"/>
        </w:rPr>
        <w:tab/>
        <w:t xml:space="preserve">Dyrektywa Parlamentu Europejskiego i Rady 2009/147/WE z dnia 30 listopada 2009 r. w sprawie ochrony dzikiego ptactwa (Dz.U. L 20 z </w:t>
      </w:r>
      <w:r w:rsidRPr="00704CD5">
        <w:rPr>
          <w:sz w:val="24"/>
          <w:szCs w:val="24"/>
          <w:lang w:val="pl-PL"/>
        </w:rPr>
        <w:t>26.1.2010</w:t>
      </w:r>
      <w:r w:rsidRPr="00704CD5">
        <w:rPr>
          <w:sz w:val="24"/>
          <w:szCs w:val="24"/>
          <w:lang w:val="pl-PL"/>
        </w:rPr>
        <w:t>, s. 7, ELI: </w:t>
      </w:r>
      <w:hyperlink r:id="rId5" w:tooltip="Dostęp do dokumentu poprzez identyfikator URI w systemie ELI." w:history="1">
        <w:r w:rsidRPr="00704CD5">
          <w:rPr>
            <w:rStyle w:val="Hyperlink"/>
            <w:sz w:val="24"/>
            <w:szCs w:val="24"/>
            <w:lang w:val="pl-PL"/>
          </w:rPr>
          <w:t>http://data.europa.eu/eli/dir/2009/147/oj</w:t>
        </w:r>
      </w:hyperlink>
      <w:r w:rsidRPr="00704CD5">
        <w:rPr>
          <w:sz w:val="24"/>
          <w:szCs w:val="24"/>
          <w:lang w:val="pl-PL"/>
        </w:rPr>
        <w:t>).</w:t>
      </w:r>
    </w:p>
  </w:footnote>
  <w:footnote w:id="8">
    <w:p w:rsidR="00A77DC2" w:rsidRPr="00704CD5" w:rsidP="00A77DC2" w14:paraId="724FE04F" w14:textId="77777777">
      <w:pPr>
        <w:pStyle w:val="FootnoteText"/>
        <w:ind w:left="567" w:hanging="567"/>
        <w:rPr>
          <w:sz w:val="24"/>
          <w:szCs w:val="24"/>
          <w:lang w:val="pl-PL"/>
        </w:rPr>
      </w:pPr>
      <w:r w:rsidRPr="00704CD5">
        <w:rPr>
          <w:rStyle w:val="FootnoteReference"/>
          <w:sz w:val="24"/>
          <w:szCs w:val="24"/>
        </w:rPr>
        <w:footnoteRef/>
      </w:r>
      <w:r w:rsidRPr="00704CD5">
        <w:rPr>
          <w:sz w:val="24"/>
          <w:szCs w:val="24"/>
          <w:lang w:val="pl-PL"/>
        </w:rPr>
        <w:t xml:space="preserve"> </w:t>
      </w:r>
      <w:r w:rsidRPr="00704CD5">
        <w:rPr>
          <w:sz w:val="24"/>
          <w:szCs w:val="24"/>
          <w:lang w:val="pl-PL"/>
        </w:rPr>
        <w:tab/>
        <w:t>Dyrektywa Rady 92/43/EWG z dnia 21 maja 1992 r. w sprawie ochrony siedlisk przyrodniczych oraz dzikiej fauny i flory (Dz.U. L 206 z </w:t>
      </w:r>
      <w:r w:rsidRPr="00704CD5">
        <w:rPr>
          <w:sz w:val="24"/>
          <w:szCs w:val="24"/>
          <w:lang w:val="pl-PL"/>
        </w:rPr>
        <w:t>22.7.1992</w:t>
      </w:r>
      <w:r w:rsidRPr="00704CD5">
        <w:rPr>
          <w:sz w:val="24"/>
          <w:szCs w:val="24"/>
          <w:lang w:val="pl-PL"/>
        </w:rPr>
        <w:t>, s. 7, ELI: </w:t>
      </w:r>
      <w:hyperlink r:id="rId6" w:tooltip="Dostęp do dokumentu poprzez identyfikator URI w systemie ELI." w:history="1">
        <w:r w:rsidRPr="00704CD5">
          <w:rPr>
            <w:rStyle w:val="Hyperlink"/>
            <w:sz w:val="24"/>
            <w:szCs w:val="24"/>
            <w:lang w:val="pl-PL"/>
          </w:rPr>
          <w:t>http://data.europa.eu/eli/dir/1992/43/oj</w:t>
        </w:r>
      </w:hyperlink>
      <w:r w:rsidRPr="00704CD5">
        <w:rPr>
          <w:sz w:val="24"/>
          <w:szCs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45879" w14:paraId="0EEDFFE1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45879" w14:paraId="0FA07263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45879" w14:paraId="5C4CD65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02059773">
    <w:abstractNumId w:val="9"/>
  </w:num>
  <w:num w:numId="2" w16cid:durableId="1648709488">
    <w:abstractNumId w:val="9"/>
  </w:num>
  <w:num w:numId="3" w16cid:durableId="1336615904">
    <w:abstractNumId w:val="7"/>
  </w:num>
  <w:num w:numId="4" w16cid:durableId="1728454772">
    <w:abstractNumId w:val="7"/>
  </w:num>
  <w:num w:numId="5" w16cid:durableId="808785891">
    <w:abstractNumId w:val="6"/>
  </w:num>
  <w:num w:numId="6" w16cid:durableId="659044974">
    <w:abstractNumId w:val="6"/>
  </w:num>
  <w:num w:numId="7" w16cid:durableId="1344866863">
    <w:abstractNumId w:val="5"/>
  </w:num>
  <w:num w:numId="8" w16cid:durableId="1450322332">
    <w:abstractNumId w:val="5"/>
  </w:num>
  <w:num w:numId="9" w16cid:durableId="169683437">
    <w:abstractNumId w:val="4"/>
  </w:num>
  <w:num w:numId="10" w16cid:durableId="113212442">
    <w:abstractNumId w:val="4"/>
  </w:num>
  <w:num w:numId="11" w16cid:durableId="1433670163">
    <w:abstractNumId w:val="8"/>
  </w:num>
  <w:num w:numId="12" w16cid:durableId="249119487">
    <w:abstractNumId w:val="8"/>
  </w:num>
  <w:num w:numId="13" w16cid:durableId="214584485">
    <w:abstractNumId w:val="3"/>
  </w:num>
  <w:num w:numId="14" w16cid:durableId="261450983">
    <w:abstractNumId w:val="3"/>
  </w:num>
  <w:num w:numId="15" w16cid:durableId="534082763">
    <w:abstractNumId w:val="2"/>
  </w:num>
  <w:num w:numId="16" w16cid:durableId="1294562692">
    <w:abstractNumId w:val="2"/>
  </w:num>
  <w:num w:numId="17" w16cid:durableId="674302317">
    <w:abstractNumId w:val="1"/>
  </w:num>
  <w:num w:numId="18" w16cid:durableId="461850184">
    <w:abstractNumId w:val="1"/>
  </w:num>
  <w:num w:numId="19" w16cid:durableId="1007058352">
    <w:abstractNumId w:val="0"/>
  </w:num>
  <w:num w:numId="20" w16cid:durableId="1086682529">
    <w:abstractNumId w:val="0"/>
  </w:num>
  <w:num w:numId="21" w16cid:durableId="2068798895">
    <w:abstractNumId w:val="9"/>
  </w:num>
  <w:num w:numId="22" w16cid:durableId="1059675036">
    <w:abstractNumId w:val="7"/>
  </w:num>
  <w:num w:numId="23" w16cid:durableId="1180238959">
    <w:abstractNumId w:val="6"/>
  </w:num>
  <w:num w:numId="24" w16cid:durableId="2035764044">
    <w:abstractNumId w:val="5"/>
  </w:num>
  <w:num w:numId="25" w16cid:durableId="1684895584">
    <w:abstractNumId w:val="4"/>
  </w:num>
  <w:num w:numId="26" w16cid:durableId="1314068593">
    <w:abstractNumId w:val="8"/>
  </w:num>
  <w:num w:numId="27" w16cid:durableId="1644701075">
    <w:abstractNumId w:val="3"/>
  </w:num>
  <w:num w:numId="28" w16cid:durableId="1575049078">
    <w:abstractNumId w:val="2"/>
  </w:num>
  <w:num w:numId="29" w16cid:durableId="1420757735">
    <w:abstractNumId w:val="1"/>
  </w:num>
  <w:num w:numId="30" w16cid:durableId="993680295">
    <w:abstractNumId w:val="0"/>
  </w:num>
  <w:num w:numId="31" w16cid:durableId="484245771">
    <w:abstractNumId w:val="9"/>
  </w:num>
  <w:num w:numId="32" w16cid:durableId="1233587691">
    <w:abstractNumId w:val="7"/>
  </w:num>
  <w:num w:numId="33" w16cid:durableId="732049964">
    <w:abstractNumId w:val="6"/>
  </w:num>
  <w:num w:numId="34" w16cid:durableId="240793771">
    <w:abstractNumId w:val="5"/>
  </w:num>
  <w:num w:numId="35" w16cid:durableId="1381398159">
    <w:abstractNumId w:val="4"/>
  </w:num>
  <w:num w:numId="36" w16cid:durableId="1506939723">
    <w:abstractNumId w:val="8"/>
  </w:num>
  <w:num w:numId="37" w16cid:durableId="1054475499">
    <w:abstractNumId w:val="3"/>
  </w:num>
  <w:num w:numId="38" w16cid:durableId="508328807">
    <w:abstractNumId w:val="2"/>
  </w:num>
  <w:num w:numId="39" w16cid:durableId="1597864459">
    <w:abstractNumId w:val="1"/>
  </w:num>
  <w:num w:numId="40" w16cid:durableId="945700622">
    <w:abstractNumId w:val="0"/>
  </w:num>
  <w:num w:numId="41" w16cid:durableId="1546333031">
    <w:abstractNumId w:val="10"/>
  </w:num>
  <w:num w:numId="42" w16cid:durableId="1971781842">
    <w:abstractNumId w:val="10"/>
  </w:num>
  <w:num w:numId="43" w16cid:durableId="648900707">
    <w:abstractNumId w:val="10"/>
  </w:num>
  <w:num w:numId="44" w16cid:durableId="15689586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B7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79A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35D4"/>
    <w:rsid w:val="005C2568"/>
    <w:rsid w:val="005F1B17"/>
    <w:rsid w:val="006037C0"/>
    <w:rsid w:val="00630E9D"/>
    <w:rsid w:val="006631B6"/>
    <w:rsid w:val="00680577"/>
    <w:rsid w:val="006F74FA"/>
    <w:rsid w:val="00704CD5"/>
    <w:rsid w:val="00731ADD"/>
    <w:rsid w:val="00734777"/>
    <w:rsid w:val="00747932"/>
    <w:rsid w:val="00751A4A"/>
    <w:rsid w:val="00756632"/>
    <w:rsid w:val="00762C74"/>
    <w:rsid w:val="00766B70"/>
    <w:rsid w:val="00786EC0"/>
    <w:rsid w:val="007D1690"/>
    <w:rsid w:val="007E22AD"/>
    <w:rsid w:val="00817416"/>
    <w:rsid w:val="00842779"/>
    <w:rsid w:val="00845879"/>
    <w:rsid w:val="00865F67"/>
    <w:rsid w:val="00881A7B"/>
    <w:rsid w:val="008840E5"/>
    <w:rsid w:val="00887B3E"/>
    <w:rsid w:val="008C2AC6"/>
    <w:rsid w:val="008F4A03"/>
    <w:rsid w:val="00930C23"/>
    <w:rsid w:val="0093193B"/>
    <w:rsid w:val="009509D8"/>
    <w:rsid w:val="00950B64"/>
    <w:rsid w:val="00981893"/>
    <w:rsid w:val="00A1687D"/>
    <w:rsid w:val="00A43139"/>
    <w:rsid w:val="00A43E52"/>
    <w:rsid w:val="00A4678D"/>
    <w:rsid w:val="00A652AA"/>
    <w:rsid w:val="00A778C7"/>
    <w:rsid w:val="00A77DC2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41/2026"/>
    <w:docVar w:name="dvlangue" w:val="PL"/>
    <w:docVar w:name="dvnumam" w:val="0"/>
    <w:docVar w:name="dvpe" w:val="784.259"/>
    <w:docVar w:name="dvrapporteur" w:val="Sprawozdawca: "/>
    <w:docVar w:name="dvstar" w:val="??"/>
    <w:docVar w:name="dvtitre" w:val="Rezolucja Parlamentu Europejskiego z dnia  2026 r. w sprawie sprawozdania Komisji dotyczącego Albanii – 2025 r.(2025/2250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4A4317C"/>
  <w15:chartTrackingRefBased/>
  <w15:docId w15:val="{48985D67-33BB-4085-83C1-F0EADA369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43139"/>
    <w:pPr>
      <w:spacing w:after="240"/>
      <w:ind w:left="567" w:hanging="567"/>
    </w:pPr>
  </w:style>
  <w:style w:type="paragraph" w:customStyle="1" w:styleId="EPComma">
    <w:name w:val="EPComma"/>
    <w:basedOn w:val="Normal"/>
    <w:rsid w:val="00A43139"/>
    <w:pPr>
      <w:spacing w:before="480" w:after="240"/>
    </w:pPr>
  </w:style>
  <w:style w:type="character" w:styleId="Hyperlink">
    <w:name w:val="Hyperlink"/>
    <w:basedOn w:val="DefaultParagraphFont"/>
    <w:unhideWhenUsed/>
    <w:rsid w:val="00A43139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A43139"/>
    <w:rPr>
      <w:sz w:val="24"/>
      <w:lang w:val="pl-PL"/>
    </w:rPr>
  </w:style>
  <w:style w:type="paragraph" w:styleId="Revision">
    <w:name w:val="Revision"/>
    <w:hidden/>
    <w:uiPriority w:val="99"/>
    <w:semiHidden/>
    <w:rsid w:val="00630E9D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nation/2009/332/oj" TargetMode="External" /><Relationship Id="rId2" Type="http://schemas.openxmlformats.org/officeDocument/2006/relationships/hyperlink" Target="http://data.europa.eu/eli/reg/2021/1529/oj" TargetMode="External" /><Relationship Id="rId3" Type="http://schemas.openxmlformats.org/officeDocument/2006/relationships/hyperlink" Target="http://data.europa.eu/eli/reg/2024/1449/oj" TargetMode="External" /><Relationship Id="rId4" Type="http://schemas.openxmlformats.org/officeDocument/2006/relationships/hyperlink" Target="http://data.europa.eu/eli/dir/2022/2555/oj" TargetMode="External" /><Relationship Id="rId5" Type="http://schemas.openxmlformats.org/officeDocument/2006/relationships/hyperlink" Target="http://data.europa.eu/eli/dir/2009/147/oj" TargetMode="External" /><Relationship Id="rId6" Type="http://schemas.openxmlformats.org/officeDocument/2006/relationships/hyperlink" Target="http://data.europa.eu/eli/dir/1992/4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4790</Words>
  <Characters>33191</Characters>
  <Application>Microsoft Office Word</Application>
  <DocSecurity>0</DocSecurity>
  <Lines>614</Lines>
  <Paragraphs>199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2026-06-17T14:20:00Z</dcterms:created>
  <dcterms:modified xsi:type="dcterms:W3CDTF">2026-06-17T14:20:00Z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A10-0141/2026</vt:lpwstr>
  </property>
  <property fmtid="{D5CDD505-2E9C-101B-9397-08002B2CF9AE}" pid="4" name="&lt;Type&gt;">
    <vt:lpwstr>RR</vt:lpwstr>
  </property>
</Properties>
</file>