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8FA6C2" w14:textId="77777777" w:rsidTr="0010095E">
        <w:tblPrEx>
          <w:tblW w:w="9072" w:type="dxa"/>
          <w:tblLook w:val="01E0"/>
        </w:tblPrEx>
        <w:trPr>
          <w:trHeight w:hRule="exact" w:val="1418"/>
        </w:trPr>
        <w:tc>
          <w:tcPr>
            <w:tcW w:w="6804" w:type="dxa"/>
            <w:shd w:val="clear" w:color="auto" w:fill="auto"/>
            <w:vAlign w:val="center"/>
          </w:tcPr>
          <w:p w:rsidR="00751A4A" w:rsidRPr="009309DB" w:rsidP="0010095E" w14:paraId="03EBB77B" w14:textId="7AB6D3E3">
            <w:pPr>
              <w:pStyle w:val="EPName"/>
            </w:pPr>
            <w:r w:rsidRPr="009309DB">
              <w:t>Parlamentul European</w:t>
            </w:r>
          </w:p>
          <w:p w:rsidR="00751A4A" w:rsidRPr="009309DB" w:rsidP="005F1B17" w14:paraId="04EAA2DC" w14:textId="77777777">
            <w:pPr>
              <w:pStyle w:val="EPTerm"/>
              <w:rPr>
                <w:rStyle w:val="HideTWBExt"/>
                <w:noProof w:val="0"/>
                <w:vanish w:val="0"/>
                <w:color w:val="auto"/>
              </w:rPr>
            </w:pPr>
            <w:r w:rsidRPr="009309DB">
              <w:t>2024</w:t>
            </w:r>
            <w:r w:rsidRPr="009309DB" w:rsidR="00817416">
              <w:t>-202</w:t>
            </w:r>
            <w:r w:rsidRPr="009309DB">
              <w:t>9</w:t>
            </w:r>
          </w:p>
        </w:tc>
        <w:tc>
          <w:tcPr>
            <w:tcW w:w="2268" w:type="dxa"/>
            <w:shd w:val="clear" w:color="auto" w:fill="auto"/>
          </w:tcPr>
          <w:p w:rsidR="00751A4A" w:rsidRPr="009309DB" w:rsidP="0010095E" w14:paraId="387675BD" w14:textId="77777777">
            <w:pPr>
              <w:pStyle w:val="EPLogo"/>
            </w:pPr>
            <w:r w:rsidRPr="009309D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309DB" w:rsidP="004C5D52" w14:paraId="28FD24D0" w14:textId="77777777">
      <w:pPr>
        <w:pStyle w:val="LineTop"/>
      </w:pPr>
    </w:p>
    <w:p w:rsidR="00680577" w:rsidRPr="009309DB" w:rsidP="00680577" w14:paraId="127A0C38" w14:textId="34B88138">
      <w:pPr>
        <w:pStyle w:val="EPBodyTA1"/>
      </w:pPr>
      <w:r w:rsidRPr="009309DB">
        <w:t>TEXTE ADOPTATE</w:t>
      </w:r>
    </w:p>
    <w:p w:rsidR="00D058B8" w:rsidRPr="009309DB" w:rsidP="00D058B8" w14:paraId="6F336CD9" w14:textId="77777777">
      <w:pPr>
        <w:pStyle w:val="LineBottom"/>
      </w:pPr>
    </w:p>
    <w:p w:rsidR="00DE2872" w:rsidRPr="009309DB" w:rsidP="00DE2872" w14:paraId="220124D4" w14:textId="743D25F6">
      <w:pPr>
        <w:pStyle w:val="ATHeading1"/>
      </w:pPr>
      <w:bookmarkStart w:id="0" w:name="TANumber"/>
      <w:r w:rsidRPr="009309DB">
        <w:t>P10_TA(2026)0</w:t>
      </w:r>
      <w:bookmarkEnd w:id="0"/>
      <w:r w:rsidRPr="009309DB" w:rsidR="00BE2FF6">
        <w:t>217</w:t>
      </w:r>
    </w:p>
    <w:p w:rsidR="00DE2872" w:rsidRPr="009309DB" w:rsidP="00DE2872" w14:paraId="18273456" w14:textId="68E6516A">
      <w:pPr>
        <w:pStyle w:val="ATHeading2"/>
      </w:pPr>
      <w:bookmarkStart w:id="1" w:name="title"/>
      <w:r w:rsidRPr="009309DB">
        <w:t>Raportul Comisiei pe 2025</w:t>
      </w:r>
      <w:bookmarkEnd w:id="1"/>
      <w:r w:rsidRPr="009309DB" w:rsidR="00A93D88">
        <w:t xml:space="preserve"> privind Albania</w:t>
      </w:r>
    </w:p>
    <w:p w:rsidR="00DE2872" w:rsidRPr="009309DB" w:rsidP="00DE2872" w14:paraId="5E7F4C41" w14:textId="77777777">
      <w:pPr>
        <w:rPr>
          <w:i/>
          <w:vanish/>
        </w:rPr>
      </w:pPr>
      <w:r>
        <w:rPr>
          <w:i/>
        </w:rPr>
        <w:fldChar w:fldCharType="begin"/>
      </w:r>
      <w:r w:rsidRPr="009309DB">
        <w:rPr>
          <w:i/>
        </w:rPr>
        <w:instrText xml:space="preserve"> TC"(</w:instrText>
      </w:r>
      <w:bookmarkStart w:id="2" w:name="DocNumber"/>
      <w:r w:rsidRPr="009309DB">
        <w:rPr>
          <w:i/>
        </w:rPr>
        <w:instrText>A10-0141/2026</w:instrText>
      </w:r>
      <w:bookmarkEnd w:id="2"/>
      <w:r w:rsidRPr="009309DB">
        <w:rPr>
          <w:i/>
        </w:rPr>
        <w:instrText xml:space="preserve"> - Raportor: Andreas Schieder)"\l3 \n&gt; \* MERGEFORMAT </w:instrText>
      </w:r>
      <w:r>
        <w:rPr>
          <w:i/>
        </w:rPr>
        <w:fldChar w:fldCharType="end"/>
      </w:r>
    </w:p>
    <w:p w:rsidR="00DE2872" w:rsidRPr="009309DB" w:rsidP="00DE2872" w14:paraId="65696CF7" w14:textId="77777777">
      <w:pPr>
        <w:rPr>
          <w:vanish/>
        </w:rPr>
      </w:pPr>
      <w:bookmarkStart w:id="3" w:name="Commission"/>
      <w:r w:rsidRPr="009309DB">
        <w:rPr>
          <w:vanish/>
        </w:rPr>
        <w:t>Comisia pentru afaceri externe</w:t>
      </w:r>
      <w:bookmarkEnd w:id="3"/>
    </w:p>
    <w:p w:rsidR="00DE2872" w:rsidRPr="009309DB" w:rsidP="00DE2872" w14:paraId="2AEA2378" w14:textId="77777777">
      <w:pPr>
        <w:rPr>
          <w:vanish/>
        </w:rPr>
      </w:pPr>
      <w:bookmarkStart w:id="4" w:name="PE"/>
      <w:r w:rsidRPr="009309DB">
        <w:rPr>
          <w:vanish/>
        </w:rPr>
        <w:t>PE784.259</w:t>
      </w:r>
      <w:bookmarkEnd w:id="4"/>
    </w:p>
    <w:p w:rsidR="00DE2872" w:rsidRPr="009309DB" w:rsidP="00DE2872" w14:paraId="78A8864A" w14:textId="517C189D">
      <w:pPr>
        <w:pStyle w:val="ATHeading3"/>
      </w:pPr>
      <w:bookmarkStart w:id="5" w:name="Sujet"/>
      <w:r w:rsidRPr="009309DB">
        <w:t>Rezoluția Parlamentului European din 1</w:t>
      </w:r>
      <w:r w:rsidRPr="009309DB" w:rsidR="00DE4787">
        <w:t>7</w:t>
      </w:r>
      <w:r w:rsidRPr="009309DB">
        <w:t xml:space="preserve"> iunie 2026 referitoare la raportul Comisiei pe 2025</w:t>
      </w:r>
      <w:bookmarkEnd w:id="5"/>
      <w:r w:rsidRPr="009309DB">
        <w:t xml:space="preserve"> </w:t>
      </w:r>
      <w:bookmarkStart w:id="6" w:name="References"/>
      <w:r w:rsidRPr="009309DB" w:rsidR="00A93D88">
        <w:t xml:space="preserve">privind Albania </w:t>
      </w:r>
      <w:r w:rsidRPr="009309DB">
        <w:t>(2025/2250(INI))</w:t>
      </w:r>
      <w:bookmarkEnd w:id="6"/>
    </w:p>
    <w:p w:rsidR="00615219" w:rsidRPr="009309DB" w:rsidP="00615219" w14:paraId="30B8F2B7" w14:textId="77777777">
      <w:pPr>
        <w:pStyle w:val="EPComma"/>
      </w:pPr>
      <w:r w:rsidRPr="009309DB">
        <w:rPr>
          <w:i/>
          <w:iCs/>
        </w:rPr>
        <w:t>Parlamentul European</w:t>
      </w:r>
      <w:r w:rsidRPr="009309DB">
        <w:t>,</w:t>
      </w:r>
    </w:p>
    <w:p w:rsidR="00615219" w:rsidRPr="009309DB" w:rsidP="00615219" w14:paraId="42442B86" w14:textId="77777777">
      <w:pPr>
        <w:pStyle w:val="NormalHanging12a"/>
      </w:pPr>
      <w:r w:rsidRPr="009309DB">
        <w:t>–</w:t>
      </w:r>
      <w:r w:rsidRPr="009309DB">
        <w:tab/>
        <w:t>având în vedere Acordul de stabilizare și asociere dintre Comunitățile Europene și statele membre ale acestora, pe de o parte, și Republica Albania, pe de altă parte</w:t>
      </w:r>
      <w:r>
        <w:rPr>
          <w:vertAlign w:val="superscript"/>
        </w:rPr>
        <w:footnoteReference w:id="2"/>
      </w:r>
      <w:r w:rsidRPr="009309DB">
        <w:t>,</w:t>
      </w:r>
    </w:p>
    <w:p w:rsidR="00615219" w:rsidRPr="009309DB" w:rsidP="00615219" w14:paraId="4C4693BD" w14:textId="77777777">
      <w:pPr>
        <w:pStyle w:val="NormalHanging12a"/>
      </w:pPr>
      <w:r w:rsidRPr="009309DB">
        <w:t>–</w:t>
      </w:r>
      <w:r w:rsidRPr="009309DB">
        <w:tab/>
        <w:t>având în vedere cererea de aderare la UE prezentată de Albania la 24 aprilie 2009,</w:t>
      </w:r>
    </w:p>
    <w:p w:rsidR="00615219" w:rsidRPr="009309DB" w:rsidP="00615219" w14:paraId="4A9E8E41" w14:textId="77777777">
      <w:pPr>
        <w:pStyle w:val="NormalHanging12a"/>
      </w:pPr>
      <w:r w:rsidRPr="009309DB">
        <w:t>–</w:t>
      </w:r>
      <w:r w:rsidRPr="009309DB">
        <w:tab/>
        <w:t>având în vedere Regulamentul (UE) 2021/1529 al Parlamentului European și al Consiliului din 15 septembrie 2021 de instituire a Instrumentului de asistență pentru preaderare (IPA III)</w:t>
      </w:r>
      <w:r>
        <w:rPr>
          <w:vertAlign w:val="superscript"/>
        </w:rPr>
        <w:footnoteReference w:id="3"/>
      </w:r>
      <w:r w:rsidRPr="009309DB">
        <w:t>,</w:t>
      </w:r>
    </w:p>
    <w:p w:rsidR="00615219" w:rsidRPr="009309DB" w:rsidP="00615219" w14:paraId="3FC4303A" w14:textId="77777777">
      <w:pPr>
        <w:pStyle w:val="NormalHanging12a"/>
      </w:pPr>
      <w:r w:rsidRPr="009309DB">
        <w:t>–</w:t>
      </w:r>
      <w:r w:rsidRPr="009309DB">
        <w:tab/>
        <w:t>având în vedere Regulamentul (UE) 2024/1449 al Parlamentului European și al Consiliului din 14 mai 2024 privind instituirea Mecanismului de reformă și creștere pentru Balcanii de Vest</w:t>
      </w:r>
      <w:r>
        <w:rPr>
          <w:vertAlign w:val="superscript"/>
        </w:rPr>
        <w:footnoteReference w:id="4"/>
      </w:r>
      <w:r w:rsidRPr="009309DB">
        <w:t>,</w:t>
      </w:r>
    </w:p>
    <w:p w:rsidR="00615219" w:rsidRPr="009309DB" w:rsidP="00615219" w14:paraId="647AE807" w14:textId="77777777">
      <w:pPr>
        <w:pStyle w:val="NormalHanging12a"/>
      </w:pPr>
      <w:r w:rsidRPr="009309DB">
        <w:t>–</w:t>
      </w:r>
      <w:r w:rsidRPr="009309DB">
        <w:tab/>
        <w:t>având în vedere comunicarea Comisiei din 5 februarie 2020 intitulată „Consolidarea procesului de aderare – O perspectivă credibilă de aderare la UE pentru Balcanii de Vest” (COM(2020)0057),</w:t>
      </w:r>
    </w:p>
    <w:p w:rsidR="00615219" w:rsidRPr="009309DB" w:rsidP="00615219" w14:paraId="5A242EE8" w14:textId="77777777">
      <w:pPr>
        <w:pStyle w:val="NormalHanging12a"/>
        <w:rPr>
          <w:bCs/>
          <w:iCs/>
          <w:szCs w:val="24"/>
        </w:rPr>
      </w:pPr>
      <w:r w:rsidRPr="009309DB">
        <w:t>–</w:t>
      </w:r>
      <w:r w:rsidRPr="009309DB">
        <w:tab/>
        <w:t>având în vedere cadrul de negociere al UE cu Albania, aprobat de Consiliu în iulie 2022, care stabilește orientările și principiile pentru negocierile de aderare a Albaniei la UE,</w:t>
      </w:r>
    </w:p>
    <w:p w:rsidR="00615219" w:rsidRPr="009309DB" w:rsidP="00615219" w14:paraId="3928565E" w14:textId="77777777">
      <w:pPr>
        <w:pStyle w:val="NormalHanging12a"/>
      </w:pPr>
      <w:r w:rsidRPr="009309DB">
        <w:t>–</w:t>
      </w:r>
      <w:r w:rsidRPr="009309DB">
        <w:tab/>
        <w:t>având în vedere comunicarea Comisiei din 8 noiembrie 2023 intitulată „Un nou plan de creștere pentru Balcanii de Vest” (COM(2023)0691),</w:t>
      </w:r>
    </w:p>
    <w:p w:rsidR="00615219" w:rsidRPr="009309DB" w:rsidP="00615219" w14:paraId="5B86370D" w14:textId="77777777">
      <w:pPr>
        <w:pStyle w:val="NormalHanging12a"/>
      </w:pPr>
      <w:r w:rsidRPr="009309DB">
        <w:t>–</w:t>
      </w:r>
      <w:r w:rsidRPr="009309DB">
        <w:tab/>
        <w:t xml:space="preserve">având în vedere Agenda de reformă a Albaniei prezentată în cadrul Mecanismului de reformă și creștere al UE pentru Balcanii de Vest, aprobată de Comisie la 23 octombrie </w:t>
      </w:r>
      <w:r w:rsidRPr="009309DB">
        <w:t>2024,</w:t>
      </w:r>
    </w:p>
    <w:p w:rsidR="00615219" w:rsidRPr="009309DB" w:rsidP="00615219" w14:paraId="46FAE4EF" w14:textId="77777777">
      <w:pPr>
        <w:pStyle w:val="NormalHanging12a"/>
      </w:pPr>
      <w:r w:rsidRPr="009309DB">
        <w:t>–</w:t>
      </w:r>
      <w:r w:rsidRPr="009309DB">
        <w:tab/>
        <w:t>având în vedere comunicarea Comisiei din 8 iulie 2025 intitulată „Raportul din 2025 privind statul de drept” (COM(2025)0900), și documentul de lucru însoțitor al serviciilor Comisiei intitulat „Raportul pe 2025 privind statul de drept – Capitolul de țară privind situația statului de drept în Albania” (SWD(2025)0928),</w:t>
      </w:r>
    </w:p>
    <w:p w:rsidR="00615219" w:rsidRPr="009309DB" w:rsidP="00615219" w14:paraId="222D7E4A" w14:textId="77777777">
      <w:pPr>
        <w:pStyle w:val="NormalHanging12a"/>
      </w:pPr>
      <w:r w:rsidRPr="009309DB">
        <w:t>–</w:t>
      </w:r>
      <w:r w:rsidRPr="009309DB">
        <w:tab/>
        <w:t>având în vedere comunicarea Comisiei din 4 noiembrie 2025 intitulată „Comunicarea din 2025 privind politica de extindere a UE” (COM(2025)0690) și documentul de lucru însoțitor al serviciilor Comisiei intitulat „Raportul pe 2025 privind Albania” (SWD(2025)0750),</w:t>
      </w:r>
    </w:p>
    <w:p w:rsidR="00615219" w:rsidRPr="009309DB" w:rsidP="00615219" w14:paraId="4652B214" w14:textId="77777777">
      <w:pPr>
        <w:pStyle w:val="NormalHanging12a"/>
      </w:pPr>
      <w:r w:rsidRPr="009309DB">
        <w:t>–</w:t>
      </w:r>
      <w:r w:rsidRPr="009309DB">
        <w:tab/>
        <w:t>având în vedere raportul final din 23 octombrie 2025 al misiunii de observare a alegerilor a Biroului pentru Instituții Democratice și Drepturile Omului (ODIHR) al Organizației pentru Securitate și Cooperare în Europa cu privire la alegerile parlamentare din Albania desfășurate la 11 mai 2025,</w:t>
      </w:r>
    </w:p>
    <w:p w:rsidR="00615219" w:rsidRPr="009309DB" w:rsidP="00615219" w14:paraId="6D8670E5" w14:textId="77777777">
      <w:pPr>
        <w:pStyle w:val="NormalHanging12a"/>
      </w:pPr>
      <w:r w:rsidRPr="009309DB">
        <w:t>–</w:t>
      </w:r>
      <w:r w:rsidRPr="009309DB">
        <w:tab/>
        <w:t xml:space="preserve">având în vedere declarația adoptată cu ocazia </w:t>
      </w:r>
      <w:r w:rsidRPr="009309DB">
        <w:t>summitului</w:t>
      </w:r>
      <w:r w:rsidRPr="009309DB">
        <w:t xml:space="preserve"> UE-Balcanii de Vest de la Bruxelles din 17 decembrie 2025,</w:t>
      </w:r>
    </w:p>
    <w:p w:rsidR="00615219" w:rsidRPr="009309DB" w:rsidP="00615219" w14:paraId="59A5F3E8" w14:textId="77777777">
      <w:pPr>
        <w:pStyle w:val="NormalHanging12a"/>
        <w:rPr>
          <w:bCs/>
          <w:iCs/>
          <w:szCs w:val="24"/>
        </w:rPr>
      </w:pPr>
      <w:r w:rsidRPr="009309DB">
        <w:t>–</w:t>
      </w:r>
      <w:r w:rsidRPr="009309DB">
        <w:tab/>
        <w:t xml:space="preserve">având în vedere </w:t>
      </w:r>
      <w:r w:rsidRPr="009309DB">
        <w:t>summiturile</w:t>
      </w:r>
      <w:r w:rsidRPr="009309DB">
        <w:t xml:space="preserve"> UE-Balcanii de Vest, care au avut loc la Sofia, Zagreb și </w:t>
      </w:r>
      <w:r w:rsidRPr="009309DB">
        <w:t>Brdo</w:t>
      </w:r>
      <w:r w:rsidRPr="009309DB">
        <w:t xml:space="preserve"> </w:t>
      </w:r>
      <w:r w:rsidRPr="009309DB">
        <w:t>pri</w:t>
      </w:r>
      <w:r w:rsidRPr="009309DB">
        <w:t xml:space="preserve"> </w:t>
      </w:r>
      <w:r w:rsidRPr="009309DB">
        <w:t>Kranju</w:t>
      </w:r>
      <w:r w:rsidRPr="009309DB">
        <w:t xml:space="preserve"> în 2018, 2020 și, respectiv, 2021, precum și declarațiile acestora,</w:t>
      </w:r>
    </w:p>
    <w:p w:rsidR="00615219" w:rsidRPr="009309DB" w:rsidP="00615219" w14:paraId="4E8AE8B7" w14:textId="77777777">
      <w:pPr>
        <w:pStyle w:val="NormalHanging12a"/>
      </w:pPr>
      <w:r w:rsidRPr="009309DB">
        <w:t>–</w:t>
      </w:r>
      <w:r w:rsidRPr="009309DB">
        <w:tab/>
        <w:t>având în vedere rezoluțiile sale anterioare referitoare la Albania,</w:t>
      </w:r>
    </w:p>
    <w:p w:rsidR="00615219" w:rsidRPr="009309DB" w:rsidP="00615219" w14:paraId="420EA1BA" w14:textId="77777777">
      <w:pPr>
        <w:pStyle w:val="NormalHanging12a"/>
      </w:pPr>
      <w:r w:rsidRPr="009309DB">
        <w:t>–</w:t>
      </w:r>
      <w:r w:rsidRPr="009309DB">
        <w:tab/>
        <w:t>având în vedere rezoluția sa din 11 martie 2026 referitoare la strategia de extindere a UE</w:t>
      </w:r>
      <w:r>
        <w:rPr>
          <w:rStyle w:val="FootnoteReference"/>
        </w:rPr>
        <w:footnoteReference w:id="5"/>
      </w:r>
      <w:r w:rsidRPr="009309DB">
        <w:t>,</w:t>
      </w:r>
    </w:p>
    <w:p w:rsidR="00615219" w:rsidRPr="009309DB" w:rsidP="00615219" w14:paraId="465F2FF7" w14:textId="77777777">
      <w:pPr>
        <w:pStyle w:val="NormalHanging12a"/>
      </w:pPr>
      <w:r w:rsidRPr="009309DB">
        <w:t>–</w:t>
      </w:r>
      <w:r w:rsidRPr="009309DB">
        <w:tab/>
        <w:t xml:space="preserve">având în vedere indicele de percepție a corupției pentru 2025 publicat de </w:t>
      </w:r>
      <w:r w:rsidRPr="009309DB">
        <w:t>Transparency</w:t>
      </w:r>
      <w:r w:rsidRPr="009309DB">
        <w:t xml:space="preserve"> International în februarie 2026,</w:t>
      </w:r>
    </w:p>
    <w:p w:rsidR="00615219" w:rsidRPr="009309DB" w:rsidP="00615219" w14:paraId="4CBFF6F0" w14:textId="77777777">
      <w:pPr>
        <w:pStyle w:val="NormalHanging12a"/>
      </w:pPr>
      <w:r w:rsidRPr="009309DB">
        <w:t>–</w:t>
      </w:r>
      <w:r w:rsidRPr="009309DB">
        <w:tab/>
        <w:t>având în vedere raportul referitor la clasamentul mondial al libertății presei pentru 2025 publicat de organizația Reporteri fără Frontiere în martie 2025,</w:t>
      </w:r>
    </w:p>
    <w:p w:rsidR="00615219" w:rsidRPr="009309DB" w:rsidP="00615219" w14:paraId="7B7137B7" w14:textId="77777777">
      <w:pPr>
        <w:pStyle w:val="NormalHanging12a"/>
        <w:rPr>
          <w:bCs/>
          <w:iCs/>
          <w:szCs w:val="24"/>
        </w:rPr>
      </w:pPr>
      <w:r w:rsidRPr="009309DB">
        <w:t>–</w:t>
      </w:r>
      <w:r w:rsidRPr="009309DB">
        <w:tab/>
        <w:t>având în vedere raportul Forumului Economic Mondial din 11 iunie 2025 intitulat „Raportul pe 2025 privind disparitatea de gen la nivel mondial”,</w:t>
      </w:r>
    </w:p>
    <w:p w:rsidR="00615219" w:rsidRPr="009309DB" w:rsidP="00615219" w14:paraId="41736237" w14:textId="77777777">
      <w:pPr>
        <w:pStyle w:val="NormalHanging12a"/>
      </w:pPr>
      <w:r w:rsidRPr="009309DB">
        <w:t>–</w:t>
      </w:r>
      <w:r w:rsidRPr="009309DB">
        <w:tab/>
        <w:t>având în vedere articolul 55 din Regulamentul său de procedură,</w:t>
      </w:r>
    </w:p>
    <w:p w:rsidR="00615219" w:rsidRPr="009309DB" w:rsidP="00615219" w14:paraId="028B9FD7" w14:textId="77777777">
      <w:pPr>
        <w:pStyle w:val="NormalHanging12a"/>
      </w:pPr>
      <w:r w:rsidRPr="009309DB">
        <w:t>–</w:t>
      </w:r>
      <w:r w:rsidRPr="009309DB">
        <w:tab/>
        <w:t>având în vedere raportul Comisiei pentru afaceri externe (A10-0141/2026),</w:t>
      </w:r>
    </w:p>
    <w:p w:rsidR="00615219" w:rsidRPr="009309DB" w:rsidP="00615219" w14:paraId="417FB600" w14:textId="77777777">
      <w:pPr>
        <w:pStyle w:val="NormalHanging12a"/>
      </w:pPr>
      <w:r w:rsidRPr="009309DB">
        <w:t>A.</w:t>
      </w:r>
      <w:r w:rsidRPr="009309DB">
        <w:tab/>
        <w:t>întrucât extinderea UE rămâne o investiție strategică în pace, securitate, stabilitate și dezvoltare democratică și socioeconomică pe întregul continent european;</w:t>
      </w:r>
    </w:p>
    <w:p w:rsidR="00615219" w:rsidRPr="009309DB" w:rsidP="00615219" w14:paraId="5B75EF00" w14:textId="77777777">
      <w:pPr>
        <w:pStyle w:val="NormalHanging12a"/>
      </w:pPr>
      <w:r w:rsidRPr="009309DB">
        <w:t>B.</w:t>
      </w:r>
      <w:r w:rsidRPr="009309DB">
        <w:tab/>
        <w:t>întrucât Albania a menținut o orientare strategică clară și consecventă către aderarea la UE și a demonstrat o aliniere deplină la politica externă și de securitate comună a UE, inclusiv în ceea ce privește măsurile restrictive ale UE împotriva Rusiei și Belarusului, precum și prin sprijinul acordat Ucrainei în cadrul voturilor asupra rezoluțiilor Adunării Generale a ONU;</w:t>
      </w:r>
    </w:p>
    <w:p w:rsidR="00615219" w:rsidRPr="009309DB" w:rsidP="00615219" w14:paraId="565EAB0A" w14:textId="77777777">
      <w:pPr>
        <w:pStyle w:val="NormalHanging12a"/>
      </w:pPr>
      <w:r w:rsidRPr="009309DB">
        <w:t>C.</w:t>
      </w:r>
      <w:r w:rsidRPr="009309DB">
        <w:tab/>
        <w:t xml:space="preserve">întrucât Albaniei i s-a acordat statutul de țară candidată la aderarea la UE în 2014, a </w:t>
      </w:r>
      <w:r w:rsidRPr="009309DB">
        <w:t>început negocierile de aderare în iulie 2022, a finalizat cu succes procesul de examinare analitică în noiembrie 2023 și a deschis toate grupurile tematice de negociere între 15 octombrie 2024 și 17 noiembrie 2025;</w:t>
      </w:r>
    </w:p>
    <w:p w:rsidR="00615219" w:rsidRPr="009309DB" w:rsidP="00615219" w14:paraId="08D488E3" w14:textId="77777777">
      <w:pPr>
        <w:pStyle w:val="NormalHanging12a"/>
      </w:pPr>
      <w:r w:rsidRPr="009309DB">
        <w:t>D.</w:t>
      </w:r>
      <w:r w:rsidRPr="009309DB">
        <w:tab/>
        <w:t>întrucât Raportul Comisiei din 2025 privind Albania confirmă că această țară continuă să înregistreze progrese în majoritatea domeniilor legate de aderare, subliniind, în același timp, necesitatea unor reforme mai profunde, mai coerente și ireversibile;</w:t>
      </w:r>
    </w:p>
    <w:p w:rsidR="00615219" w:rsidRPr="009309DB" w:rsidP="00615219" w14:paraId="5C940F4E" w14:textId="77777777">
      <w:pPr>
        <w:pStyle w:val="NormalHanging12a"/>
        <w:rPr>
          <w:bCs/>
          <w:iCs/>
        </w:rPr>
      </w:pPr>
      <w:r w:rsidRPr="009309DB">
        <w:t>E.</w:t>
      </w:r>
      <w:r w:rsidRPr="009309DB">
        <w:tab/>
        <w:t>întrucât credibilitatea procesului de extindere a UE depinde mai degrabă de o condiționalitate strictă, de progrese bazate pe merite și de punerea în aplicare efectivă a reformelor, decât doar de adoptarea formală a legislației; întrucât aderarea Albaniei la UE depinde de reforme de durată, aprofundate și ireversibile în toate domeniile cuprinse în grupul tematic „Principii fundamentale” al negocierilor de aderare, începând cu statul de drept și cu funcționarea instituțiilor democratice; întrucât calitatea reformelor întreprinse de o țară candidată determină calendarul de aderare;</w:t>
      </w:r>
    </w:p>
    <w:p w:rsidR="00615219" w:rsidRPr="009309DB" w:rsidP="00615219" w14:paraId="371C0EEF" w14:textId="77777777">
      <w:pPr>
        <w:pStyle w:val="NormalHanging12a"/>
      </w:pPr>
      <w:r w:rsidRPr="009309DB">
        <w:t>F.</w:t>
      </w:r>
      <w:r w:rsidRPr="009309DB">
        <w:tab/>
        <w:t>întrucât întărirea instituțiilor democratice, a independenței sistemului judiciar, a eforturilor de combatere a corupției, a libertății mass-mediei și a drepturilor fundamentale, inclusiv a drepturilor minorităților rămâne esențială pentru traiectoria de aderare a Albaniei;</w:t>
      </w:r>
    </w:p>
    <w:p w:rsidR="00615219" w:rsidRPr="009309DB" w:rsidP="00615219" w14:paraId="4A75BA5E" w14:textId="77777777">
      <w:pPr>
        <w:pStyle w:val="NormalHanging12a"/>
        <w:rPr>
          <w:bCs/>
          <w:iCs/>
        </w:rPr>
      </w:pPr>
      <w:r w:rsidRPr="009309DB">
        <w:t>G.</w:t>
      </w:r>
      <w:r w:rsidRPr="009309DB">
        <w:tab/>
        <w:t>întrucât protejarea integrității proceselor democratice a devenit un element central al politicii de extindere a UE; întrucât, în iulie 2025, parlamentul albanez a adoptat prima strategie națională a țării împotriva ingerințelor străine și a dezinformării;</w:t>
      </w:r>
    </w:p>
    <w:p w:rsidR="00615219" w:rsidRPr="009309DB" w:rsidP="00615219" w14:paraId="217B964C" w14:textId="77777777">
      <w:pPr>
        <w:pStyle w:val="NormalHanging12a"/>
      </w:pPr>
      <w:r w:rsidRPr="009309DB">
        <w:t>H.</w:t>
      </w:r>
      <w:r w:rsidRPr="009309DB">
        <w:tab/>
        <w:t>întrucât recomandările ODIHR din 23 octombrie 2025, care au urmat alegerilor parlamentare din Albania din 11 mai 2025, și recomandările anterioare ale ODIHR pentru îmbunătățirea în continuare a desfășurării alegerilor din Albania nu au fost încă pe deplin abordate,</w:t>
      </w:r>
    </w:p>
    <w:p w:rsidR="00615219" w:rsidRPr="009309DB" w:rsidP="00615219" w14:paraId="1D41958A" w14:textId="77777777">
      <w:pPr>
        <w:pStyle w:val="NormalHanging12a"/>
      </w:pPr>
      <w:r w:rsidRPr="009309DB">
        <w:t>1.</w:t>
      </w:r>
      <w:r w:rsidRPr="009309DB">
        <w:tab/>
        <w:t>salută angajamentul remarcabil al Albaniei față de integrarea în UE, bazat pe consensul dintre toate partidele sale politice și pe sprijinul covârșitor al cetățenilor săi, și apreciază că Albania a deschis toate grupurile tematice pentru negocierile de aderare în numai 13 luni; observă că sprijinul cetățenilor albanezi pentru aderarea la UE rămâne în mod constant ridicat și reflectă aspirațiile europene puternice ale societății albaneze; încurajează țara să mențină ritmul actual al reformelor și să continue procesul de aliniere la acquis-</w:t>
      </w:r>
      <w:r w:rsidRPr="009309DB">
        <w:t>ul</w:t>
      </w:r>
      <w:r w:rsidRPr="009309DB">
        <w:t xml:space="preserve"> UE, subliniind că progresele înregistrate de Albania pe calea sa europeană contribuie la stabilitatea, securitatea și reziliența continentului european;</w:t>
      </w:r>
    </w:p>
    <w:p w:rsidR="00615219" w:rsidRPr="009309DB" w:rsidP="00615219" w14:paraId="78127DE3" w14:textId="77777777">
      <w:pPr>
        <w:pStyle w:val="NormalHanging12a"/>
      </w:pPr>
      <w:r w:rsidRPr="009309DB">
        <w:t>2.</w:t>
      </w:r>
      <w:r w:rsidRPr="009309DB">
        <w:tab/>
        <w:t>ia act de ambiția Albaniei de a încheia negocierile de aderare până la sfârșitul anului 2027 și salută progresele rapide înregistrate în ultimii ani în această privință; evidențiază necesitatea ca autoritățile albaneze să asigure punerea în aplicare cuprinzătoare a legislației;</w:t>
      </w:r>
    </w:p>
    <w:p w:rsidR="00615219" w:rsidRPr="009309DB" w:rsidP="00615219" w14:paraId="7874547D" w14:textId="77777777">
      <w:pPr>
        <w:pStyle w:val="NormalHanging12a"/>
      </w:pPr>
      <w:r w:rsidRPr="009309DB">
        <w:t>3.</w:t>
      </w:r>
      <w:r w:rsidRPr="009309DB">
        <w:tab/>
        <w:t xml:space="preserve">constată că atât raportul Comisiei din 2025 privind Albania, cât și raportul ODIHR privind alegerile parlamentare din mai 2025 evaluează cadrul electoral al Albaniei ca fiind, în linii mari, adecvat pentru desfășurarea unor alegeri competitive, reiterând, în același timp, preocupările legate de condițiile de concurență inechitabile pentru actorii politici, utilizarea abuzivă a resurselor administrative care estompează liniile de demarcație dintre instituțiile statului și structurile de partid, finanțarea partidelor politice, acuzațiile de cumpărare a voturilor și presiunea asupra alegătorilor; invită, prin urmare, majoritatea politică și opoziția din Albania să urmărească în mod constructiv și </w:t>
      </w:r>
      <w:r w:rsidRPr="009309DB">
        <w:t>incluziv o reformă electorală cuprinzătoare, în strânsă cooperare cu societatea civilă, și să pună pe deplin în aplicare recomandările restante ale ODIHR și ale Comisiei de la Veneția cu mult înainte de viitoarele cicluri electorale; subliniază că o astfel de reformă ar trebui să întărească cadrul electoral, inclusiv în ceea ce privește transparența finanțării campaniilor electorale, accesul echitabil la mass-media și măsurile de protecție împotriva utilizării abuzive a resurselor administrative, precum și să asigure aplicarea efectivă a acestui cadru; subliniază că un consens politic larg și punerea în aplicare reală a acestor reforme sunt esențiale pentru asigurarea încrederii publicului în alegerile viitoare;</w:t>
      </w:r>
    </w:p>
    <w:p w:rsidR="00615219" w:rsidRPr="009309DB" w:rsidP="00615219" w14:paraId="21DA3653" w14:textId="77777777">
      <w:pPr>
        <w:pStyle w:val="NormalHanging12a"/>
      </w:pPr>
      <w:r w:rsidRPr="009309DB">
        <w:t>4.</w:t>
      </w:r>
      <w:r w:rsidRPr="009309DB">
        <w:tab/>
        <w:t>își exprimă îngrijorarea cu privire la polarizarea politică continuă și la discursul politic conflictual, care subminează controlul parlamentar, încrederea publicului și funcționarea efectivă a instituțiilor democratice; încurajează actorii politici să se reangajeze într-un dialog parlamentar constructiv, asigurându-se că parlamentul rămâne forumul central pentru dezbaterea democratică și controlul democratic; subliniază că o democrație funcțională necesită o participare semnificativă a opoziției la procedurile parlamentare; reamintește că protestele violente nu își au locul într-o democrație funcțională;</w:t>
      </w:r>
    </w:p>
    <w:p w:rsidR="00615219" w:rsidRPr="009309DB" w:rsidP="00615219" w14:paraId="4B62CBD1" w14:textId="77777777">
      <w:pPr>
        <w:pStyle w:val="NormalHanging12a"/>
      </w:pPr>
      <w:r w:rsidRPr="009309DB">
        <w:t>5.</w:t>
      </w:r>
      <w:r w:rsidRPr="009309DB">
        <w:tab/>
        <w:t>încurajează un control parlamentar mai strict al executivului, o mai mare transparență a procedurilor legislative și o consultare mai semnificativă, într-o etapă timpurie, cu organizațiile societății civile, partenerii sociali și instituțiile independente; subliniază că ar trebui să se urmărească realizarea de progrese în procesul de integrare în UE fără a compromite calitatea și caracterul incluziv al reformelor; subliniază importanța implicării adecvate a părților interesate și a asumării responsabilității la nivel național pentru a asigura o punere în aplicare sustenabilă și un impact de durată; subliniază importanța întăririi rolului și capacităților comisiilor parlamentare din Albania, inclusiv prin îmbunătățirea accesului la informații, sprijin din partea experților și proceduri legislative transparente;</w:t>
      </w:r>
    </w:p>
    <w:p w:rsidR="00615219" w:rsidRPr="009309DB" w:rsidP="00615219" w14:paraId="20D9B26B" w14:textId="77777777">
      <w:pPr>
        <w:pStyle w:val="NormalHanging12a"/>
        <w:rPr>
          <w:b/>
          <w:bCs/>
          <w:i/>
          <w:iCs/>
        </w:rPr>
      </w:pPr>
      <w:r w:rsidRPr="009309DB">
        <w:rPr>
          <w:b/>
          <w:i/>
        </w:rPr>
        <w:t>Statul de drept, sistemul judiciar și combaterea corupției</w:t>
      </w:r>
    </w:p>
    <w:p w:rsidR="00615219" w:rsidRPr="009309DB" w:rsidP="00615219" w14:paraId="5A9E6752" w14:textId="77777777">
      <w:pPr>
        <w:pStyle w:val="NormalHanging12a"/>
      </w:pPr>
      <w:r w:rsidRPr="009309DB">
        <w:t>6.</w:t>
      </w:r>
      <w:r w:rsidRPr="009309DB">
        <w:tab/>
        <w:t>salută continuarea punerii în aplicare a procesului de reformă a sistemului judiciar al Albaniei, inclusiv verificarea judecătorilor și a procurorilor, care a contribuit la creșterea responsabilității și a integrității în cadrul sistemului său judiciar; felicită Consiliul Superior al Judecătorilor pentru noile numiri de magistrați, contribuind la reducerea numărului de posturi vacante; subliniază că protejarea independenței justiției rămâne esențială pentru statul de drept, alături de eforturile continue de a spori și mai mult responsabilitatea, calitatea și eficiența sistemului judiciar;</w:t>
      </w:r>
      <w:r w:rsidRPr="009309DB">
        <w:rPr>
          <w:b/>
          <w:i/>
        </w:rPr>
        <w:t xml:space="preserve"> </w:t>
      </w:r>
      <w:r w:rsidRPr="009309DB">
        <w:t>ia act, cu toate acestea, de provocările persistente legate de eficiența judiciară, de executarea efectivă a hotărârilor judecătorești definitive, de întârzierile înregistrate în soluționarea cauzelor, de consecvența jurisprudenței și de încercările de a exercita o influență nejustificată;</w:t>
      </w:r>
    </w:p>
    <w:p w:rsidR="00615219" w:rsidRPr="009309DB" w:rsidP="00615219" w14:paraId="09EE9454" w14:textId="77777777">
      <w:pPr>
        <w:pStyle w:val="NormalHanging12a"/>
      </w:pPr>
      <w:r w:rsidRPr="009309DB">
        <w:t>7.</w:t>
      </w:r>
      <w:r w:rsidRPr="009309DB">
        <w:tab/>
        <w:t>reamintește că imunitatea parlamentară face parte din cadrul constituțional al Albaniei, menit să asigure buna funcționare a instituțiilor democratice; subliniază că orice decizie în acest sens ar trebui luată strict în conformitate cu dispozițiile constituționale și cu procedurile legale stabilite, fără interferențe politice și fără întârzieri nejustificate;</w:t>
      </w:r>
    </w:p>
    <w:p w:rsidR="00615219" w:rsidRPr="009309DB" w:rsidP="00615219" w14:paraId="20BCFE55" w14:textId="77777777">
      <w:pPr>
        <w:pStyle w:val="NormalHanging12a"/>
        <w:rPr>
          <w:bCs/>
          <w:iCs/>
        </w:rPr>
      </w:pPr>
      <w:r w:rsidRPr="009309DB">
        <w:t>8.</w:t>
      </w:r>
      <w:r w:rsidRPr="009309DB">
        <w:tab/>
        <w:t xml:space="preserve">felicită autoritățile albaneze pentru îmbunătățirea continuă a eficienței Curții Constituționale a țării; solicită totuși întărirea în continuare a organismelor de guvernanță judiciară mai largă, precum și investiții susținute în infrastructura și digitalizarea instanțelor; reamintește că sistemul judiciar continuă să se confrunte cu presiuni politice și cu amenințări care riscă să-i submineze independența; subliniază </w:t>
      </w:r>
      <w:r w:rsidRPr="009309DB">
        <w:t>importanța punerii în aplicare depline și la timp a deciziilor Curții Constituționale, atât de către puterea executivă, cât și de către cea legislativă, ca element esențial al statului de drept și al echilibrului instituțional;</w:t>
      </w:r>
    </w:p>
    <w:p w:rsidR="00615219" w:rsidRPr="009309DB" w:rsidP="00615219" w14:paraId="0D75D5FA" w14:textId="77777777">
      <w:pPr>
        <w:pStyle w:val="NormalHanging12a"/>
        <w:rPr>
          <w:bCs/>
          <w:iCs/>
        </w:rPr>
      </w:pPr>
      <w:r w:rsidRPr="009309DB">
        <w:t>9.</w:t>
      </w:r>
      <w:r w:rsidRPr="009309DB">
        <w:tab/>
        <w:t xml:space="preserve">regretă că, potrivit clasamentului publicat în cadrul Indicelui de Percepție a Corupției 2025 al </w:t>
      </w:r>
      <w:r w:rsidRPr="009309DB">
        <w:t>Transparency</w:t>
      </w:r>
      <w:r w:rsidRPr="009309DB">
        <w:t xml:space="preserve"> International, Albania a coborât pe locul 91, comparativ cu locul 80 ocupat în 2024; subliniază că corupția rămâne un motiv serios de îngrijorare și că, în pofida progreselor înregistrate în ceea ce privește cadrul juridic și instituțional, Albania trebuie să își mărească în continuare capacitatea polițienească specifică și să își consolideze bilanțul în materie de anchete, urmăriri penale și condamnări definitive, îndeosebi în cazurile de corupție la nivel înalt; salută adoptarea legislației anticorupție esențiale, inclusiv în ceea ce privește protecția avertizorilor de integritate și conflictele de interese, și solicită punerea sa temeinică în aplicare; salută activitatea continuă a instituțiilor specializate în combaterea corupției și a instituțiilor pentru combaterea criminalității organizate, inclusiv a Structurii speciale de combatere a corupției și a criminalității organizate (SPAK), și solicită să se asigure independența lor susținută, resurse adecvate și o capacitate operațională suficientă, fără a le limita competențele de investigare sau a le submina activitatea; solicită intensificarea eforturilor pentru a asigura urmărirea, înghețarea, confiscarea și gestionarea eficace a activelor provenite din săvârșirea de infracțiuni, inclusiv prin investigații financiare sistematice, o mai bună cooperare între agenții și la nivel transfrontalier, precum și utilizarea deplină a instrumentelor de confiscare în conformitate cu drepturile fundamentale;</w:t>
      </w:r>
    </w:p>
    <w:p w:rsidR="00615219" w:rsidRPr="009309DB" w:rsidP="00615219" w14:paraId="7C9E9C27" w14:textId="77777777">
      <w:pPr>
        <w:pStyle w:val="NormalHanging12a"/>
      </w:pPr>
      <w:r w:rsidRPr="009309DB">
        <w:t>10.</w:t>
      </w:r>
      <w:r w:rsidRPr="009309DB">
        <w:tab/>
        <w:t>insistă că corupția trebuie abordată la toate nivelurile pentru a întări încrederea cetățenilor în instituțiile statului și pentru a permite un mediu de afaceri previzibil; solicită o mai mare transparență, controale ale conflictelor de interese, evaluări ale riscurilor de integritate și măsuri preventive specifice în sectoarele cu risc ridicat, în special achizițiile publice și concesiunile, acordarea de licențe și inspecțiile, și construcțiile și amenajarea teritoriului;</w:t>
      </w:r>
    </w:p>
    <w:p w:rsidR="00615219" w:rsidRPr="009309DB" w:rsidP="00615219" w14:paraId="6BD9772E" w14:textId="77777777">
      <w:pPr>
        <w:pStyle w:val="NormalHanging12a"/>
      </w:pPr>
      <w:r w:rsidRPr="009309DB">
        <w:t>11.</w:t>
      </w:r>
      <w:r w:rsidRPr="009309DB">
        <w:tab/>
        <w:t>invită Albania să facă progrese decisive în aspecte precum înregistrarea inițială a proprietății și compensațiile echitabile și general acceptate, prin ameliorarea transparenței registrului de proprietate al statului și a calității datelor cadastrale din registrul funciar și să garanteze respectarea dreptului la un proces echitabil și a dreptului la o cale de atac eficientă în cazurile de expropriere și de radiere a proprietăților;</w:t>
      </w:r>
    </w:p>
    <w:p w:rsidR="00615219" w:rsidRPr="009309DB" w:rsidP="00615219" w14:paraId="10BE1906" w14:textId="77777777">
      <w:pPr>
        <w:pStyle w:val="NormalHanging12a"/>
        <w:rPr>
          <w:bCs/>
          <w:iCs/>
        </w:rPr>
      </w:pPr>
      <w:r w:rsidRPr="009309DB">
        <w:t>12.</w:t>
      </w:r>
      <w:r w:rsidRPr="009309DB">
        <w:tab/>
        <w:t xml:space="preserve">subliniază importanța combaterii eficace a criminalității organizate, inclusiv a rețelelor de spălare a banilor și de trafic de droguri, și solicită intensificarea cooperării cu agențiile UE, cum ar fi Europol și </w:t>
      </w:r>
      <w:r w:rsidRPr="009309DB">
        <w:t>Eurojust</w:t>
      </w:r>
      <w:r w:rsidRPr="009309DB">
        <w:t>; invită autoritățile să accelereze eforturile de aliniere a cadrului juridic al Albaniei privind criminalitatea organizată la acquis-</w:t>
      </w:r>
      <w:r w:rsidRPr="009309DB">
        <w:t>ul</w:t>
      </w:r>
      <w:r w:rsidRPr="009309DB">
        <w:t xml:space="preserve"> UE, să consolideze capacitatea de aplicare a legii și să îmbunătățească eficiența anchetelor;</w:t>
      </w:r>
    </w:p>
    <w:p w:rsidR="00615219" w:rsidRPr="009309DB" w:rsidP="00615219" w14:paraId="67D2B1A7" w14:textId="77777777">
      <w:pPr>
        <w:pStyle w:val="NormalHanging12a"/>
      </w:pPr>
      <w:r w:rsidRPr="009309DB">
        <w:t>13.</w:t>
      </w:r>
      <w:r w:rsidRPr="009309DB">
        <w:tab/>
        <w:t xml:space="preserve">salută că băncile din Albania au început în mod oficial să efectueze tranzacții transfrontaliere în euro prin intermediul sistemului SEPA; felicită autoritățile pentru eforturile lor majore de combatere a spălării banilor prin adoptarea Strategiei naționale pentru împiedicarea spălării banilor și a finanțării terorismului pentru perioada 2024-2030; ia act de inițiativa „Albania fără numerar 2030”, care urmărește să combată nivelul ridicat de </w:t>
      </w:r>
      <w:r w:rsidRPr="009309DB">
        <w:t>informalitate</w:t>
      </w:r>
      <w:r w:rsidRPr="009309DB">
        <w:t xml:space="preserve"> în afaceri și fluxurile ilicite de numerar;</w:t>
      </w:r>
    </w:p>
    <w:p w:rsidR="00615219" w:rsidRPr="009309DB" w:rsidP="00615219" w14:paraId="18F62F88" w14:textId="77777777">
      <w:pPr>
        <w:pStyle w:val="NormalHanging12a"/>
        <w:rPr>
          <w:b/>
          <w:bCs/>
          <w:i/>
          <w:iCs/>
        </w:rPr>
      </w:pPr>
      <w:r w:rsidRPr="009309DB">
        <w:rPr>
          <w:b/>
          <w:i/>
        </w:rPr>
        <w:t>Drepturile fundamentale și libertatea mass-mediei</w:t>
      </w:r>
    </w:p>
    <w:p w:rsidR="00615219" w:rsidRPr="009309DB" w:rsidP="00615219" w14:paraId="378A4268" w14:textId="77777777">
      <w:pPr>
        <w:pStyle w:val="NormalHanging12a"/>
        <w:rPr>
          <w:bCs/>
          <w:iCs/>
        </w:rPr>
      </w:pPr>
      <w:r w:rsidRPr="009309DB">
        <w:t>14.</w:t>
      </w:r>
      <w:r w:rsidRPr="009309DB">
        <w:tab/>
        <w:t xml:space="preserve">salută că, în clasamentul mondial al libertății presei din 2025, publicat de organizația </w:t>
      </w:r>
      <w:r w:rsidRPr="009309DB">
        <w:t>Reporteri fără Frontiere, Albania a urcat pe locul 99 în 2024 și pe locul 80 în 2025; solicită să se depună eforturi suplimentare pentru a proteja libertatea de exprimare și pluralismul mass-mediei în Albania, inclusiv o mai mare transparență a posibilelor conflicte de interese ale proprietarilor de mass-media, garanții împotriva presiunii politice și economice asupra ziariștilor și investigarea eficace a amenințărilor și atacurilor îndreptate împotriva profesioniștilor din domeniul mass-mediei; solicită, de asemenea, o mai mare transparență a structurilor de proprietate asupra mass-mediei și distribuirea transparentă a publicității de stat pentru a proteja independența editorială și pluralismul mass-mediei;</w:t>
      </w:r>
    </w:p>
    <w:p w:rsidR="00615219" w:rsidRPr="009309DB" w:rsidP="00615219" w14:paraId="4E226CFE" w14:textId="77777777">
      <w:pPr>
        <w:pStyle w:val="NormalHanging12a"/>
        <w:rPr>
          <w:bCs/>
          <w:iCs/>
        </w:rPr>
      </w:pPr>
      <w:r w:rsidRPr="009309DB">
        <w:t>15.</w:t>
      </w:r>
      <w:r w:rsidRPr="009309DB">
        <w:tab/>
        <w:t>condamnă în mod ferm ostilitatea împotriva ziariștilor independenți și a profesioniștilor din mass-media din Albania, inclusiv atacurile verbale și retorica împotriva mass-mediei din partea funcționarilor de rang înalt, campaniile de defăimare și hărțuirea online misogină, ce îi vizează adesea pe ziariștii care relatează despre statul de drept, corupție și chestiuni judiciare; își exprimă, de asemenea, îngrijorarea cu privire la numărul mare de procese împotriva ziariștilor; salută modificările recente aduse Codului penal al Albaniei; regretă, cu toate acestea, că ele nu au dus la dezincriminarea completă a defăimării și a insultei, în conformitate cu standardele UE și internaționale;</w:t>
      </w:r>
    </w:p>
    <w:p w:rsidR="00615219" w:rsidRPr="009309DB" w:rsidP="00615219" w14:paraId="19BC249E" w14:textId="77777777">
      <w:pPr>
        <w:pStyle w:val="NormalHanging12a"/>
      </w:pPr>
      <w:r w:rsidRPr="009309DB">
        <w:t>16.</w:t>
      </w:r>
      <w:r w:rsidRPr="009309DB">
        <w:tab/>
        <w:t>invită autoritățile albaneze să promoveze alfabetizarea mediatică și digitală ca măsură complementară de consolidare a rezilienței mediului informațional, inclusiv prin integrarea inițiativelor de alfabetizare mediatică în întregul sistem de învățământ, prin sprijinirea formării cadrelor didactice și a resurselor moderne de învățare și prin consolidarea cooperării cu mass-media independentă și cu programele relevante ale UE pentru a promova gândirea critică și implicarea digitală responsabilă;</w:t>
      </w:r>
    </w:p>
    <w:p w:rsidR="00615219" w:rsidRPr="009309DB" w:rsidP="00615219" w14:paraId="61D57ACB" w14:textId="77777777">
      <w:pPr>
        <w:pStyle w:val="NormalHanging12a"/>
      </w:pPr>
      <w:r w:rsidRPr="009309DB">
        <w:t>17.</w:t>
      </w:r>
      <w:r w:rsidRPr="009309DB">
        <w:tab/>
        <w:t xml:space="preserve">încurajează Albania să întărească cadrul instituțional pentru protecția și promovarea drepturilor persoanelor care aparțin minorităților etnice și religioase și grupurilor vulnerabile, inclusiv ale romilor și ale egiptenilor, ale persoanelor cu dizabilități, ale lucrătorilor </w:t>
      </w:r>
      <w:r w:rsidRPr="009309DB">
        <w:t>migranți</w:t>
      </w:r>
      <w:r w:rsidRPr="009309DB">
        <w:t xml:space="preserve"> și ale persoanelor LGBTIQ+, și să asigure punerea în aplicare eficace a legislației de combatere a discriminării și îmbunătățirea accesului minorităților etnice și religioase și al grupurilor vulnerabile la serviciile publice, precum și participarea lor efectivă la viața socială, economică și politică; este preocupat de retorica împotriva egalității de gen prezentă în discursul politic din Albania; constată că consolidarea cadrului instituțional pentru protecția drepturilor minorităților trebuie să fie însoțită de măsuri eficace care să asigure punerea în aplicare deplină și efectivă a acestor drepturi;</w:t>
      </w:r>
    </w:p>
    <w:p w:rsidR="00615219" w:rsidRPr="009309DB" w:rsidP="00615219" w14:paraId="55D49CD4" w14:textId="77777777">
      <w:pPr>
        <w:pStyle w:val="NormalHanging12a"/>
      </w:pPr>
      <w:r w:rsidRPr="009309DB">
        <w:t>18.</w:t>
      </w:r>
      <w:r w:rsidRPr="009309DB">
        <w:tab/>
        <w:t>invită autoritățile albaneze să asigure accesul sustenabil la educație în limbile minorităților pentru minoritățile naționale recunoscute și să sprijine formarea corespunzătoare a cadrelor didactice, elaborarea de manuale școlare și păstrarea identității culturale;</w:t>
      </w:r>
    </w:p>
    <w:p w:rsidR="00615219" w:rsidRPr="009309DB" w:rsidP="00615219" w14:paraId="58915E1C" w14:textId="77777777">
      <w:pPr>
        <w:pStyle w:val="NormalHanging12a"/>
        <w:rPr>
          <w:bCs/>
          <w:iCs/>
        </w:rPr>
      </w:pPr>
      <w:r w:rsidRPr="009309DB">
        <w:t>19.</w:t>
      </w:r>
      <w:r w:rsidRPr="009309DB">
        <w:tab/>
        <w:t>salută adoptarea în Albania a Legii privind egalitatea de gen, care este în conformitate cu acquis-</w:t>
      </w:r>
      <w:r w:rsidRPr="009309DB">
        <w:t>ul</w:t>
      </w:r>
      <w:r w:rsidRPr="009309DB">
        <w:t xml:space="preserve"> UE și cu standardele internaționale privind drepturile omului; este profund alarmat totuși de valurile de dezinformare și de ură împotriva persoanelor LGBTIQ+, inclusiv de campaniile de denigrare împotriva activităților organizațiilor societății civile care acționează în direcția egalității pentru persoanele LGBTIQ+; invită autoritățile să tragă la răspundere în fața legii persoanele care răspândesc o retorică discriminatorie; solicită guvernului albanez să elaboreze măsuri juridice, cum ar fi parteneriatul înregistrat, pentru a recunoaște și a proteja cuplurile de același sex, în conformitate cu angajamentul său asumat în Planul național de acțiune pentru persoanele LGBTI (2021-</w:t>
      </w:r>
      <w:r w:rsidRPr="009309DB">
        <w:t>2027) și pentru a alinia legislația Albaniei privind drepturile omului la acquis-</w:t>
      </w:r>
      <w:r w:rsidRPr="009309DB">
        <w:t>ul</w:t>
      </w:r>
      <w:r w:rsidRPr="009309DB">
        <w:t xml:space="preserve"> UE;</w:t>
      </w:r>
    </w:p>
    <w:p w:rsidR="00615219" w:rsidRPr="009309DB" w:rsidP="00615219" w14:paraId="5BD443FE" w14:textId="77777777">
      <w:pPr>
        <w:pStyle w:val="NormalHanging12a"/>
        <w:rPr>
          <w:bCs/>
          <w:iCs/>
        </w:rPr>
      </w:pPr>
      <w:r w:rsidRPr="009309DB">
        <w:t>20.</w:t>
      </w:r>
      <w:r w:rsidRPr="009309DB">
        <w:tab/>
        <w:t xml:space="preserve">salută recunoașterea prezenței istorice de lungă durată a comunității bulgare în regiuni precum </w:t>
      </w:r>
      <w:r w:rsidRPr="009309DB">
        <w:t>Prespa</w:t>
      </w:r>
      <w:r w:rsidRPr="009309DB">
        <w:t xml:space="preserve">, </w:t>
      </w:r>
      <w:r w:rsidRPr="009309DB">
        <w:t>Gollobordë</w:t>
      </w:r>
      <w:r w:rsidRPr="009309DB">
        <w:t xml:space="preserve"> și </w:t>
      </w:r>
      <w:r w:rsidRPr="009309DB">
        <w:t>Gora</w:t>
      </w:r>
      <w:r w:rsidRPr="009309DB">
        <w:t xml:space="preserve"> și încurajează autoritățile albaneze să asigure respectarea deplină a drepturilor lor lingvistice, culturale și educaționale, precum și cele ale celorlalte minorități naționale recunoscute din Albania;</w:t>
      </w:r>
    </w:p>
    <w:p w:rsidR="00615219" w:rsidRPr="009309DB" w:rsidP="00615219" w14:paraId="79414FB8" w14:textId="77777777">
      <w:pPr>
        <w:pStyle w:val="NormalHanging12a"/>
      </w:pPr>
      <w:r w:rsidRPr="009309DB">
        <w:t>21.</w:t>
      </w:r>
      <w:r w:rsidRPr="009309DB">
        <w:tab/>
        <w:t>regretă că persistă probleme legate de discriminare și excludere socială care afectează grupurile minoritare din Albania, în special în ceea ce privește accesul la educație, la ocuparea forței de muncă și la serviciile publice; invită guvernul albanez să alinieze pe deplin politicile de combatere a discriminării și drepturile minorităților la acquis-</w:t>
      </w:r>
      <w:r w:rsidRPr="009309DB">
        <w:t>ul</w:t>
      </w:r>
      <w:r w:rsidRPr="009309DB">
        <w:t xml:space="preserve"> UE; subliniază necesitatea de a îmbunătăți accesul la justiție și participarea politică, în special pentru grupurile vulnerabile și marginalizate;</w:t>
      </w:r>
    </w:p>
    <w:p w:rsidR="00BE2FF6" w:rsidRPr="009309DB" w:rsidP="00615219" w14:paraId="2ED989B4" w14:textId="280C71CE">
      <w:pPr>
        <w:pStyle w:val="NormalHanging12a"/>
      </w:pPr>
      <w:r w:rsidRPr="009309DB">
        <w:t>22</w:t>
      </w:r>
      <w:r w:rsidRPr="009309DB">
        <w:t>.</w:t>
      </w:r>
      <w:r w:rsidRPr="009309DB">
        <w:tab/>
      </w:r>
      <w:r w:rsidRPr="009309DB" w:rsidR="00FE06A0">
        <w:t>r</w:t>
      </w:r>
      <w:r w:rsidRPr="009309DB">
        <w:t>ecunoaște că minoritatea națională elenă își menține prezența istorică puternică, în special în sudul Albaniei, și invită Albania să asigure protecția dreptului de proprietate;</w:t>
      </w:r>
    </w:p>
    <w:p w:rsidR="00615219" w:rsidRPr="009309DB" w:rsidP="00615219" w14:paraId="599C4DFD" w14:textId="0076B7E4">
      <w:pPr>
        <w:pStyle w:val="NormalHanging12a"/>
      </w:pPr>
      <w:r w:rsidRPr="009309DB">
        <w:t>23</w:t>
      </w:r>
      <w:r w:rsidRPr="009309DB">
        <w:t>.</w:t>
      </w:r>
      <w:r w:rsidRPr="009309DB">
        <w:tab/>
        <w:t>evidențiază, de asemenea, că este important să fie conservate siturile memoriale legate de dictatura comunistă și să fie sprijinite inițiativele de comemorare și educaționale care promovează conștiința istorică și consolidează cultura democratică, în special în rândul generațiilor mai tinere;</w:t>
      </w:r>
    </w:p>
    <w:p w:rsidR="00615219" w:rsidRPr="009309DB" w:rsidP="00615219" w14:paraId="5C68BE65" w14:textId="65796750">
      <w:pPr>
        <w:pStyle w:val="NormalHanging12a"/>
      </w:pPr>
      <w:r w:rsidRPr="009309DB">
        <w:t>24</w:t>
      </w:r>
      <w:r w:rsidRPr="009309DB">
        <w:t>.</w:t>
      </w:r>
      <w:r w:rsidRPr="009309DB">
        <w:tab/>
        <w:t>salută societatea civilă dinamică și constructivă din Albania, care joacă un rol esențial și pozitiv în procesul de reformă; încurajează guvernul albanez să construiască relații de colaborare, implicând cu adevărat societatea civilă într-un proces legislativ transparent încă dintr-un stadiu incipient; regretă, cu toate acestea, că organizațiile societății civile din Albania se confruntă în continuare cu provocări și primesc finanțare publică limitată; invită, de asemenea, guvernul albanez să asigure un mediu favorabil, sigur și nediscriminatoriu pentru societatea civilă;</w:t>
      </w:r>
    </w:p>
    <w:p w:rsidR="00615219" w:rsidRPr="009309DB" w:rsidP="00615219" w14:paraId="395D2094" w14:textId="7D7D5ED2">
      <w:pPr>
        <w:pStyle w:val="NormalHanging12a"/>
      </w:pPr>
      <w:r w:rsidRPr="009309DB">
        <w:t>25</w:t>
      </w:r>
      <w:r w:rsidRPr="009309DB">
        <w:t>.</w:t>
      </w:r>
      <w:r w:rsidRPr="009309DB">
        <w:tab/>
        <w:t>este îngrijorat că în clasamentul mondial publicat în Raportul privind decalajul de gen la nivel mondial 2025 al Forumului Economic Mondial, Albania a coborât de pe locul 23 în 2024 pe locul 36 în 2025, ceea ce indică o accentuare a decalajului de gen; regretă că cadrul legislativ de combatere a violenței de gen nu este încă aliniat la Convenția de la Istanbul; îndeamnă guvernul albanez să îmbunătățească serviciile de sprijin pentru victime, în special în ceea ce privește asistența medicală, finanțarea adăposturilor pentru femei, asistența juridică gratuită și programele de reintegrare și reabilitare;</w:t>
      </w:r>
    </w:p>
    <w:p w:rsidR="00615219" w:rsidRPr="009309DB" w:rsidP="00615219" w14:paraId="44B79938" w14:textId="4DABA622">
      <w:pPr>
        <w:pStyle w:val="NormalHanging12a"/>
      </w:pPr>
      <w:r w:rsidRPr="009309DB">
        <w:t>26</w:t>
      </w:r>
      <w:r w:rsidRPr="009309DB">
        <w:t>.</w:t>
      </w:r>
      <w:r w:rsidRPr="009309DB">
        <w:tab/>
        <w:t>este îngrijorat că Agenda națională a Albaniei privind drepturile copilului 2021-2026 nu este încă pusă pe deplin în aplicare, iar accesul copiilor la justiție este împiedicat de întârzieri, asistență judiciară limitată și o coordonare instituțională inadecvată; regretă că majoritatea copiilor din Albania sunt în continuare expuși riscului de sărăcie; solicită autorităților albaneze să pună în aplicare în mod eficace Agenda națională privind drepturile copilului, acordând asistență copiilor care se confruntă cu excluderea și sărăcia;</w:t>
      </w:r>
    </w:p>
    <w:p w:rsidR="00615219" w:rsidRPr="009309DB" w:rsidP="00615219" w14:paraId="527DCFCF" w14:textId="77777777">
      <w:pPr>
        <w:pStyle w:val="NormalHanging12a"/>
        <w:rPr>
          <w:b/>
          <w:bCs/>
          <w:i/>
          <w:iCs/>
        </w:rPr>
      </w:pPr>
      <w:r w:rsidRPr="009309DB">
        <w:rPr>
          <w:b/>
          <w:i/>
        </w:rPr>
        <w:t>Reforma și guvernarea administrației publice</w:t>
      </w:r>
    </w:p>
    <w:p w:rsidR="00615219" w:rsidRPr="009309DB" w:rsidP="00615219" w14:paraId="3F9A2991" w14:textId="4D114C54">
      <w:pPr>
        <w:pStyle w:val="NormalHanging12a"/>
        <w:rPr>
          <w:bCs/>
          <w:iCs/>
        </w:rPr>
      </w:pPr>
      <w:r w:rsidRPr="009309DB">
        <w:t>27</w:t>
      </w:r>
      <w:r w:rsidRPr="009309DB">
        <w:t>.</w:t>
      </w:r>
      <w:r w:rsidRPr="009309DB">
        <w:tab/>
        <w:t xml:space="preserve">recunoaște progresele realizate în reforma administrației publice, inclusiv în ceea ce privește planificarea și coordonarea strategice; salută adoptarea Strategiei transversale privind reforma administrației publice 2025-2030; subliniază, cu toate acestea, că sunt necesare eforturi suplimentare pentru a asigura recrutarea pe bază de merit și </w:t>
      </w:r>
      <w:r w:rsidRPr="009309DB">
        <w:t>depolitizarea administrației publice, inclusiv adoptarea și punerea în aplicare a unui nou cadru legislativ pentru administrația publică;</w:t>
      </w:r>
    </w:p>
    <w:p w:rsidR="00615219" w:rsidRPr="009309DB" w:rsidP="00615219" w14:paraId="183972B3" w14:textId="2BAA1486">
      <w:pPr>
        <w:pStyle w:val="NormalHanging12a"/>
        <w:rPr>
          <w:bCs/>
        </w:rPr>
      </w:pPr>
      <w:r w:rsidRPr="009309DB">
        <w:t>28</w:t>
      </w:r>
      <w:r w:rsidRPr="009309DB">
        <w:t>.</w:t>
      </w:r>
      <w:r w:rsidRPr="009309DB">
        <w:tab/>
        <w:t>este îngrijorat că nici cadrul juridic pentru achizițiile publice și nici legislația privind dreptul societăților comerciale nu sunt pe deplin aliniate la acquis-</w:t>
      </w:r>
      <w:r w:rsidRPr="009309DB">
        <w:t>ul</w:t>
      </w:r>
      <w:r w:rsidRPr="009309DB">
        <w:t xml:space="preserve"> UE; invită autoritățile albaneze să își continue eforturile de aliniere deplină a legislației Albaniei la acquis-</w:t>
      </w:r>
      <w:r w:rsidRPr="009309DB">
        <w:t>ul</w:t>
      </w:r>
      <w:r w:rsidRPr="009309DB">
        <w:t xml:space="preserve"> UE; solicită consolidarea controlului parlamentar, audituri independente și transparență deplină în procedurile de achiziții publice, pentru a asigura respectarea standardelor UE privind concurența, protecția datelor și combaterea corupției;</w:t>
      </w:r>
    </w:p>
    <w:p w:rsidR="00615219" w:rsidRPr="009309DB" w:rsidP="00615219" w14:paraId="6EF1FA64" w14:textId="36E222A3">
      <w:pPr>
        <w:pStyle w:val="NormalHanging12a"/>
        <w:rPr>
          <w:bCs/>
        </w:rPr>
      </w:pPr>
      <w:r w:rsidRPr="009309DB">
        <w:t>29</w:t>
      </w:r>
      <w:r w:rsidRPr="009309DB">
        <w:t>.</w:t>
      </w:r>
      <w:r w:rsidRPr="009309DB">
        <w:tab/>
        <w:t>salută activitatea în curs a comisiei parlamentare pluripartite din Albania pentru reforma teritorială; accentuează că orice reformă în acest domeniu ar trebui să se desfășoare printr-un proces incluziv și să se bazeze pe criterii socioeconomice obiective și pe standarde europene de autonomie locală;</w:t>
      </w:r>
    </w:p>
    <w:p w:rsidR="00615219" w:rsidRPr="009309DB" w:rsidP="00615219" w14:paraId="541FC577" w14:textId="1C578568">
      <w:pPr>
        <w:pStyle w:val="NormalHanging12a"/>
        <w:rPr>
          <w:bCs/>
          <w:iCs/>
        </w:rPr>
      </w:pPr>
      <w:r w:rsidRPr="009309DB">
        <w:t>30</w:t>
      </w:r>
      <w:r w:rsidRPr="009309DB">
        <w:t>.</w:t>
      </w:r>
      <w:r w:rsidRPr="009309DB">
        <w:tab/>
        <w:t>solicită o mai bună planificare a politicilor, un proces decizional bazat pe dovezi și procese bugetare transparente, inclusiv un control parlamentar întărit al finanțelor publice; insistă să se îmbunătățească resursele financiare, capacitatea administrativă și autonomia bugetară ale unităților autorităților locale;</w:t>
      </w:r>
    </w:p>
    <w:p w:rsidR="00615219" w:rsidRPr="009309DB" w:rsidP="00615219" w14:paraId="61E738E0" w14:textId="64A5B77A">
      <w:pPr>
        <w:pStyle w:val="NormalHanging12a"/>
        <w:rPr>
          <w:bCs/>
          <w:iCs/>
        </w:rPr>
      </w:pPr>
      <w:r w:rsidRPr="009309DB">
        <w:t>31</w:t>
      </w:r>
      <w:r w:rsidRPr="009309DB">
        <w:t>.</w:t>
      </w:r>
      <w:r w:rsidRPr="009309DB">
        <w:tab/>
        <w:t>felicită autoritățile albaneze pentru adoptarea recentă a Strategiei naționale de securitate cibernetică 2025-2030; salută alinierea actualei legi albaneze privind securitatea cibernetică la Directiva NIS 2 a UE</w:t>
      </w:r>
      <w:r>
        <w:rPr>
          <w:rStyle w:val="FootnoteReference"/>
          <w:bCs/>
          <w:iCs/>
        </w:rPr>
        <w:footnoteReference w:id="6"/>
      </w:r>
      <w:r w:rsidRPr="009309DB">
        <w:t>; felicită autoritățile pentru că au adoptat o listă actualizată a operatorilor de infrastructuri critice și importante de informații;</w:t>
      </w:r>
    </w:p>
    <w:p w:rsidR="00615219" w:rsidRPr="009309DB" w:rsidP="00615219" w14:paraId="7E7DD09F" w14:textId="447CB536">
      <w:pPr>
        <w:pStyle w:val="NormalHanging12a"/>
        <w:rPr>
          <w:bCs/>
          <w:iCs/>
        </w:rPr>
      </w:pPr>
      <w:r w:rsidRPr="009309DB">
        <w:t>32</w:t>
      </w:r>
      <w:r w:rsidRPr="009309DB">
        <w:t>.</w:t>
      </w:r>
      <w:r w:rsidRPr="009309DB">
        <w:tab/>
        <w:t xml:space="preserve">salută îmbunătățirea continuă a transmiterii datelor sale către </w:t>
      </w:r>
      <w:r w:rsidRPr="009309DB">
        <w:t>Eurostat</w:t>
      </w:r>
      <w:r w:rsidRPr="009309DB">
        <w:t xml:space="preserve"> realizată de Albania; invită autoritățile albaneze să crească și mai mult producția și distribuția lor de date de înaltă calitate;</w:t>
      </w:r>
    </w:p>
    <w:p w:rsidR="00615219" w:rsidRPr="009309DB" w:rsidP="00615219" w14:paraId="3BB96F81" w14:textId="7F40B60D">
      <w:pPr>
        <w:pStyle w:val="NormalHanging12a"/>
        <w:rPr>
          <w:bCs/>
          <w:iCs/>
        </w:rPr>
      </w:pPr>
      <w:r w:rsidRPr="009309DB">
        <w:t>33</w:t>
      </w:r>
      <w:r w:rsidRPr="009309DB">
        <w:t>.</w:t>
      </w:r>
      <w:r w:rsidRPr="009309DB">
        <w:tab/>
        <w:t>felicită guvernul pentru adoptarea noilor legi privind mărcile comerciale și brevetele; invită autoritățile albaneze să alinieze pe deplin legislația Albaniei privind proprietatea intelectuală la acquis-</w:t>
      </w:r>
      <w:r w:rsidRPr="009309DB">
        <w:t>ul</w:t>
      </w:r>
      <w:r w:rsidRPr="009309DB">
        <w:t xml:space="preserve"> UE și să continue să o întărească;</w:t>
      </w:r>
    </w:p>
    <w:p w:rsidR="00615219" w:rsidRPr="009309DB" w:rsidP="00615219" w14:paraId="53F7788F" w14:textId="77777777">
      <w:pPr>
        <w:pStyle w:val="NormalHanging12a"/>
        <w:rPr>
          <w:b/>
          <w:bCs/>
          <w:i/>
          <w:iCs/>
        </w:rPr>
      </w:pPr>
      <w:r w:rsidRPr="009309DB">
        <w:rPr>
          <w:b/>
          <w:i/>
        </w:rPr>
        <w:t>Reformele socioeconomice și mediul</w:t>
      </w:r>
    </w:p>
    <w:p w:rsidR="00615219" w:rsidRPr="009309DB" w:rsidP="00615219" w14:paraId="57D8F7D7" w14:textId="7094FDF7">
      <w:pPr>
        <w:pStyle w:val="NormalHanging12a"/>
      </w:pPr>
      <w:r w:rsidRPr="009309DB">
        <w:t>34</w:t>
      </w:r>
      <w:r w:rsidRPr="009309DB">
        <w:t>.</w:t>
      </w:r>
      <w:r w:rsidRPr="009309DB">
        <w:tab/>
        <w:t>salută implicarea Albaniei în punerea în aplicare a Planului de creștere al UE pentru Balcanii de Vest; constată, cu toate acestea, că persistă deficiențe structurale, inclusiv caracterul informal în activitățile de afaceri, creșterea limitată a productivității și un mediu de afaceri dificil; regretă că vasta economie informală pune piedici mediului de afaceri și concurenței; reiterează importanța îmbunătățirii infrastructurii de transport dintre țările din Balcanii de Vest și a dezvoltării în continuare a legăturilor lor feroviare și aeriene cu statele membre ale UE; felicită autoritățile albaneze pentru acordarea de scutiri de TVA pentru proiectele finanțate de UE în Albania;</w:t>
      </w:r>
    </w:p>
    <w:p w:rsidR="00615219" w:rsidRPr="009309DB" w:rsidP="00615219" w14:paraId="39A8D08B" w14:textId="1EDFE6A4">
      <w:pPr>
        <w:pStyle w:val="NormalHanging12a"/>
        <w:rPr>
          <w:bCs/>
          <w:iCs/>
        </w:rPr>
      </w:pPr>
      <w:r w:rsidRPr="009309DB">
        <w:t>35</w:t>
      </w:r>
      <w:r w:rsidRPr="009309DB">
        <w:t>.</w:t>
      </w:r>
      <w:r w:rsidRPr="009309DB">
        <w:tab/>
        <w:t xml:space="preserve">reamintește potențialul Planului economic și de investiții pentru Balcanii de Vest de a îmbunătăți conectivitatea regională prin intermediul căilor ferate și al șoselelor; îndeamnă, în acest sens, autoritățile din toate țările în cauză să finalizeze proiectele din </w:t>
      </w:r>
      <w:r w:rsidRPr="009309DB">
        <w:t>coridorul VIII care leagă Albania, Macedonia de Nord și Bulgaria;</w:t>
      </w:r>
    </w:p>
    <w:p w:rsidR="00615219" w:rsidRPr="009309DB" w:rsidP="00615219" w14:paraId="1C552B61" w14:textId="0E9FE970">
      <w:pPr>
        <w:pStyle w:val="NormalHanging12a"/>
        <w:rPr>
          <w:bCs/>
          <w:iCs/>
        </w:rPr>
      </w:pPr>
      <w:r w:rsidRPr="009309DB">
        <w:t>36</w:t>
      </w:r>
      <w:r w:rsidRPr="009309DB">
        <w:t>.</w:t>
      </w:r>
      <w:r w:rsidRPr="009309DB">
        <w:tab/>
        <w:t>solicită punerea în aplicare a unui mecanism cuprinzător de examinare a investițiilor străine directe ca inițiativă strategică pentru protejarea intereselor naționale ale Albaniei, consolidarea securității și asigurarea previzibilității pentru investitori și a coerenței cu standardele UE;</w:t>
      </w:r>
    </w:p>
    <w:p w:rsidR="00615219" w:rsidRPr="009309DB" w:rsidP="00615219" w14:paraId="0A6DFBA3" w14:textId="27CB2895">
      <w:pPr>
        <w:pStyle w:val="NormalHanging12a"/>
        <w:rPr>
          <w:bCs/>
          <w:iCs/>
        </w:rPr>
      </w:pPr>
      <w:r w:rsidRPr="009309DB">
        <w:t>37</w:t>
      </w:r>
      <w:r w:rsidRPr="009309DB">
        <w:t>.</w:t>
      </w:r>
      <w:r w:rsidRPr="009309DB">
        <w:tab/>
        <w:t>subliniază că sistemul de control intern al controlului financiar intern public din Albania rămâne parțial eficace; invită Albania să consolideze asumarea răspunderii și transparența întreprinderilor de stat, punând la dispoziția publicului rapoartele lor anuale privind performanța financiară; invită autoritățile albaneze să pună pe deplin în aplicare recomandările Instituției supreme de audit a Albaniei;</w:t>
      </w:r>
    </w:p>
    <w:p w:rsidR="00615219" w:rsidRPr="009309DB" w:rsidP="00615219" w14:paraId="385B560F" w14:textId="37E0AD21">
      <w:pPr>
        <w:pStyle w:val="NormalHanging12a"/>
        <w:rPr>
          <w:bCs/>
          <w:iCs/>
        </w:rPr>
      </w:pPr>
      <w:r w:rsidRPr="009309DB">
        <w:t>38</w:t>
      </w:r>
      <w:r w:rsidRPr="009309DB">
        <w:t>.</w:t>
      </w:r>
      <w:r w:rsidRPr="009309DB">
        <w:tab/>
        <w:t>salută adoptarea Strategiei Albaniei pentru modernizarea și armonizarea sistemelor de informații vamale albaneze cu sistemele UE, pentru perioada 2025-2030; felicită autoritățile pentru eforturile lor de a respecta standardele UE prin armonizarea și îmbunătățirea infrastructurii vamale;</w:t>
      </w:r>
      <w:r w:rsidRPr="009309DB" w:rsidR="00BE2FF6">
        <w:t xml:space="preserve"> subliniază că sistemele informatice vamale necesită o modernizare semnificativă pentru a realiza armonizarea deplină cu standardele UE și invită autoritățile albaneze să accelereze investițiile și reformele necesare în acest sens;</w:t>
      </w:r>
    </w:p>
    <w:p w:rsidR="00615219" w:rsidRPr="009309DB" w:rsidP="00615219" w14:paraId="23015FFB" w14:textId="415E8C07">
      <w:pPr>
        <w:pStyle w:val="NormalHanging12a"/>
        <w:rPr>
          <w:bCs/>
          <w:iCs/>
        </w:rPr>
      </w:pPr>
      <w:r w:rsidRPr="009309DB">
        <w:t>39</w:t>
      </w:r>
      <w:r w:rsidRPr="009309DB">
        <w:t>.</w:t>
      </w:r>
      <w:r w:rsidRPr="009309DB">
        <w:tab/>
        <w:t>felicită autoritățile pentru alinierea legislației privind fondurile de pensii private la acquis-</w:t>
      </w:r>
      <w:r w:rsidRPr="009309DB">
        <w:t>ul</w:t>
      </w:r>
      <w:r w:rsidRPr="009309DB">
        <w:t xml:space="preserve"> UE; invită Albania să își finalizeze alinierea la acquis-</w:t>
      </w:r>
      <w:r w:rsidRPr="009309DB">
        <w:t>ul</w:t>
      </w:r>
      <w:r w:rsidRPr="009309DB">
        <w:t xml:space="preserve"> UE privind asigurările, piețele de capital, piețele titlurilor de valoare, fondurile de investiții și infrastructurile piețelor financiare;</w:t>
      </w:r>
    </w:p>
    <w:p w:rsidR="00615219" w:rsidRPr="009309DB" w:rsidP="00615219" w14:paraId="06CBF48F" w14:textId="11F59185">
      <w:pPr>
        <w:pStyle w:val="NormalHanging12a"/>
        <w:rPr>
          <w:bCs/>
          <w:iCs/>
        </w:rPr>
      </w:pPr>
      <w:r w:rsidRPr="009309DB">
        <w:t>40</w:t>
      </w:r>
      <w:r w:rsidRPr="009309DB">
        <w:t>.</w:t>
      </w:r>
      <w:r w:rsidRPr="009309DB">
        <w:tab/>
        <w:t xml:space="preserve">salută călduros propunerea Comisiei </w:t>
      </w:r>
      <w:r w:rsidRPr="009309DB" w:rsidR="00FE06A0">
        <w:t xml:space="preserve">și autorizarea Consiliului </w:t>
      </w:r>
      <w:r w:rsidRPr="009309DB">
        <w:t xml:space="preserve">de a deschide negocieri pentru extinderea la Balcanii de Vest a regimului UE de roaming la prețurile de pe piața națională și invită </w:t>
      </w:r>
      <w:r w:rsidRPr="009309DB" w:rsidR="005F6E26">
        <w:t>Comisia și partenerii din Balcanii de Vest să ia rapid măsurile necesare pentru deschiderea reciprocă a piețelor de roaming ale UE și ale partenerilor din Balcanii de Vest, permițând cetățenilor și întreprinderilor să beneficieze de servicii de roaming fără costuri suplimentare;</w:t>
      </w:r>
    </w:p>
    <w:p w:rsidR="00615219" w:rsidRPr="009309DB" w:rsidP="00615219" w14:paraId="5971B34B" w14:textId="14DC60A1">
      <w:pPr>
        <w:pStyle w:val="NormalHanging12a"/>
        <w:rPr>
          <w:bCs/>
          <w:iCs/>
        </w:rPr>
      </w:pPr>
      <w:r w:rsidRPr="009309DB">
        <w:t>41</w:t>
      </w:r>
      <w:r w:rsidRPr="009309DB">
        <w:t>.</w:t>
      </w:r>
      <w:r w:rsidRPr="009309DB">
        <w:tab/>
        <w:t>subliniază importanța investițiilor în educație, dezvoltarea competențelor și inovare pentru a sprijini creșterea sustenabilă și coeziunea socială; felicită guvernul albanez pentru adoptarea de acte legislative pentru reforma învățământului superior și pentru punerea constantă în aplicare a Strategiei naționale pentru educație 2021-2026; invită autoritățile albaneze să finalizeze legislația de punere în aplicare a Legii privind patrimoniul cultural și muzeele; încurajează dezvoltarea de politici care vizează reducerea emigrării tinerilor și a exodului de creiere și întărirea oportunităților pentru tinerii profesioniști prin îmbunătățirea condițiilor de pe piața muncii, reforma învățământului și sprijinirea inovării;</w:t>
      </w:r>
    </w:p>
    <w:p w:rsidR="00615219" w:rsidRPr="009309DB" w:rsidP="00615219" w14:paraId="79F81790" w14:textId="6573B4A3">
      <w:pPr>
        <w:pStyle w:val="NormalHanging12a"/>
        <w:rPr>
          <w:bCs/>
          <w:iCs/>
        </w:rPr>
      </w:pPr>
      <w:r w:rsidRPr="009309DB">
        <w:t>42</w:t>
      </w:r>
      <w:r w:rsidRPr="009309DB">
        <w:t>.</w:t>
      </w:r>
      <w:r w:rsidRPr="009309DB">
        <w:tab/>
        <w:t>solicită dezvoltarea în continuare și punerea în aplicare efectivă a cadrului privind locuințele sociale în Albania, pe baza continuării și îmbunătățirii Strategiei naționale privind locuințele sociale pentru perioada 2016-2025, astfel încât să se asigure condiții de viață stabile și decente pentru grupurile vulnerabile și cu venituri mai mici; subliniază, în special, că este important să existe locuințe sociale accesibile și la prețuri abordabile pentru tineri, inclusiv pentru studenți și ucenici, deoarece acest lucru sprijină mobilitatea geografică a acestora, accesul lor la educație și formare și integrarea cu succes pe piața muncii;</w:t>
      </w:r>
    </w:p>
    <w:p w:rsidR="00615219" w:rsidRPr="009309DB" w:rsidP="00615219" w14:paraId="3DACEEEA" w14:textId="22E5BB3E">
      <w:pPr>
        <w:pStyle w:val="NormalHanging12a"/>
      </w:pPr>
      <w:r w:rsidRPr="009309DB">
        <w:t>43</w:t>
      </w:r>
      <w:r w:rsidRPr="009309DB">
        <w:t>.</w:t>
      </w:r>
      <w:r w:rsidRPr="009309DB">
        <w:tab/>
        <w:t>subliniază importanța esențială a unui dialog social veritabil pentru ca beneficiile extinderii UE să fie resimțite de diferitele segmente ale populației; salută îmbunătățirea transferului de baze de date și conectarea timpurie cu serviciile europene de ocupare a forței de muncă (EURES), care au fost posibile prin alinierea deplină a nomenclatorului național al ocupațiilor la clasificarea europeană multilingvă a aptitudinilor, competențelor, calificărilor și ocupațiilor (ESCO); regretă însă frecvența scăzută a reuniunilor Consiliului Național al Muncii; solicită întărirea procesului de consultare tripartită, inclusiv o reprezentare sindicală adecvată; subliniază necesitatea de a sprijini în continuare consolidarea capacităților partenerilor sociali;</w:t>
      </w:r>
    </w:p>
    <w:p w:rsidR="00615219" w:rsidRPr="009309DB" w:rsidP="00615219" w14:paraId="2E566DBC" w14:textId="624CEDD2">
      <w:pPr>
        <w:pStyle w:val="NormalHanging12a"/>
        <w:rPr>
          <w:bCs/>
          <w:iCs/>
        </w:rPr>
      </w:pPr>
      <w:r w:rsidRPr="009309DB">
        <w:t>44</w:t>
      </w:r>
      <w:r w:rsidRPr="009309DB">
        <w:t>.</w:t>
      </w:r>
      <w:r w:rsidRPr="009309DB">
        <w:tab/>
        <w:t>solicită intensificarea eforturilor de promovare a respectării legislației UE în domeniul muncii și a cadrului UE privind sănătatea și siguranța la locul de muncă, inclusiv punerea în aplicare deplină a unor politici nediscriminatorii și a măsurilor vizând egalitatea, și îndeamnă autoritățile naționale competente să asigure monitorizarea eficace, respectarea legii și sancțiuni adecvate în caz de neconformitate;</w:t>
      </w:r>
    </w:p>
    <w:p w:rsidR="00615219" w:rsidRPr="009309DB" w:rsidP="00615219" w14:paraId="44BCA043" w14:textId="3C4C8940">
      <w:pPr>
        <w:pStyle w:val="NormalHanging12a"/>
        <w:rPr>
          <w:bCs/>
          <w:iCs/>
        </w:rPr>
      </w:pPr>
      <w:r w:rsidRPr="009309DB">
        <w:t>45</w:t>
      </w:r>
      <w:r w:rsidRPr="009309DB">
        <w:t>.</w:t>
      </w:r>
      <w:r w:rsidRPr="009309DB">
        <w:tab/>
        <w:t>subliniază că progresele înregistrate în direcția aderării la UE necesită un bilanț real al punerii în aplicare și al asigurării respectării acquis-ului în domeniul mediului, îndeosebi în ceea ce privește evaluările de mediu, legislația privind protecția naturii și drepturile de participare a publicului;</w:t>
      </w:r>
    </w:p>
    <w:p w:rsidR="00615219" w:rsidRPr="009309DB" w:rsidP="00615219" w14:paraId="135CF173" w14:textId="5F3A2EAB">
      <w:pPr>
        <w:pStyle w:val="NormalHanging12a"/>
      </w:pPr>
      <w:r w:rsidRPr="009309DB">
        <w:t>46</w:t>
      </w:r>
      <w:r w:rsidRPr="009309DB">
        <w:t>.</w:t>
      </w:r>
      <w:r w:rsidRPr="009309DB">
        <w:tab/>
        <w:t>ia act de anunțul guvernului albanez că va reforma sectorul gestionării deșeurilor, centralizând și îmbunătățind colectarea și gestionarea deșeurilor; observă cu îngrijorare totuși că potrivit evaluării Comisiei, nu s-au înregistrat progrese în ceea ce privește mediul și schimbările climatice pe durata perioadei de raportare; îndeamnă guvernul albanez să acorde prioritate punerii în aplicare a strategiilor de adaptare la schimbările climatice și dezvoltării surselor de energie regenerabile și să sprijine creșterea economică sustenabilă;</w:t>
      </w:r>
    </w:p>
    <w:p w:rsidR="00615219" w:rsidRPr="009309DB" w:rsidP="00615219" w14:paraId="6FA78AB6" w14:textId="561D4ED4">
      <w:pPr>
        <w:pStyle w:val="NormalHanging12a"/>
      </w:pPr>
      <w:r w:rsidRPr="009309DB">
        <w:t>47</w:t>
      </w:r>
      <w:r w:rsidRPr="009309DB">
        <w:t>.</w:t>
      </w:r>
      <w:r w:rsidRPr="009309DB">
        <w:tab/>
        <w:t>regretă profund prelungirea Legii din 2015 privind investițiile strategice, având în vedere dispozițiile sale ce permit accelerarea procedurilor de autorizare și reducerea controlului de mediu, care riscă să afecteze negativ zonele protejate și alte zone sensibile din punct de vedere ecologic; solicită abrogarea amendamentelor din 2024 la Legea privind zonele protejate, care permit dezvoltarea de infrastructuri turistice la scară largă în zonele protejate și transferă competențe esențiale de administrare și de luare a deciziilor la Consiliul național al teritoriului, slăbind astfel supravegherea mediului;</w:t>
      </w:r>
    </w:p>
    <w:p w:rsidR="005F6E26" w:rsidRPr="009309DB" w:rsidP="00615219" w14:paraId="5ABED954" w14:textId="3D660CC2">
      <w:pPr>
        <w:pStyle w:val="NormalHanging12a"/>
        <w:rPr>
          <w:bCs/>
          <w:iCs/>
        </w:rPr>
      </w:pPr>
      <w:r w:rsidRPr="009309DB">
        <w:rPr>
          <w:bCs/>
          <w:iCs/>
        </w:rPr>
        <w:t>48</w:t>
      </w:r>
      <w:r w:rsidRPr="009309DB">
        <w:rPr>
          <w:bCs/>
          <w:iCs/>
        </w:rPr>
        <w:t>.</w:t>
      </w:r>
      <w:r w:rsidRPr="009309DB">
        <w:rPr>
          <w:bCs/>
          <w:iCs/>
        </w:rPr>
        <w:tab/>
        <w:t>accentuează că Comisia a avertizat Albania cu privire la acțiunile care ar putea avea un impact asupra procesului său de aderare la UE, în contextul protestelor naționale în curs împotriva unui proiect de dezvoltare de lux la scară largă care amenință o zonă protejată de conservare a florei și faunei sălbatice ce găzduiește flamingi, foci și locuri de cuibărit ale țestoaselor; reiterează, în acest sens, criticile Comisiei și reamintește că alinierea la normele de mediu ale UE, inclusiv la Directiva privind păsările</w:t>
      </w:r>
      <w:r>
        <w:rPr>
          <w:rStyle w:val="FootnoteReference"/>
          <w:bCs/>
          <w:iCs/>
        </w:rPr>
        <w:footnoteReference w:id="7"/>
      </w:r>
      <w:r w:rsidRPr="009309DB">
        <w:rPr>
          <w:bCs/>
          <w:iCs/>
        </w:rPr>
        <w:t xml:space="preserve"> și la Directiva privind </w:t>
      </w:r>
      <w:r w:rsidRPr="009309DB">
        <w:rPr>
          <w:bCs/>
          <w:iCs/>
        </w:rPr>
        <w:t>habitatele</w:t>
      </w:r>
      <w:r>
        <w:rPr>
          <w:rStyle w:val="FootnoteReference"/>
          <w:bCs/>
          <w:iCs/>
        </w:rPr>
        <w:footnoteReference w:id="8"/>
      </w:r>
      <w:r w:rsidRPr="009309DB">
        <w:rPr>
          <w:bCs/>
          <w:iCs/>
        </w:rPr>
        <w:t>, reprezintă o condiție prealabilă pentru aderarea la UE;</w:t>
      </w:r>
    </w:p>
    <w:p w:rsidR="008A2AAB" w:rsidRPr="009309DB" w:rsidP="00615219" w14:paraId="72542874" w14:textId="4CFA238C">
      <w:pPr>
        <w:pStyle w:val="NormalHanging12a"/>
        <w:rPr>
          <w:bCs/>
          <w:iCs/>
        </w:rPr>
      </w:pPr>
      <w:r w:rsidRPr="009309DB">
        <w:rPr>
          <w:bCs/>
          <w:iCs/>
        </w:rPr>
        <w:t>49</w:t>
      </w:r>
      <w:r w:rsidRPr="009309DB">
        <w:rPr>
          <w:bCs/>
          <w:iCs/>
        </w:rPr>
        <w:t>.</w:t>
      </w:r>
      <w:r w:rsidRPr="009309DB">
        <w:rPr>
          <w:bCs/>
          <w:iCs/>
        </w:rPr>
        <w:tab/>
        <w:t xml:space="preserve">își exprimă profunda îngrijorare că evoluțiile în curs din zona protejată </w:t>
      </w:r>
      <w:r w:rsidRPr="009309DB">
        <w:rPr>
          <w:bCs/>
          <w:iCs/>
        </w:rPr>
        <w:t>Vjosa-Narta</w:t>
      </w:r>
      <w:r w:rsidRPr="009309DB">
        <w:rPr>
          <w:bCs/>
          <w:iCs/>
        </w:rPr>
        <w:t xml:space="preserve"> demonstrează consecințele practice ale acestor modificări legislative și riscurile aferente pentru zonele cu valoare ecologică recunoscută; urmărește îndeaproape protestele pașnice în masă în curs în această privință; invită autoritățile albaneze să instituie imediat un moratoriu privind toate noile proceduri de autorizare, lucrări de construcție și intervenții de dezvoltare în zonele protejate până la abrogarea dispozițiilor incompatibile din Legea modificată privind zonele protejate, pe baza unei solicitări de lungă durată din partea Comisiei și a Parlamentului, în conformitate cu criteriile de referință pentru închidere din capitolul 27 și până la asigurarea conformității depline cu standardele UE de protecție a naturii; subliniază că orice proiect în această zonă trebuie să facă obiectul unor evaluări cuprinzătoare ale impactului asupra mediului, în deplină conformitate cu standardele UE, inclusiv al unui proces transparent de participare a publicului, care include comunitățile locale, oamenii de știință și societatea civilă;</w:t>
      </w:r>
    </w:p>
    <w:p w:rsidR="00615219" w:rsidRPr="009309DB" w:rsidP="00615219" w14:paraId="09816254" w14:textId="77777777">
      <w:pPr>
        <w:pStyle w:val="NormalHanging12a"/>
        <w:rPr>
          <w:b/>
          <w:bCs/>
          <w:i/>
          <w:iCs/>
        </w:rPr>
      </w:pPr>
      <w:r w:rsidRPr="009309DB">
        <w:rPr>
          <w:b/>
          <w:i/>
        </w:rPr>
        <w:t>Politica externă și cooperarea regională</w:t>
      </w:r>
    </w:p>
    <w:p w:rsidR="00615219" w:rsidRPr="009309DB" w:rsidP="00615219" w14:paraId="43A5EDE2" w14:textId="0F043DFB">
      <w:pPr>
        <w:pStyle w:val="NormalHanging12a"/>
      </w:pPr>
      <w:r w:rsidRPr="009309DB">
        <w:t>50</w:t>
      </w:r>
      <w:r w:rsidRPr="009309DB">
        <w:t>.</w:t>
      </w:r>
      <w:r w:rsidRPr="009309DB">
        <w:tab/>
        <w:t>salută alinierea deplină continuă a Albaniei la politica externă și de securitate comună a UE, inclusiv la măsurile restrictive, implicarea continuă a Albaniei în misiunile și operațiunile politicii de securitate și apărare comune a UE, precum și rolul său constructiv în promovarea stabilității regionale, lucru care confirmă orientarea puternică euro-atlantică a țării; salută cooperarea consolidată în materie de securitate și apărare prin intermediul Parteneriatului pentru securitate și apărare UE-Albania și al dialogurilor în materie de securitate și apărare; accentuează importanța continuării cooperării, de exemplu prin inițiative comune de formare, capacități comune de informații și măsuri consolidate de securitate a frontierelor, pentru a răspunde provocărilor în materie de securitate regională și mondială;</w:t>
      </w:r>
    </w:p>
    <w:p w:rsidR="00615219" w:rsidRPr="009309DB" w:rsidP="00615219" w14:paraId="4FA3C7E0" w14:textId="30CA6EF2">
      <w:pPr>
        <w:pStyle w:val="NormalHanging12a"/>
      </w:pPr>
      <w:r w:rsidRPr="009309DB">
        <w:t>51</w:t>
      </w:r>
      <w:r w:rsidRPr="009309DB">
        <w:t>.</w:t>
      </w:r>
      <w:r w:rsidRPr="009309DB">
        <w:tab/>
        <w:t>accentuează că participarea la inițiativele și organizațiile internaționale ar trebui să fie în continuare în concordanță cu valorile UE, cu stabilitatea regională și cu obiectivele de integrare în UE ale Albaniei; evidențiază importanța transparenței și a unui control parlamentar adecvat în cazul deciziilor legate de angajamentele internaționale;</w:t>
      </w:r>
    </w:p>
    <w:p w:rsidR="00615219" w:rsidRPr="009309DB" w:rsidP="00615219" w14:paraId="5937AEDF" w14:textId="610F0C8F">
      <w:pPr>
        <w:pStyle w:val="NormalHanging12a"/>
        <w:rPr>
          <w:bCs/>
          <w:iCs/>
        </w:rPr>
      </w:pPr>
      <w:r w:rsidRPr="009309DB">
        <w:t>52</w:t>
      </w:r>
      <w:r w:rsidRPr="009309DB">
        <w:t>.</w:t>
      </w:r>
      <w:r w:rsidRPr="009309DB">
        <w:tab/>
        <w:t xml:space="preserve">subliniază importanța relațiilor de bună vecinătate și a cooperării regionale ca elemente esențiale ale procesului de extindere și salută participarea activă a Albaniei la inițiativele regionale; subliniază necesitatea unei cooperări mai aprofundate în materie de securitate între țările din Balcanii de Vest, promovându-se o coordonare mai strânsă între partenerii regionali, pentru a combate criminalitatea organizată, amenințările cibernetice și provocările hibride; recunoaște importanța strategică a regiunii </w:t>
      </w:r>
      <w:r w:rsidRPr="009309DB">
        <w:t>adriatico</w:t>
      </w:r>
      <w:r w:rsidRPr="009309DB">
        <w:t>-ionice pentru securitatea și stabilitatea economică a Europei; invită Albania să își consolideze capacitățile de securitate maritimă în coordonare cu UE și NATO, incluzând întărirea infrastructurii navale, îmbunătățirea sistemelor de supraveghere și intensificarea eforturilor de combatere a activităților ilicite, cum ar fi traficul de persoane; încurajează Albania să coopereze mai strâns cu statele costiere ale UE pentru a asigura protecția rutelor maritime esențiale și sustenabilitatea mediului în regiune;</w:t>
      </w:r>
    </w:p>
    <w:p w:rsidR="00615219" w:rsidRPr="009309DB" w:rsidP="00615219" w14:paraId="483C7A53" w14:textId="1961B134">
      <w:pPr>
        <w:pStyle w:val="NormalHanging12a"/>
        <w:rPr>
          <w:bCs/>
          <w:iCs/>
        </w:rPr>
      </w:pPr>
      <w:r w:rsidRPr="009309DB">
        <w:t>53</w:t>
      </w:r>
      <w:r w:rsidRPr="009309DB">
        <w:t>.</w:t>
      </w:r>
      <w:r w:rsidRPr="009309DB">
        <w:tab/>
        <w:t xml:space="preserve">avertizează că inițiativele dezvoltate în afara cadrului UE, inclusiv inițiativa „Open </w:t>
      </w:r>
      <w:r w:rsidRPr="009309DB">
        <w:t>Balkan</w:t>
      </w:r>
      <w:r w:rsidRPr="009309DB">
        <w:t>”, riscă să creeze structuri paralele care ar putea submina Procesul de la Berlin și piața regională comună a UE;</w:t>
      </w:r>
    </w:p>
    <w:p w:rsidR="00615219" w:rsidRPr="009309DB" w:rsidP="00615219" w14:paraId="532DAFC6" w14:textId="77777777">
      <w:pPr>
        <w:pStyle w:val="NormalHanging12a"/>
        <w:rPr>
          <w:b/>
          <w:bCs/>
          <w:i/>
          <w:iCs/>
        </w:rPr>
      </w:pPr>
      <w:r w:rsidRPr="009309DB">
        <w:rPr>
          <w:b/>
          <w:i/>
        </w:rPr>
        <w:t>Sprijinul UE</w:t>
      </w:r>
    </w:p>
    <w:p w:rsidR="00615219" w:rsidRPr="009309DB" w:rsidP="00615219" w14:paraId="1ABD0ECE" w14:textId="53D7D6E8">
      <w:pPr>
        <w:pStyle w:val="NormalHanging12a"/>
      </w:pPr>
      <w:r w:rsidRPr="009309DB">
        <w:t>54</w:t>
      </w:r>
      <w:r w:rsidRPr="009309DB">
        <w:t>.</w:t>
      </w:r>
      <w:r w:rsidRPr="009309DB">
        <w:tab/>
        <w:t>salută asistența financiară și tehnică a UE acordată Albaniei în cadrul IPA III și al Mecanismului de reformă și creștere și subliniază că un astfel de sprijin trebuie să rămână strâns legat de punerea în aplicare concretă a reformelor și de rezultate măsurabile; solicită un sprijin mai puternic din partea UE pentru inițiativele regionale în domeniul securității care măresc stabilitatea și reziliența în Balcanii de Vest; salută măsurile de asistență bilaterală din cadrul Instrumentului european pentru pace în sprijinul forțelor armate albaneze, care măresc potențialul Albaniei de a contribui la misiunile și operațiunile din cadrul politicii de securitate și apărare comune ale UE;</w:t>
      </w:r>
    </w:p>
    <w:p w:rsidR="00615219" w:rsidRPr="009309DB" w:rsidP="00615219" w14:paraId="61EDC070" w14:textId="1A5C52E8">
      <w:pPr>
        <w:pStyle w:val="NormalHanging12a"/>
        <w:rPr>
          <w:bCs/>
          <w:iCs/>
        </w:rPr>
      </w:pPr>
      <w:r w:rsidRPr="009309DB">
        <w:t>55</w:t>
      </w:r>
      <w:r w:rsidRPr="009309DB">
        <w:t>.</w:t>
      </w:r>
      <w:r w:rsidRPr="009309DB">
        <w:tab/>
        <w:t>solicită consolidarea supravegherii și participarea semnificativă a organizațiilor societății civile, a asociațiilor de întreprinderi și a partenerilor sociali în toate etapele Mecanismului de reformă și creștere pentru Balcanii de Vest, inclusiv la elaborarea de măsuri de reformă, la punerea în aplicare a proiectelor și la monitorizarea rezultatelor;</w:t>
      </w:r>
    </w:p>
    <w:p w:rsidR="00615219" w:rsidRPr="009309DB" w:rsidP="00615219" w14:paraId="78FC6D17" w14:textId="62E552D7">
      <w:pPr>
        <w:pStyle w:val="NormalHanging12a"/>
        <w:rPr>
          <w:bCs/>
          <w:iCs/>
        </w:rPr>
      </w:pPr>
      <w:r w:rsidRPr="009309DB">
        <w:t>56</w:t>
      </w:r>
      <w:r w:rsidRPr="009309DB">
        <w:t>.</w:t>
      </w:r>
      <w:r w:rsidRPr="009309DB">
        <w:tab/>
        <w:t>invită UE să ofere Albaniei asistență financiară și tehnică suplimentară pentru a sprijini dezvoltarea rurală sustenabilă și pentru a reduce diferențele dintre mediul urban și cel rural în conformitate cu politicile de coeziune ale UE;</w:t>
      </w:r>
    </w:p>
    <w:p w:rsidR="00615219" w:rsidRPr="009309DB" w:rsidP="00615219" w14:paraId="06F1F47C" w14:textId="12A7E3AA">
      <w:pPr>
        <w:pStyle w:val="NormalHanging12a"/>
        <w:rPr>
          <w:bCs/>
          <w:iCs/>
        </w:rPr>
      </w:pPr>
      <w:r w:rsidRPr="009309DB">
        <w:t>57</w:t>
      </w:r>
      <w:r w:rsidRPr="009309DB">
        <w:t>.</w:t>
      </w:r>
      <w:r w:rsidRPr="009309DB">
        <w:tab/>
        <w:t>își exprimă îngrijorarea cu privire la neregulile grave identificate de Oficiul European de Luptă Antifraudă în punerea în aplicare a programului Instrumentului de asistență pentru preaderare pentru dezvoltare rurală (IPARD II) al UE în Albania; subliniază că este important să se asigure transparența deplină, asumarea răspunderii și mecanisme eficace de control în utilizarea asistenței financiare din partea UE, pentru a proteja interesele financiare ale Uniunii și a menține încrederea populației; solicită punerea imediată în aplicare a măsurilor corective necesare;</w:t>
      </w:r>
    </w:p>
    <w:p w:rsidR="00615219" w:rsidRPr="009309DB" w:rsidP="00615219" w14:paraId="0B3CE688" w14:textId="4DD5B744">
      <w:pPr>
        <w:pStyle w:val="NormalHanging12a"/>
        <w:rPr>
          <w:bCs/>
          <w:iCs/>
        </w:rPr>
      </w:pPr>
      <w:r w:rsidRPr="009309DB">
        <w:t>58</w:t>
      </w:r>
      <w:r w:rsidRPr="009309DB">
        <w:t>.</w:t>
      </w:r>
      <w:r w:rsidRPr="009309DB">
        <w:tab/>
        <w:t>invită Comisia să continue să ofere orientări clare cu privire la prioritățile de reformă și să asigure o monitorizare transparentă și riguroasă a progreselor reformelor; invită, de asemenea, Comisia să organizeze o campanie de informare în toate statele membre și în Albania pentru a explica cetățenilor impactul pozitiv al extinderii UE;</w:t>
      </w:r>
    </w:p>
    <w:p w:rsidR="00615219" w:rsidRPr="009309DB" w:rsidP="00615219" w14:paraId="3A64ACB3" w14:textId="1AE4829F">
      <w:pPr>
        <w:pStyle w:val="NormalHanging12a"/>
        <w:rPr>
          <w:bCs/>
          <w:iCs/>
        </w:rPr>
      </w:pPr>
      <w:r w:rsidRPr="009309DB">
        <w:t>59</w:t>
      </w:r>
      <w:r w:rsidRPr="009309DB">
        <w:t>.</w:t>
      </w:r>
      <w:r w:rsidRPr="009309DB">
        <w:tab/>
        <w:t>încurajează Comisia ca, alături de Serviciul European de Acțiune Externă, să ajute în continuare Albania să își întărească reziliența în fața amenințărilor hibride, în domeniile securității cibernetice, manipulării informațiilor și protecției infrastructurilor critice; accentuează că este nevoie să se îmbunătățească coordonarea și să se răspundă problemei dezinformării și a amenințărilor hibride care urmăresc să submineze sprijinul populației Albaniei pentru aderarea la UE, subliniind în mod mai strategic relevanța UE pentru cetățenii din Balcanii de Vest;</w:t>
      </w:r>
    </w:p>
    <w:p w:rsidR="00615219" w:rsidRPr="009309DB" w:rsidP="00615219" w14:paraId="434218D5" w14:textId="77777777">
      <w:pPr>
        <w:pStyle w:val="NormalHanging12a"/>
      </w:pPr>
    </w:p>
    <w:p w:rsidR="00615219" w:rsidRPr="009309DB" w:rsidP="00615219" w14:paraId="59BF79FF" w14:textId="77777777">
      <w:pPr>
        <w:pStyle w:val="NormalHanging12a"/>
        <w:jc w:val="center"/>
      </w:pPr>
      <w:r w:rsidRPr="009309DB">
        <w:t>°</w:t>
      </w:r>
    </w:p>
    <w:p w:rsidR="00615219" w:rsidRPr="009309DB" w:rsidP="00615219" w14:paraId="21B80494" w14:textId="77777777">
      <w:pPr>
        <w:pStyle w:val="NormalHanging12a"/>
        <w:jc w:val="center"/>
      </w:pPr>
      <w:r w:rsidRPr="009309DB">
        <w:t>°</w:t>
      </w:r>
      <w:r w:rsidRPr="009309DB">
        <w:tab/>
        <w:t>°</w:t>
      </w:r>
    </w:p>
    <w:p w:rsidR="0091130D" w:rsidRPr="009309DB" w:rsidP="0091130D" w14:paraId="2B946C8C" w14:textId="4B73DC36">
      <w:pPr>
        <w:pStyle w:val="NormalHanging12a"/>
      </w:pPr>
      <w:r w:rsidRPr="009309DB">
        <w:t>60</w:t>
      </w:r>
      <w:r w:rsidRPr="009309DB" w:rsidR="00615219">
        <w:t>.</w:t>
      </w:r>
      <w:r w:rsidRPr="009309DB" w:rsidR="00615219">
        <w:tab/>
        <w:t xml:space="preserve">încredințează Președintei sarcina de a transmite prezenta rezoluție Consiliului și Comisiei, Președintelui Consiliului European, Vicepreședintei Comisiei/Înaltei Reprezentante a Uniunii pentru afaceri externe și politica de securitate, guvernelor și </w:t>
      </w:r>
      <w:r w:rsidRPr="009309DB" w:rsidR="00615219">
        <w:t>parlamentelor statelor membre, precum și Președintelui, Guvernului și Parlamentului Republicii Albania.</w:t>
      </w:r>
    </w:p>
    <w:p w:rsidR="00E365E1" w:rsidRPr="009309DB" w:rsidP="00DE2872" w14:paraId="49C664E2" w14:textId="3D1E8146"/>
    <w:sectPr w:rsidSect="0091130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E2872" w:rsidRPr="0091130D" w14:paraId="08072359" w14:textId="77777777">
      <w:r w:rsidRPr="0091130D">
        <w:separator/>
      </w:r>
    </w:p>
  </w:footnote>
  <w:footnote w:type="continuationSeparator" w:id="1">
    <w:p w:rsidR="00DE2872" w:rsidRPr="0091130D" w14:paraId="7F0CC684" w14:textId="77777777">
      <w:r w:rsidRPr="0091130D">
        <w:continuationSeparator/>
      </w:r>
    </w:p>
  </w:footnote>
  <w:footnote w:id="2">
    <w:p w:rsidR="00615219" w:rsidRPr="0091130D" w:rsidP="0091130D" w14:paraId="3E7AC4DF" w14:textId="4FE42DE1">
      <w:pPr>
        <w:pStyle w:val="FootnoteText"/>
        <w:ind w:left="567" w:hanging="567"/>
        <w:rPr>
          <w:sz w:val="24"/>
          <w:lang w:val="ro-RO"/>
        </w:rPr>
      </w:pPr>
      <w:r w:rsidRPr="0091130D">
        <w:rPr>
          <w:rStyle w:val="FootnoteReference"/>
          <w:sz w:val="24"/>
          <w:lang w:val="ro-RO"/>
        </w:rPr>
        <w:footnoteRef/>
      </w:r>
      <w:r w:rsidRPr="0091130D" w:rsidR="0091130D">
        <w:rPr>
          <w:sz w:val="24"/>
          <w:lang w:val="ro-RO"/>
        </w:rPr>
        <w:t xml:space="preserve"> </w:t>
      </w:r>
      <w:r w:rsidRPr="0091130D" w:rsidR="0091130D">
        <w:rPr>
          <w:sz w:val="24"/>
          <w:lang w:val="ro-RO"/>
        </w:rPr>
        <w:tab/>
      </w:r>
      <w:r w:rsidRPr="0091130D">
        <w:rPr>
          <w:sz w:val="24"/>
          <w:lang w:val="ro-RO"/>
        </w:rPr>
        <w:t>JO L 107, 28.4.2009, p. 166, ELI:</w:t>
      </w:r>
      <w:r w:rsidR="00DE4787">
        <w:rPr>
          <w:sz w:val="24"/>
          <w:lang w:val="ro-RO"/>
        </w:rPr>
        <w:t> </w:t>
      </w:r>
      <w:hyperlink r:id="rId1" w:tooltip="Oferă acces la acest document prin identificatorul său uniform de resurse ELI." w:history="1">
        <w:r w:rsidRPr="0091130D">
          <w:rPr>
            <w:rStyle w:val="Hyperlink"/>
            <w:sz w:val="24"/>
            <w:lang w:val="ro-RO"/>
          </w:rPr>
          <w:t>http://data.europa.eu/eli/agree_internation/2009/332/oj</w:t>
        </w:r>
      </w:hyperlink>
      <w:r w:rsidRPr="0091130D">
        <w:rPr>
          <w:sz w:val="24"/>
          <w:lang w:val="ro-RO"/>
        </w:rPr>
        <w:t>.</w:t>
      </w:r>
    </w:p>
  </w:footnote>
  <w:footnote w:id="3">
    <w:p w:rsidR="00615219" w:rsidRPr="0091130D" w:rsidP="0091130D" w14:paraId="06DF7C14" w14:textId="7FC102AA">
      <w:pPr>
        <w:pStyle w:val="FootnoteText"/>
        <w:ind w:left="567" w:hanging="567"/>
        <w:rPr>
          <w:sz w:val="24"/>
          <w:lang w:val="ro-RO"/>
        </w:rPr>
      </w:pPr>
      <w:r w:rsidRPr="0091130D">
        <w:rPr>
          <w:rStyle w:val="FootnoteReference"/>
          <w:sz w:val="24"/>
          <w:lang w:val="ro-RO"/>
        </w:rPr>
        <w:footnoteRef/>
      </w:r>
      <w:r w:rsidRPr="0091130D" w:rsidR="0091130D">
        <w:rPr>
          <w:sz w:val="24"/>
          <w:lang w:val="ro-RO"/>
        </w:rPr>
        <w:t xml:space="preserve"> </w:t>
      </w:r>
      <w:r w:rsidRPr="0091130D" w:rsidR="0091130D">
        <w:rPr>
          <w:sz w:val="24"/>
          <w:lang w:val="ro-RO"/>
        </w:rPr>
        <w:tab/>
      </w:r>
      <w:r w:rsidRPr="0091130D">
        <w:rPr>
          <w:sz w:val="24"/>
          <w:lang w:val="ro-RO"/>
        </w:rPr>
        <w:t xml:space="preserve">JO L 330, 20.9.2021, p. </w:t>
      </w:r>
      <w:r w:rsidRPr="0091130D">
        <w:rPr>
          <w:sz w:val="24"/>
          <w:lang w:val="ro-RO"/>
        </w:rPr>
        <w:t>1, ELI:</w:t>
      </w:r>
      <w:r w:rsidR="00DE4787">
        <w:rPr>
          <w:sz w:val="24"/>
          <w:lang w:val="ro-RO"/>
        </w:rPr>
        <w:t> </w:t>
      </w:r>
      <w:hyperlink r:id="rId2" w:tooltip="Oferă acces la acest document prin identificatorul său uniform de resurse ELI." w:history="1">
        <w:r w:rsidRPr="0091130D">
          <w:rPr>
            <w:rStyle w:val="Hyperlink"/>
            <w:sz w:val="24"/>
            <w:lang w:val="ro-RO"/>
          </w:rPr>
          <w:t>http://data.europa.eu/eli/reg/2021/1529/oj</w:t>
        </w:r>
      </w:hyperlink>
      <w:r w:rsidRPr="0091130D">
        <w:rPr>
          <w:sz w:val="24"/>
          <w:lang w:val="ro-RO"/>
        </w:rPr>
        <w:t>.</w:t>
      </w:r>
    </w:p>
  </w:footnote>
  <w:footnote w:id="4">
    <w:p w:rsidR="00615219" w:rsidRPr="0091130D" w:rsidP="0091130D" w14:paraId="46A7AF4E" w14:textId="2A9027E6">
      <w:pPr>
        <w:pStyle w:val="FootnoteText"/>
        <w:ind w:left="567" w:hanging="567"/>
        <w:rPr>
          <w:sz w:val="24"/>
          <w:lang w:val="ro-RO"/>
        </w:rPr>
      </w:pPr>
      <w:r w:rsidRPr="0091130D">
        <w:rPr>
          <w:rStyle w:val="FootnoteReference"/>
          <w:sz w:val="24"/>
          <w:lang w:val="ro-RO"/>
        </w:rPr>
        <w:footnoteRef/>
      </w:r>
      <w:r w:rsidRPr="0091130D" w:rsidR="0091130D">
        <w:rPr>
          <w:sz w:val="24"/>
          <w:lang w:val="ro-RO"/>
        </w:rPr>
        <w:t xml:space="preserve"> </w:t>
      </w:r>
      <w:r w:rsidRPr="0091130D" w:rsidR="0091130D">
        <w:rPr>
          <w:sz w:val="24"/>
          <w:lang w:val="ro-RO"/>
        </w:rPr>
        <w:tab/>
      </w:r>
      <w:r w:rsidRPr="0091130D">
        <w:rPr>
          <w:sz w:val="24"/>
          <w:lang w:val="ro-RO"/>
        </w:rPr>
        <w:t>JO L, 2024/1449, 24.5.2024, ELI:</w:t>
      </w:r>
      <w:r w:rsidR="00DE4787">
        <w:rPr>
          <w:sz w:val="24"/>
          <w:lang w:val="ro-RO"/>
        </w:rPr>
        <w:t> </w:t>
      </w:r>
      <w:hyperlink r:id="rId3" w:tgtFrame="_blank" w:tooltip="Oferă acces la acest document prin identificatorul său uniform de resurse ELI." w:history="1">
        <w:r w:rsidRPr="0091130D">
          <w:rPr>
            <w:rStyle w:val="Hyperlink"/>
            <w:sz w:val="24"/>
            <w:lang w:val="ro-RO"/>
          </w:rPr>
          <w:t>http://data.europa.eu/eli/reg/2024/1449/oj</w:t>
        </w:r>
      </w:hyperlink>
      <w:r w:rsidRPr="0091130D">
        <w:rPr>
          <w:sz w:val="24"/>
          <w:lang w:val="ro-RO"/>
        </w:rPr>
        <w:t>.</w:t>
      </w:r>
    </w:p>
  </w:footnote>
  <w:footnote w:id="5">
    <w:p w:rsidR="00615219" w:rsidRPr="0091130D" w:rsidP="0091130D" w14:paraId="29FD2B57" w14:textId="67914B6C">
      <w:pPr>
        <w:pStyle w:val="FootnoteText"/>
        <w:ind w:left="567" w:hanging="567"/>
        <w:rPr>
          <w:sz w:val="24"/>
          <w:lang w:val="ro-RO"/>
        </w:rPr>
      </w:pPr>
      <w:r w:rsidRPr="0091130D">
        <w:rPr>
          <w:rStyle w:val="FootnoteReference"/>
          <w:sz w:val="24"/>
          <w:lang w:val="ro-RO"/>
        </w:rPr>
        <w:footnoteRef/>
      </w:r>
      <w:r w:rsidRPr="0091130D" w:rsidR="0091130D">
        <w:rPr>
          <w:sz w:val="24"/>
          <w:lang w:val="ro-RO"/>
        </w:rPr>
        <w:t xml:space="preserve"> </w:t>
      </w:r>
      <w:r w:rsidRPr="0091130D" w:rsidR="0091130D">
        <w:rPr>
          <w:sz w:val="24"/>
          <w:lang w:val="ro-RO"/>
        </w:rPr>
        <w:tab/>
      </w:r>
      <w:r w:rsidRPr="0091130D">
        <w:rPr>
          <w:sz w:val="24"/>
          <w:lang w:val="ro-RO"/>
        </w:rPr>
        <w:t>Texte adoptate, P10_TA(2026)0077.</w:t>
      </w:r>
    </w:p>
  </w:footnote>
  <w:footnote w:id="6">
    <w:p w:rsidR="00615219" w:rsidRPr="0091130D" w:rsidP="0091130D" w14:paraId="70746093" w14:textId="52FC7DAE">
      <w:pPr>
        <w:pStyle w:val="FootnoteText"/>
        <w:ind w:left="567" w:hanging="567"/>
        <w:rPr>
          <w:sz w:val="24"/>
          <w:lang w:val="ro-RO"/>
        </w:rPr>
      </w:pPr>
      <w:r w:rsidRPr="0091130D">
        <w:rPr>
          <w:rStyle w:val="FootnoteReference"/>
          <w:sz w:val="24"/>
          <w:lang w:val="ro-RO"/>
        </w:rPr>
        <w:footnoteRef/>
      </w:r>
      <w:r w:rsidRPr="0091130D" w:rsidR="0091130D">
        <w:rPr>
          <w:sz w:val="24"/>
          <w:lang w:val="ro-RO"/>
        </w:rPr>
        <w:t xml:space="preserve"> </w:t>
      </w:r>
      <w:r w:rsidRPr="0091130D" w:rsidR="0091130D">
        <w:rPr>
          <w:sz w:val="24"/>
          <w:lang w:val="ro-RO"/>
        </w:rPr>
        <w:tab/>
      </w:r>
      <w:r w:rsidRPr="0091130D">
        <w:rPr>
          <w:sz w:val="24"/>
          <w:lang w:val="ro-RO"/>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w:t>
      </w:r>
      <w:r w:rsidRPr="0091130D">
        <w:rPr>
          <w:sz w:val="24"/>
          <w:lang w:val="ro-RO"/>
        </w:rPr>
        <w:t>80, ELI: </w:t>
      </w:r>
      <w:hyperlink r:id="rId4" w:tooltip="Oferă acces la acest document prin identificatorul său uniform de resurse ELI." w:history="1">
        <w:r w:rsidRPr="0091130D">
          <w:rPr>
            <w:rStyle w:val="Hyperlink"/>
            <w:sz w:val="24"/>
            <w:lang w:val="ro-RO"/>
          </w:rPr>
          <w:t>http://data.europa.eu/eli/dir/2022/2555/oj</w:t>
        </w:r>
      </w:hyperlink>
      <w:r w:rsidRPr="0091130D">
        <w:rPr>
          <w:sz w:val="24"/>
          <w:lang w:val="ro-RO"/>
        </w:rPr>
        <w:t>).</w:t>
      </w:r>
    </w:p>
  </w:footnote>
  <w:footnote w:id="7">
    <w:p w:rsidR="005F6E26" w:rsidRPr="009309DB" w:rsidP="009309DB" w14:paraId="4743E1F3" w14:textId="33712B56">
      <w:pPr>
        <w:pStyle w:val="FootnoteText"/>
        <w:ind w:left="567" w:hanging="567"/>
        <w:rPr>
          <w:sz w:val="24"/>
          <w:szCs w:val="22"/>
          <w:lang w:val="ro-RO"/>
        </w:rPr>
      </w:pPr>
      <w:r w:rsidRPr="009309DB">
        <w:rPr>
          <w:rStyle w:val="FootnoteReference"/>
          <w:sz w:val="24"/>
          <w:szCs w:val="22"/>
        </w:rPr>
        <w:footnoteRef/>
      </w:r>
      <w:r w:rsidRPr="009309DB">
        <w:rPr>
          <w:sz w:val="24"/>
          <w:szCs w:val="22"/>
          <w:lang w:val="ro-RO"/>
        </w:rPr>
        <w:t xml:space="preserve"> </w:t>
      </w:r>
      <w:r w:rsidRPr="009309DB">
        <w:rPr>
          <w:sz w:val="24"/>
          <w:szCs w:val="22"/>
          <w:lang w:val="ro-RO"/>
        </w:rPr>
        <w:tab/>
        <w:t>Directiva 2009/147/CE a Parlamentului European și a Consiliului din 30 noiembrie 2009 privind conservarea păsărilor sălbatice (JO L 20, 26.1.2010, p. </w:t>
      </w:r>
      <w:r w:rsidRPr="009309DB">
        <w:rPr>
          <w:sz w:val="24"/>
          <w:szCs w:val="22"/>
          <w:lang w:val="ro-RO"/>
        </w:rPr>
        <w:t>7, ELI: </w:t>
      </w:r>
      <w:hyperlink r:id="rId5" w:tooltip="Gives access to this document through its ELI URI." w:history="1">
        <w:r w:rsidRPr="009309DB">
          <w:rPr>
            <w:rStyle w:val="Hyperlink"/>
            <w:sz w:val="24"/>
            <w:szCs w:val="22"/>
            <w:lang w:val="ro-RO"/>
          </w:rPr>
          <w:t>http://data.europa.eu/eli/dir/2009/147/oj</w:t>
        </w:r>
      </w:hyperlink>
      <w:r w:rsidRPr="009309DB">
        <w:rPr>
          <w:sz w:val="24"/>
          <w:szCs w:val="22"/>
          <w:lang w:val="ro-RO"/>
        </w:rPr>
        <w:t>).</w:t>
      </w:r>
    </w:p>
  </w:footnote>
  <w:footnote w:id="8">
    <w:p w:rsidR="004F4917" w:rsidRPr="009309DB" w:rsidP="004F4917" w14:paraId="1FF6BA94" w14:textId="0AB31D31">
      <w:pPr>
        <w:pStyle w:val="FootnoteText"/>
        <w:ind w:left="567" w:hanging="567"/>
        <w:rPr>
          <w:sz w:val="24"/>
          <w:szCs w:val="24"/>
          <w:lang w:val="ro-RO"/>
        </w:rPr>
      </w:pPr>
      <w:r w:rsidRPr="002655CC">
        <w:rPr>
          <w:rStyle w:val="FootnoteReference"/>
          <w:sz w:val="24"/>
          <w:szCs w:val="24"/>
        </w:rPr>
        <w:footnoteRef/>
      </w:r>
      <w:r w:rsidRPr="009309DB">
        <w:rPr>
          <w:sz w:val="24"/>
          <w:szCs w:val="24"/>
          <w:lang w:val="ro-RO"/>
        </w:rPr>
        <w:t xml:space="preserve"> </w:t>
      </w:r>
      <w:r w:rsidRPr="009309DB">
        <w:rPr>
          <w:sz w:val="24"/>
          <w:szCs w:val="24"/>
          <w:lang w:val="ro-RO"/>
        </w:rPr>
        <w:tab/>
        <w:t>Directiva 92/43/CEE a Consiliului din 21 mai 1992 privind conservarea habitatelor naturale și a speciilor de faună și floră sălbatică (J</w:t>
      </w:r>
      <w:r>
        <w:rPr>
          <w:sz w:val="24"/>
          <w:szCs w:val="24"/>
          <w:lang w:val="ro-RO"/>
        </w:rPr>
        <w:t>O</w:t>
      </w:r>
      <w:r w:rsidRPr="009309DB">
        <w:rPr>
          <w:sz w:val="24"/>
          <w:szCs w:val="24"/>
          <w:lang w:val="ro-RO"/>
        </w:rPr>
        <w:t xml:space="preserve"> L 206, 22.7.1992, p. </w:t>
      </w:r>
      <w:r w:rsidRPr="009309DB">
        <w:rPr>
          <w:sz w:val="24"/>
          <w:szCs w:val="24"/>
          <w:lang w:val="ro-RO"/>
        </w:rPr>
        <w:t xml:space="preserve">7, ELI: </w:t>
      </w:r>
      <w:hyperlink r:id="rId6" w:history="1">
        <w:r w:rsidRPr="009309DB">
          <w:rPr>
            <w:rStyle w:val="Hyperlink"/>
            <w:sz w:val="24"/>
            <w:szCs w:val="24"/>
            <w:lang w:val="ro-RO"/>
          </w:rPr>
          <w:t>http://data.europa.eu/eli/dir/1992/43/oj</w:t>
        </w:r>
      </w:hyperlink>
      <w:r w:rsidRPr="009309DB">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2021902">
    <w:abstractNumId w:val="9"/>
  </w:num>
  <w:num w:numId="2" w16cid:durableId="177624108">
    <w:abstractNumId w:val="9"/>
  </w:num>
  <w:num w:numId="3" w16cid:durableId="1462721761">
    <w:abstractNumId w:val="7"/>
  </w:num>
  <w:num w:numId="4" w16cid:durableId="1193690618">
    <w:abstractNumId w:val="7"/>
  </w:num>
  <w:num w:numId="5" w16cid:durableId="1613785791">
    <w:abstractNumId w:val="6"/>
  </w:num>
  <w:num w:numId="6" w16cid:durableId="695423632">
    <w:abstractNumId w:val="6"/>
  </w:num>
  <w:num w:numId="7" w16cid:durableId="1867525325">
    <w:abstractNumId w:val="5"/>
  </w:num>
  <w:num w:numId="8" w16cid:durableId="1956211563">
    <w:abstractNumId w:val="5"/>
  </w:num>
  <w:num w:numId="9" w16cid:durableId="1947497638">
    <w:abstractNumId w:val="4"/>
  </w:num>
  <w:num w:numId="10" w16cid:durableId="42409470">
    <w:abstractNumId w:val="4"/>
  </w:num>
  <w:num w:numId="11" w16cid:durableId="823201157">
    <w:abstractNumId w:val="8"/>
  </w:num>
  <w:num w:numId="12" w16cid:durableId="447428100">
    <w:abstractNumId w:val="8"/>
  </w:num>
  <w:num w:numId="13" w16cid:durableId="1304889809">
    <w:abstractNumId w:val="3"/>
  </w:num>
  <w:num w:numId="14" w16cid:durableId="1783454531">
    <w:abstractNumId w:val="3"/>
  </w:num>
  <w:num w:numId="15" w16cid:durableId="1778062066">
    <w:abstractNumId w:val="2"/>
  </w:num>
  <w:num w:numId="16" w16cid:durableId="752580756">
    <w:abstractNumId w:val="2"/>
  </w:num>
  <w:num w:numId="17" w16cid:durableId="695690249">
    <w:abstractNumId w:val="1"/>
  </w:num>
  <w:num w:numId="18" w16cid:durableId="1956014965">
    <w:abstractNumId w:val="1"/>
  </w:num>
  <w:num w:numId="19" w16cid:durableId="63915245">
    <w:abstractNumId w:val="0"/>
  </w:num>
  <w:num w:numId="20" w16cid:durableId="1642690395">
    <w:abstractNumId w:val="0"/>
  </w:num>
  <w:num w:numId="21" w16cid:durableId="1554466661">
    <w:abstractNumId w:val="9"/>
  </w:num>
  <w:num w:numId="22" w16cid:durableId="287778448">
    <w:abstractNumId w:val="7"/>
  </w:num>
  <w:num w:numId="23" w16cid:durableId="193079253">
    <w:abstractNumId w:val="6"/>
  </w:num>
  <w:num w:numId="24" w16cid:durableId="1403136500">
    <w:abstractNumId w:val="5"/>
  </w:num>
  <w:num w:numId="25" w16cid:durableId="252248280">
    <w:abstractNumId w:val="4"/>
  </w:num>
  <w:num w:numId="26" w16cid:durableId="1012104865">
    <w:abstractNumId w:val="8"/>
  </w:num>
  <w:num w:numId="27" w16cid:durableId="1557543376">
    <w:abstractNumId w:val="3"/>
  </w:num>
  <w:num w:numId="28" w16cid:durableId="253243483">
    <w:abstractNumId w:val="2"/>
  </w:num>
  <w:num w:numId="29" w16cid:durableId="2053535489">
    <w:abstractNumId w:val="1"/>
  </w:num>
  <w:num w:numId="30" w16cid:durableId="1764494913">
    <w:abstractNumId w:val="0"/>
  </w:num>
  <w:num w:numId="31" w16cid:durableId="1597706850">
    <w:abstractNumId w:val="9"/>
  </w:num>
  <w:num w:numId="32" w16cid:durableId="751318677">
    <w:abstractNumId w:val="7"/>
  </w:num>
  <w:num w:numId="33" w16cid:durableId="179709235">
    <w:abstractNumId w:val="6"/>
  </w:num>
  <w:num w:numId="34" w16cid:durableId="1234051058">
    <w:abstractNumId w:val="5"/>
  </w:num>
  <w:num w:numId="35" w16cid:durableId="1900748141">
    <w:abstractNumId w:val="4"/>
  </w:num>
  <w:num w:numId="36" w16cid:durableId="58405889">
    <w:abstractNumId w:val="8"/>
  </w:num>
  <w:num w:numId="37" w16cid:durableId="711661426">
    <w:abstractNumId w:val="3"/>
  </w:num>
  <w:num w:numId="38" w16cid:durableId="1883907669">
    <w:abstractNumId w:val="2"/>
  </w:num>
  <w:num w:numId="39" w16cid:durableId="1579905311">
    <w:abstractNumId w:val="1"/>
  </w:num>
  <w:num w:numId="40" w16cid:durableId="513498958">
    <w:abstractNumId w:val="0"/>
  </w:num>
  <w:num w:numId="41" w16cid:durableId="181894242">
    <w:abstractNumId w:val="10"/>
  </w:num>
  <w:num w:numId="42" w16cid:durableId="1656685912">
    <w:abstractNumId w:val="10"/>
  </w:num>
  <w:num w:numId="43" w16cid:durableId="1849829155">
    <w:abstractNumId w:val="10"/>
  </w:num>
  <w:num w:numId="44" w16cid:durableId="155802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553C"/>
    <w:rsid w:val="00411CCE"/>
    <w:rsid w:val="0041666E"/>
    <w:rsid w:val="00421060"/>
    <w:rsid w:val="00471C19"/>
    <w:rsid w:val="004867E3"/>
    <w:rsid w:val="00494A28"/>
    <w:rsid w:val="004C0004"/>
    <w:rsid w:val="004C5D52"/>
    <w:rsid w:val="004F4917"/>
    <w:rsid w:val="0050519A"/>
    <w:rsid w:val="005072A1"/>
    <w:rsid w:val="00514517"/>
    <w:rsid w:val="00545827"/>
    <w:rsid w:val="00560270"/>
    <w:rsid w:val="005C2568"/>
    <w:rsid w:val="005D405B"/>
    <w:rsid w:val="005F1B17"/>
    <w:rsid w:val="005F6E26"/>
    <w:rsid w:val="006037C0"/>
    <w:rsid w:val="00615219"/>
    <w:rsid w:val="006631B6"/>
    <w:rsid w:val="00680577"/>
    <w:rsid w:val="006F74FA"/>
    <w:rsid w:val="00731ADD"/>
    <w:rsid w:val="00734777"/>
    <w:rsid w:val="00747932"/>
    <w:rsid w:val="00751A4A"/>
    <w:rsid w:val="00756632"/>
    <w:rsid w:val="00762C74"/>
    <w:rsid w:val="007725AF"/>
    <w:rsid w:val="00786EC0"/>
    <w:rsid w:val="007D1690"/>
    <w:rsid w:val="007E22AD"/>
    <w:rsid w:val="00817416"/>
    <w:rsid w:val="00842779"/>
    <w:rsid w:val="00865F67"/>
    <w:rsid w:val="00881A7B"/>
    <w:rsid w:val="008840E5"/>
    <w:rsid w:val="00887B3E"/>
    <w:rsid w:val="008A2AAB"/>
    <w:rsid w:val="008C2AC6"/>
    <w:rsid w:val="008E3E88"/>
    <w:rsid w:val="0091130D"/>
    <w:rsid w:val="009309DB"/>
    <w:rsid w:val="00930C23"/>
    <w:rsid w:val="0093193B"/>
    <w:rsid w:val="009509D8"/>
    <w:rsid w:val="00950B64"/>
    <w:rsid w:val="00981893"/>
    <w:rsid w:val="00A1687D"/>
    <w:rsid w:val="00A43E52"/>
    <w:rsid w:val="00A4678D"/>
    <w:rsid w:val="00A778C7"/>
    <w:rsid w:val="00A93D88"/>
    <w:rsid w:val="00AB441E"/>
    <w:rsid w:val="00AB6293"/>
    <w:rsid w:val="00AE0928"/>
    <w:rsid w:val="00AF3B82"/>
    <w:rsid w:val="00B12E95"/>
    <w:rsid w:val="00B21477"/>
    <w:rsid w:val="00B22876"/>
    <w:rsid w:val="00B36552"/>
    <w:rsid w:val="00B558F0"/>
    <w:rsid w:val="00BD48FE"/>
    <w:rsid w:val="00BD7BD8"/>
    <w:rsid w:val="00BE2FF6"/>
    <w:rsid w:val="00BE6ADC"/>
    <w:rsid w:val="00C05BFE"/>
    <w:rsid w:val="00C23CD4"/>
    <w:rsid w:val="00C61C0C"/>
    <w:rsid w:val="00C941CB"/>
    <w:rsid w:val="00CC2357"/>
    <w:rsid w:val="00CF071A"/>
    <w:rsid w:val="00D058B8"/>
    <w:rsid w:val="00D56C11"/>
    <w:rsid w:val="00D834A0"/>
    <w:rsid w:val="00D872DF"/>
    <w:rsid w:val="00D91E21"/>
    <w:rsid w:val="00DA7FCD"/>
    <w:rsid w:val="00DE2872"/>
    <w:rsid w:val="00DE4787"/>
    <w:rsid w:val="00E365E1"/>
    <w:rsid w:val="00E820A4"/>
    <w:rsid w:val="00EB006A"/>
    <w:rsid w:val="00EB4772"/>
    <w:rsid w:val="00EC703D"/>
    <w:rsid w:val="00ED169E"/>
    <w:rsid w:val="00ED4235"/>
    <w:rsid w:val="00F04346"/>
    <w:rsid w:val="00F075DC"/>
    <w:rsid w:val="00F149E9"/>
    <w:rsid w:val="00F5134D"/>
    <w:rsid w:val="00F74202"/>
    <w:rsid w:val="00F87713"/>
    <w:rsid w:val="00FB4360"/>
    <w:rsid w:val="00FD0C70"/>
    <w:rsid w:val="00FE06A0"/>
  </w:rsids>
  <w:docVars>
    <w:docVar w:name="dvdocse" w:val="A10-0141/2026"/>
    <w:docVar w:name="dvlangue" w:val="RO"/>
    <w:docVar w:name="dvnumam" w:val="0"/>
    <w:docVar w:name="dvpe" w:val="784.259"/>
    <w:docVar w:name="dvrapporteur" w:val="Raportor: "/>
    <w:docVar w:name="dvtitre" w:val="Rezoluția Parlamentului European din 16 iunie 2026 referitoare la raportul Comisiei privind Albania pe 2025(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DEFBCD"/>
  <w15:chartTrackingRefBased/>
  <w15:docId w15:val="{639F10BC-E4D3-4711-8BC3-E492B4942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5219"/>
    <w:pPr>
      <w:spacing w:after="240"/>
      <w:ind w:left="567" w:hanging="567"/>
    </w:pPr>
  </w:style>
  <w:style w:type="paragraph" w:customStyle="1" w:styleId="EPComma">
    <w:name w:val="EPComma"/>
    <w:basedOn w:val="Normal"/>
    <w:rsid w:val="00615219"/>
    <w:pPr>
      <w:spacing w:before="480" w:after="240"/>
    </w:pPr>
  </w:style>
  <w:style w:type="character" w:styleId="Hyperlink">
    <w:name w:val="Hyperlink"/>
    <w:basedOn w:val="DefaultParagraphFont"/>
    <w:unhideWhenUsed/>
    <w:rsid w:val="00615219"/>
    <w:rPr>
      <w:color w:val="0563C1" w:themeColor="hyperlink"/>
      <w:u w:val="single"/>
    </w:rPr>
  </w:style>
  <w:style w:type="character" w:customStyle="1" w:styleId="NormalHanging12aChar">
    <w:name w:val="NormalHanging12a Char"/>
    <w:basedOn w:val="DefaultParagraphFont"/>
    <w:link w:val="NormalHanging12a"/>
    <w:rsid w:val="00615219"/>
    <w:rPr>
      <w:sz w:val="24"/>
      <w:lang w:val="ro-RO"/>
    </w:rPr>
  </w:style>
  <w:style w:type="paragraph" w:styleId="Revision">
    <w:name w:val="Revision"/>
    <w:hidden/>
    <w:uiPriority w:val="99"/>
    <w:semiHidden/>
    <w:rsid w:val="00DE478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5409</Words>
  <Characters>34143</Characters>
  <Application>Microsoft Office Word</Application>
  <DocSecurity>0</DocSecurity>
  <Lines>284</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2026-06-17T15:28:00Z</dcterms:created>
  <dcterms:modified xsi:type="dcterms:W3CDTF">2026-06-17T15:28:00Z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A10-0141/2026</vt:lpwstr>
  </property>
  <property fmtid="{D5CDD505-2E9C-101B-9397-08002B2CF9AE}" pid="4" name="&lt;Type&gt;">
    <vt:lpwstr>RR</vt:lpwstr>
  </property>
</Properties>
</file>