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1AA478AB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D5A41" w:rsidP="0010095E" w14:paraId="16F44CDF" w14:textId="77777777">
            <w:pPr>
              <w:pStyle w:val="EPName"/>
            </w:pPr>
            <w:r w:rsidRPr="004D5A41">
              <w:t>Európsky parlament</w:t>
            </w:r>
          </w:p>
          <w:p w:rsidR="00751A4A" w:rsidRPr="004D5A41" w:rsidP="005F1B17" w14:paraId="3535C7C0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D5A41">
              <w:t>2024</w:t>
            </w:r>
            <w:r w:rsidRPr="004D5A41" w:rsidR="00817416">
              <w:t>-202</w:t>
            </w:r>
            <w:r w:rsidRPr="004D5A41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4D5A41" w:rsidP="0010095E" w14:paraId="6B3CE830" w14:textId="77777777">
            <w:pPr>
              <w:pStyle w:val="EPLogo"/>
            </w:pPr>
            <w:r w:rsidRPr="004D5A41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D5A41" w:rsidP="004C5D52" w14:paraId="32B5FC15" w14:textId="77777777">
      <w:pPr>
        <w:pStyle w:val="LineTop"/>
      </w:pPr>
    </w:p>
    <w:p w:rsidR="00680577" w:rsidRPr="004D5A41" w:rsidP="00680577" w14:paraId="0A9481CE" w14:textId="77777777">
      <w:pPr>
        <w:pStyle w:val="EPBodyTA1"/>
      </w:pPr>
      <w:r w:rsidRPr="004D5A41">
        <w:t>PRIJATÉ TEXTY</w:t>
      </w:r>
    </w:p>
    <w:p w:rsidR="00D058B8" w:rsidRPr="004D5A41" w:rsidP="00D058B8" w14:paraId="7E447CF2" w14:textId="77777777">
      <w:pPr>
        <w:pStyle w:val="LineBottom"/>
      </w:pPr>
    </w:p>
    <w:p w:rsidR="00793367" w:rsidRPr="004D5A41" w:rsidP="00793367" w14:paraId="247A4A33" w14:textId="1D954606">
      <w:pPr>
        <w:pStyle w:val="ATHeading1"/>
      </w:pPr>
      <w:bookmarkStart w:id="0" w:name="TANumber"/>
      <w:r w:rsidRPr="004D5A41">
        <w:t>P10_TA(2026)0</w:t>
      </w:r>
      <w:r w:rsidRPr="004D5A41" w:rsidR="00D721FA">
        <w:t>217</w:t>
      </w:r>
      <w:bookmarkEnd w:id="0"/>
    </w:p>
    <w:p w:rsidR="00793367" w:rsidRPr="004D5A41" w:rsidP="00793367" w14:paraId="027D4ACB" w14:textId="77777777">
      <w:pPr>
        <w:pStyle w:val="ATHeading2"/>
      </w:pPr>
      <w:bookmarkStart w:id="1" w:name="title"/>
      <w:r w:rsidRPr="004D5A41">
        <w:t>Správa Komisie o Albánsku za rok 2025</w:t>
      </w:r>
      <w:bookmarkEnd w:id="1"/>
    </w:p>
    <w:p w:rsidR="00793367" w:rsidRPr="004D5A41" w:rsidP="00793367" w14:paraId="1BAAED12" w14:textId="77777777">
      <w:pPr>
        <w:rPr>
          <w:i/>
          <w:vanish/>
        </w:rPr>
      </w:pPr>
      <w:r>
        <w:rPr>
          <w:i/>
        </w:rPr>
        <w:fldChar w:fldCharType="begin"/>
      </w:r>
      <w:r w:rsidRPr="004D5A41">
        <w:rPr>
          <w:i/>
        </w:rPr>
        <w:instrText xml:space="preserve"> TC"(</w:instrText>
      </w:r>
      <w:bookmarkStart w:id="2" w:name="DocNumber"/>
      <w:r w:rsidRPr="004D5A41">
        <w:rPr>
          <w:i/>
        </w:rPr>
        <w:instrText>A10-0141/2026</w:instrText>
      </w:r>
      <w:bookmarkEnd w:id="2"/>
      <w:r w:rsidRPr="004D5A41">
        <w:rPr>
          <w:i/>
        </w:rPr>
        <w:instrText xml:space="preserve"> - Spravodajca: </w:instrText>
      </w:r>
      <w:r w:rsidRPr="004D5A41">
        <w:rPr>
          <w:i/>
        </w:rPr>
        <w:instrText>Andreas</w:instrText>
      </w:r>
      <w:r w:rsidRPr="004D5A41">
        <w:rPr>
          <w:i/>
        </w:rPr>
        <w:instrText xml:space="preserve"> </w:instrText>
      </w:r>
      <w:r w:rsidRPr="004D5A41">
        <w:rPr>
          <w:i/>
        </w:rPr>
        <w:instrText>Schieder</w:instrText>
      </w:r>
      <w:r w:rsidRPr="004D5A41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793367" w:rsidRPr="004D5A41" w:rsidP="00793367" w14:paraId="07557C2C" w14:textId="77777777">
      <w:pPr>
        <w:rPr>
          <w:vanish/>
        </w:rPr>
      </w:pPr>
      <w:bookmarkStart w:id="3" w:name="Commission"/>
      <w:r w:rsidRPr="004D5A41">
        <w:rPr>
          <w:vanish/>
        </w:rPr>
        <w:t>Výbor pre zahraničné veci</w:t>
      </w:r>
      <w:bookmarkEnd w:id="3"/>
    </w:p>
    <w:p w:rsidR="00793367" w:rsidRPr="004D5A41" w:rsidP="00793367" w14:paraId="75896A0A" w14:textId="77777777">
      <w:pPr>
        <w:rPr>
          <w:vanish/>
        </w:rPr>
      </w:pPr>
      <w:bookmarkStart w:id="4" w:name="PE"/>
      <w:r w:rsidRPr="004D5A41">
        <w:rPr>
          <w:vanish/>
        </w:rPr>
        <w:t>PE784.259</w:t>
      </w:r>
      <w:bookmarkEnd w:id="4"/>
    </w:p>
    <w:p w:rsidR="00793367" w:rsidRPr="004D5A41" w:rsidP="00793367" w14:paraId="33B5FB78" w14:textId="0F3335DA">
      <w:pPr>
        <w:pStyle w:val="ATHeading3"/>
      </w:pPr>
      <w:bookmarkStart w:id="5" w:name="Sujet"/>
      <w:r w:rsidRPr="004D5A41">
        <w:t xml:space="preserve">Uznesenie Európskeho parlamentu zo </w:t>
      </w:r>
      <w:r w:rsidRPr="004D5A41" w:rsidR="005D697A">
        <w:t>17. júna</w:t>
      </w:r>
      <w:r w:rsidRPr="004D5A41">
        <w:t xml:space="preserve"> 2026 o správe Komisie o Albánsku za rok 2025</w:t>
      </w:r>
      <w:bookmarkEnd w:id="5"/>
      <w:r w:rsidRPr="004D5A41">
        <w:t xml:space="preserve"> </w:t>
      </w:r>
      <w:bookmarkStart w:id="6" w:name="References"/>
      <w:r w:rsidRPr="004D5A41">
        <w:t>(2025/2250(INI))</w:t>
      </w:r>
      <w:bookmarkEnd w:id="6"/>
    </w:p>
    <w:p w:rsidR="00E709D0" w:rsidRPr="004D5A41" w:rsidP="00E709D0" w14:paraId="5EAD72A1" w14:textId="77777777">
      <w:pPr>
        <w:pStyle w:val="EPComma"/>
      </w:pPr>
      <w:r w:rsidRPr="004D5A41">
        <w:rPr>
          <w:i/>
        </w:rPr>
        <w:t>Európsky parlament</w:t>
      </w:r>
      <w:r w:rsidRPr="004D5A41">
        <w:t>,</w:t>
      </w:r>
    </w:p>
    <w:p w:rsidR="00E709D0" w:rsidRPr="004D5A41" w:rsidP="00E709D0" w14:paraId="3F137051" w14:textId="77777777">
      <w:pPr>
        <w:pStyle w:val="NormalHanging12a"/>
      </w:pPr>
      <w:r w:rsidRPr="004D5A41">
        <w:t>–</w:t>
      </w:r>
      <w:r w:rsidRPr="004D5A41">
        <w:tab/>
        <w:t>so zreteľom na Stabilizačnú a asociačnú dohodu medzi Európskymi spoločenstvami a ich členskými štátmi na jednej strane a Albánskou republikou na strane druhej</w:t>
      </w:r>
      <w:r>
        <w:rPr>
          <w:vertAlign w:val="superscript"/>
        </w:rPr>
        <w:footnoteReference w:id="2"/>
      </w:r>
      <w:r w:rsidRPr="004D5A41">
        <w:t>,</w:t>
      </w:r>
    </w:p>
    <w:p w:rsidR="00E709D0" w:rsidRPr="004D5A41" w:rsidP="00E709D0" w14:paraId="67C8A77E" w14:textId="77777777">
      <w:pPr>
        <w:pStyle w:val="NormalHanging12a"/>
      </w:pPr>
      <w:r w:rsidRPr="004D5A41">
        <w:t>–</w:t>
      </w:r>
      <w:r w:rsidRPr="004D5A41">
        <w:tab/>
        <w:t>so zreteľom na žiadosť Albánska o členstvo v EÚ predloženú 24. apríla 2009,</w:t>
      </w:r>
    </w:p>
    <w:p w:rsidR="00E709D0" w:rsidRPr="004D5A41" w:rsidP="00E709D0" w14:paraId="17CE8556" w14:textId="77777777">
      <w:pPr>
        <w:pStyle w:val="NormalHanging12a"/>
      </w:pPr>
      <w:r w:rsidRPr="004D5A41">
        <w:t>–</w:t>
      </w:r>
      <w:r w:rsidRPr="004D5A41">
        <w:tab/>
        <w:t>so zreteľom na nariadenie Európskeho parlamentu a Rady (EÚ) 2021/1529 z 15. septembra 2021, ktorým sa zriaďuje nástroj predvstupovej pomoci (IPA III)</w:t>
      </w:r>
      <w:r>
        <w:rPr>
          <w:vertAlign w:val="superscript"/>
        </w:rPr>
        <w:footnoteReference w:id="3"/>
      </w:r>
      <w:r w:rsidRPr="004D5A41">
        <w:t>,</w:t>
      </w:r>
    </w:p>
    <w:p w:rsidR="00E709D0" w:rsidRPr="004D5A41" w:rsidP="00E709D0" w14:paraId="68DDF1AE" w14:textId="77777777">
      <w:pPr>
        <w:pStyle w:val="NormalHanging12a"/>
      </w:pPr>
      <w:r w:rsidRPr="004D5A41">
        <w:t>–</w:t>
      </w:r>
      <w:r w:rsidRPr="004D5A41">
        <w:tab/>
        <w:t>so zreteľom na nariadenie Európskeho parlamentu a Rady (EÚ) 2024/1449 zo 14. mája 2024 o zriadení Nástroja na podporu reforiem a rastu pre západný Balkán</w:t>
      </w:r>
      <w:r>
        <w:rPr>
          <w:vertAlign w:val="superscript"/>
        </w:rPr>
        <w:footnoteReference w:id="4"/>
      </w:r>
      <w:r w:rsidRPr="004D5A41">
        <w:t>,</w:t>
      </w:r>
    </w:p>
    <w:p w:rsidR="00E709D0" w:rsidRPr="004D5A41" w:rsidP="00E709D0" w14:paraId="258D9E51" w14:textId="77777777">
      <w:pPr>
        <w:pStyle w:val="NormalHanging12a"/>
      </w:pPr>
      <w:r w:rsidRPr="004D5A41">
        <w:t>–</w:t>
      </w:r>
      <w:r w:rsidRPr="004D5A41">
        <w:tab/>
        <w:t>so zreteľom na oznámenie Komisie z 5. februára 2020 s názvom Posilnený proces pristúpenia – dôveryhodná perspektíva členstva v EÚ pre západný Balkán (COM(2020)0057),</w:t>
      </w:r>
    </w:p>
    <w:p w:rsidR="00E709D0" w:rsidRPr="004D5A41" w:rsidP="00E709D0" w14:paraId="44FF57CD" w14:textId="77777777">
      <w:pPr>
        <w:pStyle w:val="NormalHanging12a"/>
        <w:rPr>
          <w:bCs/>
          <w:iCs/>
          <w:szCs w:val="24"/>
        </w:rPr>
      </w:pPr>
      <w:r w:rsidRPr="004D5A41">
        <w:t>–</w:t>
      </w:r>
      <w:r w:rsidRPr="004D5A41">
        <w:tab/>
        <w:t>so zreteľom na rámec EÚ na rokovania s Albánskom, ktorý prijala Rada v júli 2022 a v ktorom sa stanovujú usmernenia a zásady pre prístupové rokovania EÚ s Albánskom,</w:t>
      </w:r>
    </w:p>
    <w:p w:rsidR="00E709D0" w:rsidRPr="004D5A41" w:rsidP="00E709D0" w14:paraId="12D82D2A" w14:textId="77777777">
      <w:pPr>
        <w:pStyle w:val="NormalHanging12a"/>
      </w:pPr>
      <w:r w:rsidRPr="004D5A41">
        <w:t>–</w:t>
      </w:r>
      <w:r w:rsidRPr="004D5A41">
        <w:tab/>
        <w:t>so zreteľom na oznámenie Komisie z 8. novembra 2023 s názvom Nový plán rastu pre západný Balkán (COM(2023)0691),</w:t>
      </w:r>
    </w:p>
    <w:p w:rsidR="00E709D0" w:rsidRPr="004D5A41" w:rsidP="00E709D0" w14:paraId="0A4967FF" w14:textId="77777777">
      <w:pPr>
        <w:pStyle w:val="NormalHanging12a"/>
      </w:pPr>
      <w:r w:rsidRPr="004D5A41">
        <w:t>–</w:t>
      </w:r>
      <w:r w:rsidRPr="004D5A41">
        <w:tab/>
        <w:t>so zreteľom na Program reforiem Albánska predložený v rámci Nástroja EÚ na podporu reforiem a rastu pre západný Balkán, ktorý Komisia schválila 23. októbra 2024,</w:t>
      </w:r>
    </w:p>
    <w:p w:rsidR="00E709D0" w:rsidRPr="004D5A41" w:rsidP="00E709D0" w14:paraId="3D275CE8" w14:textId="77777777">
      <w:pPr>
        <w:pStyle w:val="NormalHanging12a"/>
      </w:pPr>
      <w:r w:rsidRPr="004D5A41">
        <w:t>–</w:t>
      </w:r>
      <w:r w:rsidRPr="004D5A41">
        <w:tab/>
        <w:t xml:space="preserve">so zreteľom na oznámenie Komisie z 8. júla 2025 s názvom Správa o právnom štáte </w:t>
      </w:r>
      <w:r w:rsidRPr="004D5A41">
        <w:t>2025 (COM(2025)0900) a na sprievodný pracovný dokument útvarov Komisie s názvom Správa o právnom štáte 2025 – Kapitola o situácii v oblasti právneho štátu v Albánsku (SWD(2025)0928),</w:t>
      </w:r>
    </w:p>
    <w:p w:rsidR="00E709D0" w:rsidRPr="004D5A41" w:rsidP="00E709D0" w14:paraId="2A23FDC2" w14:textId="77777777">
      <w:pPr>
        <w:pStyle w:val="NormalHanging12a"/>
      </w:pPr>
      <w:r w:rsidRPr="004D5A41">
        <w:t>–</w:t>
      </w:r>
      <w:r w:rsidRPr="004D5A41">
        <w:tab/>
        <w:t>so zreteľom na oznámenie Komisie zo 4. novembra 2025 s názvom Oznámenie o politike rozširovania EÚ za rok 2025 (COM(2025)0690) a na sprievodný pracovný dokument útvarov Komisie s názvom Správa o Albánsku za rok 2025 (SWD(2025)0750),</w:t>
      </w:r>
    </w:p>
    <w:p w:rsidR="00E709D0" w:rsidRPr="004D5A41" w:rsidP="00E709D0" w14:paraId="41CACE46" w14:textId="77777777">
      <w:pPr>
        <w:pStyle w:val="NormalHanging12a"/>
      </w:pPr>
      <w:r w:rsidRPr="004D5A41">
        <w:t>–</w:t>
      </w:r>
      <w:r w:rsidRPr="004D5A41">
        <w:tab/>
        <w:t>so zreteľom na záverečnú správu volebnej pozorovateľskej misie Úradu pre demokratické inštitúcie a ľudské práva (ODIHR) Organizácie pre bezpečnosť a spoluprácu v Európe z 23. októbra 2025 o parlamentných voľbách v Albánsku, ktoré sa konali 11. mája 2025,</w:t>
      </w:r>
    </w:p>
    <w:p w:rsidR="00E709D0" w:rsidRPr="004D5A41" w:rsidP="00E709D0" w14:paraId="1C582242" w14:textId="77777777">
      <w:pPr>
        <w:pStyle w:val="NormalHanging12a"/>
      </w:pPr>
      <w:r w:rsidRPr="004D5A41">
        <w:t>–</w:t>
      </w:r>
      <w:r w:rsidRPr="004D5A41">
        <w:tab/>
        <w:t>so zreteľom na vyhlásenie zo samitu EÚ – západný Balkán, ktorý sa konal 17. decembra 2025 v Bruseli,</w:t>
      </w:r>
    </w:p>
    <w:p w:rsidR="00E709D0" w:rsidRPr="004D5A41" w:rsidP="00E709D0" w14:paraId="7C26F4BF" w14:textId="77777777">
      <w:pPr>
        <w:pStyle w:val="NormalHanging12a"/>
        <w:rPr>
          <w:bCs/>
          <w:iCs/>
          <w:szCs w:val="24"/>
        </w:rPr>
      </w:pPr>
      <w:r w:rsidRPr="004D5A41">
        <w:t>–</w:t>
      </w:r>
      <w:r w:rsidRPr="004D5A41">
        <w:tab/>
        <w:t xml:space="preserve">so zreteľom na samity EÚ – západný Balkán, ktoré sa konali v rokoch 2018, 2020 a 2021 v Sofii, v Záhrebe a v Brde pri </w:t>
      </w:r>
      <w:r w:rsidRPr="004D5A41">
        <w:t>Kranju</w:t>
      </w:r>
      <w:r w:rsidRPr="004D5A41">
        <w:t>, a na vyhlásenia z nich,</w:t>
      </w:r>
    </w:p>
    <w:p w:rsidR="00E709D0" w:rsidRPr="004D5A41" w:rsidP="00E709D0" w14:paraId="7D883B1E" w14:textId="77777777">
      <w:pPr>
        <w:pStyle w:val="NormalHanging12a"/>
      </w:pPr>
      <w:r w:rsidRPr="004D5A41">
        <w:t>–</w:t>
      </w:r>
      <w:r w:rsidRPr="004D5A41">
        <w:tab/>
        <w:t>so zreteľom na svoje predchádzajúce uznesenia o Albánsku,</w:t>
      </w:r>
    </w:p>
    <w:p w:rsidR="00E709D0" w:rsidRPr="004D5A41" w:rsidP="00E709D0" w14:paraId="6E50F84A" w14:textId="77777777">
      <w:pPr>
        <w:pStyle w:val="NormalHanging12a"/>
      </w:pPr>
      <w:r w:rsidRPr="004D5A41">
        <w:t>–</w:t>
      </w:r>
      <w:r w:rsidRPr="004D5A41">
        <w:tab/>
        <w:t>so zreteľom na svoje uznesenie z 11. marca 2026 o stratégii rozširovania EÚ</w:t>
      </w:r>
      <w:r>
        <w:rPr>
          <w:rStyle w:val="FootnoteReference"/>
        </w:rPr>
        <w:footnoteReference w:id="5"/>
      </w:r>
      <w:r w:rsidRPr="004D5A41">
        <w:t>,</w:t>
      </w:r>
    </w:p>
    <w:p w:rsidR="00E709D0" w:rsidRPr="004D5A41" w:rsidP="00E709D0" w14:paraId="33521B9B" w14:textId="77777777">
      <w:pPr>
        <w:pStyle w:val="NormalHanging12a"/>
      </w:pPr>
      <w:r w:rsidRPr="004D5A41">
        <w:t>–</w:t>
      </w:r>
      <w:r w:rsidRPr="004D5A41">
        <w:tab/>
        <w:t xml:space="preserve">so zreteľom na index vnímania korupcie organizácie </w:t>
      </w:r>
      <w:r w:rsidRPr="004D5A41">
        <w:t>Transparency</w:t>
      </w:r>
      <w:r w:rsidRPr="004D5A41">
        <w:t xml:space="preserve"> International za rok 2025 uverejnený vo februári 2026,</w:t>
      </w:r>
    </w:p>
    <w:p w:rsidR="00E709D0" w:rsidRPr="004D5A41" w:rsidP="00E709D0" w14:paraId="6FF9D25C" w14:textId="77777777">
      <w:pPr>
        <w:pStyle w:val="NormalHanging12a"/>
      </w:pPr>
      <w:r w:rsidRPr="004D5A41">
        <w:t>–</w:t>
      </w:r>
      <w:r w:rsidRPr="004D5A41">
        <w:tab/>
        <w:t>so zreteľom na svetový rebríček slobody tlače 2025, ktorý zverejnili Reportéri bez hraníc v marci 2025,</w:t>
      </w:r>
    </w:p>
    <w:p w:rsidR="00E709D0" w:rsidRPr="004D5A41" w:rsidP="00E709D0" w14:paraId="5E081772" w14:textId="77777777">
      <w:pPr>
        <w:pStyle w:val="NormalHanging12a"/>
        <w:rPr>
          <w:bCs/>
          <w:iCs/>
          <w:szCs w:val="24"/>
        </w:rPr>
      </w:pPr>
      <w:r w:rsidRPr="004D5A41">
        <w:t>–</w:t>
      </w:r>
      <w:r w:rsidRPr="004D5A41">
        <w:tab/>
        <w:t>so zreteľom na správu Svetového ekonomického fóra z 11. júna 2025 s názvom Správa o globálnych rodových rozdieloch za rok 2025,</w:t>
      </w:r>
    </w:p>
    <w:p w:rsidR="00E709D0" w:rsidRPr="004D5A41" w:rsidP="00E709D0" w14:paraId="77784C59" w14:textId="77777777">
      <w:pPr>
        <w:pStyle w:val="NormalHanging12a"/>
      </w:pPr>
      <w:r w:rsidRPr="004D5A41">
        <w:t>–</w:t>
      </w:r>
      <w:r w:rsidRPr="004D5A41">
        <w:tab/>
        <w:t>so zreteľom na článok 55 rokovacieho poriadku,</w:t>
      </w:r>
    </w:p>
    <w:p w:rsidR="00E709D0" w:rsidRPr="004D5A41" w:rsidP="00E709D0" w14:paraId="5D15EDAA" w14:textId="77777777">
      <w:pPr>
        <w:pStyle w:val="NormalHanging12a"/>
      </w:pPr>
      <w:r w:rsidRPr="004D5A41">
        <w:t>–</w:t>
      </w:r>
      <w:r w:rsidRPr="004D5A41">
        <w:tab/>
        <w:t>so zreteľom na správu Výboru pre zahraničné veci (A10-0141/2026),</w:t>
      </w:r>
    </w:p>
    <w:p w:rsidR="00E709D0" w:rsidRPr="004D5A41" w:rsidP="00E709D0" w14:paraId="2D4B6C00" w14:textId="77777777">
      <w:pPr>
        <w:pStyle w:val="NormalHanging12a"/>
      </w:pPr>
      <w:r w:rsidRPr="004D5A41">
        <w:t>A.</w:t>
      </w:r>
      <w:r w:rsidRPr="004D5A41">
        <w:tab/>
        <w:t>keďže rozširovanie EÚ je naďalej strategickou investíciou do mieru, bezpečnosti, stability a demokratického a sociálno-ekonomického rozvoja na celom európskom kontinente;</w:t>
      </w:r>
    </w:p>
    <w:p w:rsidR="00E709D0" w:rsidRPr="004D5A41" w:rsidP="00E709D0" w14:paraId="417AFC4A" w14:textId="77777777">
      <w:pPr>
        <w:pStyle w:val="NormalHanging12a"/>
      </w:pPr>
      <w:r w:rsidRPr="004D5A41">
        <w:t>B.</w:t>
      </w:r>
      <w:r w:rsidRPr="004D5A41">
        <w:tab/>
        <w:t>keďže Albánsko si zachovalo jasnú a konzistentnú strategickú orientáciu na členstvo v EÚ a preukázalo úplné zosúladenie so spoločnou zahraničnou a bezpečnostnou politikou EÚ, a to aj v súvislosti s reštriktívnymi opatreniami EÚ voči Rusku a Bielorusku a podporou Ukrajiny pri hlasovaní o rezolúciách Valného zhromaždenia OSN;</w:t>
      </w:r>
    </w:p>
    <w:p w:rsidR="00E709D0" w:rsidRPr="004D5A41" w:rsidP="00E709D0" w14:paraId="262D76E1" w14:textId="77777777">
      <w:pPr>
        <w:pStyle w:val="NormalHanging12a"/>
      </w:pPr>
      <w:r w:rsidRPr="004D5A41">
        <w:t>C.</w:t>
      </w:r>
      <w:r w:rsidRPr="004D5A41">
        <w:tab/>
        <w:t xml:space="preserve">keďže Albánsko získalo štatút kandidátskej krajiny EÚ v roku 2014, prístupové rokovania začalo v júli 2022, proces preverovania úspešne ukončilo v novembri 2023 a </w:t>
      </w:r>
      <w:r w:rsidRPr="004D5A41">
        <w:t>v období od 15. októbra 2024 do 17. novembra 2025 otvorilo všetky rokovacie bloky;</w:t>
      </w:r>
    </w:p>
    <w:p w:rsidR="00E709D0" w:rsidRPr="004D5A41" w:rsidP="00E709D0" w14:paraId="393660F8" w14:textId="77777777">
      <w:pPr>
        <w:pStyle w:val="NormalHanging12a"/>
      </w:pPr>
      <w:r w:rsidRPr="004D5A41">
        <w:t>D.</w:t>
      </w:r>
      <w:r w:rsidRPr="004D5A41">
        <w:tab/>
        <w:t xml:space="preserve">keďže v správe Komisie o Albánsku za rok 2025 sa potvrdzuje, že krajina naďalej dosahuje pokrok vo väčšine oblastí súvisiacich s pristúpením, pričom sa zdôrazňuje potreba hlbších, </w:t>
      </w:r>
      <w:r w:rsidRPr="004D5A41">
        <w:t>konzistentnejších</w:t>
      </w:r>
      <w:r w:rsidRPr="004D5A41">
        <w:t xml:space="preserve"> a nezvratných reforiem;</w:t>
      </w:r>
    </w:p>
    <w:p w:rsidR="00E709D0" w:rsidRPr="004D5A41" w:rsidP="00E709D0" w14:paraId="7632CBA7" w14:textId="77777777">
      <w:pPr>
        <w:pStyle w:val="NormalHanging12a"/>
        <w:rPr>
          <w:bCs/>
          <w:iCs/>
        </w:rPr>
      </w:pPr>
      <w:r w:rsidRPr="004D5A41">
        <w:t>E.</w:t>
      </w:r>
      <w:r w:rsidRPr="004D5A41">
        <w:tab/>
        <w:t>keďže dôveryhodnosť procesu rozširovania EÚ závisí skôr od prísnej podmienenosti, pokroku založeného na zásluhách a účinného vykonávania reforiem než len od formálneho prijatia právnych predpisov; keďže pristúpenie Albánska k EÚ závisí od trvalých, hĺbkových a nezvratných reforiem v oblastiach, ktoré pokrýva tematický blok prístupových rokovaní týkajúci sa základných hodnôt, počnúc právnym štátom a fungovaním demokratických inštitúcií; keďže o harmonograme pristúpenia rozhoduje kvalita reforiem, ktoré kandidátska krajina uskutočňuje;</w:t>
      </w:r>
    </w:p>
    <w:p w:rsidR="00E709D0" w:rsidRPr="004D5A41" w:rsidP="00E709D0" w14:paraId="15BBC367" w14:textId="77777777">
      <w:pPr>
        <w:pStyle w:val="NormalHanging12a"/>
      </w:pPr>
      <w:r w:rsidRPr="004D5A41">
        <w:t>F.</w:t>
      </w:r>
      <w:r w:rsidRPr="004D5A41">
        <w:tab/>
        <w:t>keďže posilnenie demokratických inštitúcií, nezávislosti súdnictva, protikorupčného úsilia, slobody médií a základných práv vrátane práv menšín má naďalej zásadný význam pre prístupovú trajektóriu Albánska;</w:t>
      </w:r>
    </w:p>
    <w:p w:rsidR="00E709D0" w:rsidRPr="004D5A41" w:rsidP="00E709D0" w14:paraId="5F43F219" w14:textId="77777777">
      <w:pPr>
        <w:pStyle w:val="NormalHanging12a"/>
        <w:rPr>
          <w:bCs/>
          <w:iCs/>
        </w:rPr>
      </w:pPr>
      <w:r w:rsidRPr="004D5A41">
        <w:t>G.</w:t>
      </w:r>
      <w:r w:rsidRPr="004D5A41">
        <w:tab/>
        <w:t>keďže ochrana integrity demokratických procesov sa stala ústredným prvkom politiky rozširovania EÚ; keďže v júli 2025 prijal albánsky parlament prvú národnú stratégiu tejto krajiny proti zahraničnému zasahovaniu a dezinformáciám;</w:t>
      </w:r>
    </w:p>
    <w:p w:rsidR="00E709D0" w:rsidRPr="004D5A41" w:rsidP="00E709D0" w14:paraId="4CABA550" w14:textId="77777777">
      <w:pPr>
        <w:pStyle w:val="NormalHanging12a"/>
      </w:pPr>
      <w:r w:rsidRPr="004D5A41">
        <w:t>H.</w:t>
      </w:r>
      <w:r w:rsidRPr="004D5A41">
        <w:tab/>
        <w:t>keďže odporúčania úradu ODIHR z 23. októbra 2025, ktoré nasledovali po parlamentných voľbách v Albánsku z 11. mája 2025, a predchádzajúce odporúčania úradu ODIHR týkajúce sa ďalšieho zlepšenia priebehu volieb v Albánsku ešte neboli v plnej miere zohľadnené;</w:t>
      </w:r>
    </w:p>
    <w:p w:rsidR="00E709D0" w:rsidRPr="004D5A41" w:rsidP="00E709D0" w14:paraId="6FF1CE0B" w14:textId="77777777">
      <w:pPr>
        <w:pStyle w:val="NormalHanging12a"/>
      </w:pPr>
      <w:r w:rsidRPr="004D5A41">
        <w:t>1.</w:t>
      </w:r>
      <w:r w:rsidRPr="004D5A41">
        <w:tab/>
        <w:t xml:space="preserve">víta mimoriadny záväzok Albánska k integrácii do EÚ založený na konsenze všetkých jeho politických strán a výraznej podpore občanov a oceňuje skutočnosť, že Albánsko otvorilo všetky bloky prístupových rokovaní len v priebehu 13 mesiacov; konštatuje, že podpora albánskych občanov pre členstvo v EÚ je naďalej vysoká a odráža silné európske ambície albánskej spoločnosti; nabáda krajinu, aby si udržala súčasnú reformnú dynamiku a pokračovala v zosúlaďovaní s </w:t>
      </w:r>
      <w:r w:rsidRPr="004D5A41">
        <w:rPr>
          <w:i/>
        </w:rPr>
        <w:t>acquis</w:t>
      </w:r>
      <w:r w:rsidRPr="004D5A41">
        <w:t xml:space="preserve"> EÚ, pričom zdôrazňuje, že pokrok Albánska na jeho európskej ceste prispieva k stabilite, bezpečnosti a odolnosti európskeho kontinentu;</w:t>
      </w:r>
    </w:p>
    <w:p w:rsidR="00E709D0" w:rsidRPr="004D5A41" w:rsidP="00E709D0" w14:paraId="2A7A6FFD" w14:textId="77777777">
      <w:pPr>
        <w:pStyle w:val="NormalHanging12a"/>
      </w:pPr>
      <w:r w:rsidRPr="004D5A41">
        <w:t>2.</w:t>
      </w:r>
      <w:r w:rsidRPr="004D5A41">
        <w:tab/>
        <w:t>berie na vedomie ambíciu Albánska uzavrieť prístupové rokovania do konca roka 2027 a víta rýchly pokrok dosiahnutý v tejto súvislosti v posledných rokoch; zdôrazňuje potrebu, aby albánske orgány zabezpečili dôsledné vykonávanie právnych predpisov;</w:t>
      </w:r>
    </w:p>
    <w:p w:rsidR="00E709D0" w:rsidRPr="004D5A41" w:rsidP="00E709D0" w14:paraId="3626F748" w14:textId="77777777">
      <w:pPr>
        <w:pStyle w:val="NormalHanging12a"/>
      </w:pPr>
      <w:r w:rsidRPr="004D5A41">
        <w:t>3.</w:t>
      </w:r>
      <w:r w:rsidRPr="004D5A41">
        <w:tab/>
        <w:t xml:space="preserve">konštatuje, že v správe Komisie o Albánsku za rok 2025, ako aj v správe úradu ODIHR o parlamentných voľbách, ktoré sa konali v máji 2025, sa volebný rámec Albánska hodnotí ako vo všeobecnosti dostatočný na konanie pluralitných volieb, a zároveň opätovne zdôrazňujú obavy týkajúce sa nerovnakých podmienok pre politických aktérov, zneužívania administratívnych zdrojov, ktoré stiera hranice medzi štátnymi inštitúciami a straníckymi štruktúrami, financovania politických strán, obvinení z kupovania hlasov a tlaku na voličov; vyzýva preto albánsku politickú väčšinu a opozíciu, aby konštruktívne a inkluzívne uskutočňovali komplexnú volebnú reformu v úzkej spolupráci s občianskou spoločnosťou a aby v plnej miere vykonali zostávajúce odporúčania úradu ODIHR a Benátskej komisie, a to v dostatočnom predstihu pred budúcimi volebnými cyklami; zdôrazňuje, že takáto reforma by mala posilniť volebný </w:t>
      </w:r>
      <w:r w:rsidRPr="004D5A41">
        <w:t>rámec, a to aj pokiaľ ide o transparentnosť financovania kampaní, rovnaký prístup k médiám a záruky proti zneužívaniu administratívnych zdrojov, a mala by zaistiť, aby sa tento rámec účinne presadzoval; zdôrazňuje, že na zabezpečenie dôvery verejnosti v budúce voľby je nevyhnutný široký politický konsenzus a skutočné vykonávanie týchto reforiem;</w:t>
      </w:r>
    </w:p>
    <w:p w:rsidR="00E709D0" w:rsidRPr="004D5A41" w:rsidP="00E709D0" w14:paraId="0FE94BBE" w14:textId="77777777">
      <w:pPr>
        <w:pStyle w:val="NormalHanging12a"/>
      </w:pPr>
      <w:r w:rsidRPr="004D5A41">
        <w:t>4.</w:t>
      </w:r>
      <w:r w:rsidRPr="004D5A41">
        <w:tab/>
        <w:t>vyjadruje znepokojenie nad pokračujúcou politickou polarizáciou a konfrontačným politickým diskurzom, ktoré oslabujú parlamentný dohľad, dôveru verejnosti a účinné fungovanie demokratických inštitúcií; nabáda politických aktérov, aby sa opätovne zapojili do konštruktívneho parlamentného dialógu a zabezpečili, aby albánsky parlament zostal ústredným fórom pre demokratickú diskusiu a demokratický dohľad; zdôrazňuje, že fungujúca demokracia si vyžaduje, aby sa na parlamentných postupoch zmysluplne zúčastňovala opozícia; pripomína, že násilné protesty nemajú vo fungujúcej demokracii miesto;</w:t>
      </w:r>
    </w:p>
    <w:p w:rsidR="00E709D0" w:rsidRPr="004D5A41" w:rsidP="00E709D0" w14:paraId="040B6F8D" w14:textId="77777777">
      <w:pPr>
        <w:pStyle w:val="NormalHanging12a"/>
      </w:pPr>
      <w:r w:rsidRPr="004D5A41">
        <w:t>5.</w:t>
      </w:r>
      <w:r w:rsidRPr="004D5A41">
        <w:tab/>
        <w:t xml:space="preserve">nabáda na prísnejšiu parlamentnú kontrolu výkonnej moci, väčšiu transparentnosť legislatívnych postupov a zmysluplnejšie konzultácie v skorej fáze s organizáciami občianskej spoločnosti, sociálnymi partnermi a nezávislými inštitúciami; zdôrazňuje, že pokrok v procese integrácie do EÚ by sa mal dosiahnuť bez ohrozenia kvality a </w:t>
      </w:r>
      <w:r w:rsidRPr="004D5A41">
        <w:t>inkluzívnosti</w:t>
      </w:r>
      <w:r w:rsidRPr="004D5A41">
        <w:t xml:space="preserve"> reforiem; zdôrazňuje význam primeraného zapojenia zainteresovaných strán a preberania zodpovednosti na vnútroštátnej úrovni s cieľom zabezpečiť udržateľné vykonávanie a trvalý vplyv; zdôrazňuje, že je dôležité posilniť úlohu a kapacity albánskych parlamentných výborov, a to aj prostredníctvom lepšieho prístupu k informáciám, odbornej podpory a transparentných legislatívnych postupov;</w:t>
      </w:r>
    </w:p>
    <w:p w:rsidR="00E709D0" w:rsidRPr="004D5A41" w:rsidP="00E709D0" w14:paraId="6883CA78" w14:textId="77777777">
      <w:pPr>
        <w:pStyle w:val="NormalHanging12a"/>
        <w:rPr>
          <w:b/>
          <w:bCs/>
          <w:i/>
          <w:iCs/>
        </w:rPr>
      </w:pPr>
      <w:r w:rsidRPr="004D5A41">
        <w:rPr>
          <w:b/>
          <w:i/>
        </w:rPr>
        <w:t>Právny štát, súdnictvo a boj proti korupcii</w:t>
      </w:r>
    </w:p>
    <w:p w:rsidR="00E709D0" w:rsidRPr="004D5A41" w:rsidP="00E709D0" w14:paraId="22FB400D" w14:textId="77777777">
      <w:pPr>
        <w:pStyle w:val="NormalHanging12a"/>
      </w:pPr>
      <w:r w:rsidRPr="004D5A41">
        <w:t>6.</w:t>
      </w:r>
      <w:r w:rsidRPr="004D5A41">
        <w:tab/>
        <w:t>víta pokračovanie procesu reformy súdnictva v Albánsku vrátane preverovania sudcov a prokurátorov, čo prispelo k zvýšeniu zodpovednosti a integrity v súdnictve; vyjadruje uznanie Vysokej súdnej rade za vymenovanie nových sudcov, čo prispelo k zníženiu počtu voľných pracovných miest; zdôrazňuje, že ochrana nezávislosti súdnictva má naďalej zásadný význam pre právny štát spolu s pokračujúcim úsilím o ďalšie posilnenie zodpovednosti, kvality a efektívnosti súdnictva;</w:t>
      </w:r>
      <w:r w:rsidRPr="004D5A41">
        <w:rPr>
          <w:b/>
          <w:i/>
        </w:rPr>
        <w:t xml:space="preserve"> </w:t>
      </w:r>
      <w:r w:rsidRPr="004D5A41">
        <w:t>poukazuje však na pretrvávajúce výzvy týkajúce sa efektívnosti súdnictva, účinného presadzovania právoplatných súdnych rozhodnutí, neuzavretých prípadov, konzistentnosti judikatúry a pokusov o neprípustné ovplyvňovanie;</w:t>
      </w:r>
    </w:p>
    <w:p w:rsidR="00E709D0" w:rsidRPr="004D5A41" w:rsidP="00E709D0" w14:paraId="1BD50020" w14:textId="77777777">
      <w:pPr>
        <w:pStyle w:val="NormalHanging12a"/>
      </w:pPr>
      <w:r w:rsidRPr="004D5A41">
        <w:t>7.</w:t>
      </w:r>
      <w:r w:rsidRPr="004D5A41">
        <w:tab/>
        <w:t>pripomína, že parlamentná imunita je súčasťou ústavného rámca Albánska, ktorý má zabezpečiť riadne fungovanie demokratických inštitúcií; zdôrazňuje, že všetky rozhodnutia v tejto súvislosti by sa mali prijímať prísne v súlade s ústavnými ustanoveniami a zavedenými právnymi postupmi bez politického zasahovania a zbytočného odkladu;</w:t>
      </w:r>
    </w:p>
    <w:p w:rsidR="00E709D0" w:rsidRPr="004D5A41" w:rsidP="00E709D0" w14:paraId="55729774" w14:textId="77777777">
      <w:pPr>
        <w:pStyle w:val="NormalHanging12a"/>
        <w:rPr>
          <w:bCs/>
          <w:iCs/>
        </w:rPr>
      </w:pPr>
      <w:r w:rsidRPr="004D5A41">
        <w:t>8.</w:t>
      </w:r>
      <w:r w:rsidRPr="004D5A41">
        <w:tab/>
        <w:t>vyjadruje uznanie albánskym orgánom za neustále zlepšovanie efektívnosti ústavného súdu; požaduje však ďalšie posilnenie orgánov správy súdnictva v širšom zmysle a trvalé investície do súdnej infraštruktúry a digitalizácie; pripomína, že súdnictvo naďalej čelí politickým tlakom a hrozbám, ktoré môžu oslabiť jeho nezávislosť; zdôrazňuje, že je dôležité, aby výkonná aj legislatívna moc vykonávali rozhodnutia ústavného súdu včasne a v plnom rozsahu, keďže ide o základný prvok právneho štátu a inštitucionálnej rovnováhy;</w:t>
      </w:r>
    </w:p>
    <w:p w:rsidR="00E709D0" w:rsidRPr="004D5A41" w:rsidP="00E709D0" w14:paraId="28291017" w14:textId="77777777">
      <w:pPr>
        <w:pStyle w:val="NormalHanging12a"/>
        <w:rPr>
          <w:bCs/>
          <w:iCs/>
        </w:rPr>
      </w:pPr>
      <w:r w:rsidRPr="004D5A41">
        <w:t>9.</w:t>
      </w:r>
      <w:r w:rsidRPr="004D5A41">
        <w:tab/>
        <w:t xml:space="preserve">vyjadruje poľutovanie nad tým, že podľa rebríčka indexu vnímania korupcie organizácie </w:t>
      </w:r>
      <w:r w:rsidRPr="004D5A41">
        <w:t>Transparency</w:t>
      </w:r>
      <w:r w:rsidRPr="004D5A41">
        <w:t xml:space="preserve"> International za rok 2025 sa Albánsko prepadlo na 91. miesto v porovnaní s 80. miestom v roku 2024; zdôrazňuje, že korupcia je naďalej vážny problém a že napriek pokroku dosiahnutom v právnom a inštitucionálnom rámci musí Albánsko ďalej posilniť špecializovanú policajnú kapacitu, konsolidovať svoje výsledky v oblasti vyšetrovaní, trestných stíhaní a právoplatných odsúdení, najmä v prípadoch korupcie na vysokých miestach; víta prijatie kľúčových protikorupčných právnych predpisov vrátane právnych predpisov o ochrane oznamovateľov a konfliktoch záujmov a vyzýva na ich dôsledné vykonávanie; víta pokračujúcu prácu špecializovaných protikorupčných inštitúcií a inštitúcií na boj proti organizovanej trestnej činnosti vrátane osobitnej štruktúry pre boj proti korupcii a organizovanej trestnej činnosti (SPAK) a žiada, aby sa zabezpečila ich trvalá nezávislosť, primerané financovanie a dostatočná operačná kapacita bez toho, aby sa obmedzili ich vyšetrovacie právomoci či ohrozila ich práca; vyzýva na posilnenie úsilia o zabezpečenie účinného vyhľadania, zmrazenia, konfiškácie a správy majetku pochádzajúceho z trestnej činnosti, a to aj systematickým finančným vyšetrovaním, lepšou spoluprácou medzi agentúrami a cezhraničnou spoluprácou a plným využívaním nástrojov konfiškácie v súlade so základnými právami;</w:t>
      </w:r>
    </w:p>
    <w:p w:rsidR="00E709D0" w:rsidRPr="004D5A41" w:rsidP="00E709D0" w14:paraId="4A5AF8C1" w14:textId="77777777">
      <w:pPr>
        <w:pStyle w:val="NormalHanging12a"/>
      </w:pPr>
      <w:r w:rsidRPr="004D5A41">
        <w:t>10.</w:t>
      </w:r>
      <w:r w:rsidRPr="004D5A41">
        <w:tab/>
        <w:t>trvá na tom, že korupciu treba riešiť na všetkých úrovniach s cieľom posilniť dôveru občanov v štátne inštitúcie a umožniť predvídateľné podnikateľské prostredie; vyzýva na posilnenie transparentnosti, kontrol konfliktu záujmov, posudzovania rizík pre integritu a cielených preventívnych opatrení vo vysokorizikových odvetviach, najmä v oblasti verejného obstarávania a koncesií, udeľovania licencií a inšpekcií a stavebníctva a priestorového plánovania;</w:t>
      </w:r>
    </w:p>
    <w:p w:rsidR="00E709D0" w:rsidRPr="004D5A41" w:rsidP="00E709D0" w14:paraId="1F05D902" w14:textId="77777777">
      <w:pPr>
        <w:pStyle w:val="NormalHanging12a"/>
      </w:pPr>
      <w:r w:rsidRPr="004D5A41">
        <w:t>11.</w:t>
      </w:r>
      <w:r w:rsidRPr="004D5A41">
        <w:tab/>
        <w:t>vyzýva Albánsko, aby dosiahlo rozhodujúci pokrok v oblasti úvodnej registrácie majetku a spravodlivého, všeobecne akceptovaného odškodňovania, zlepšenia transparentnosti štátneho registra majetku a kvality údajov v katastri nehnuteľností a aby zabezpečilo, že v prípadoch vyvlastnenia a odobratia nehnuteľností sa bude dodržiavať právo na spravodlivý proces a právo na účinnú súdnu ochranu;</w:t>
      </w:r>
    </w:p>
    <w:p w:rsidR="00E709D0" w:rsidRPr="004D5A41" w:rsidP="00E709D0" w14:paraId="3E62F3D9" w14:textId="77777777">
      <w:pPr>
        <w:pStyle w:val="NormalHanging12a"/>
        <w:rPr>
          <w:bCs/>
          <w:iCs/>
        </w:rPr>
      </w:pPr>
      <w:r w:rsidRPr="004D5A41">
        <w:t>12.</w:t>
      </w:r>
      <w:r w:rsidRPr="004D5A41">
        <w:tab/>
        <w:t xml:space="preserve">zdôrazňuje význam účinného boja proti organizovanej trestnej činnosti vrátane prania špinavých peňazí a sietí obchodovania s drogami a požaduje intenzívnejšiu spoluprácu s agentúrami EÚ, ako sú </w:t>
      </w:r>
      <w:r w:rsidRPr="004D5A41">
        <w:t>Europol</w:t>
      </w:r>
      <w:r w:rsidRPr="004D5A41">
        <w:t xml:space="preserve"> a </w:t>
      </w:r>
      <w:r w:rsidRPr="004D5A41">
        <w:t>Eurojust</w:t>
      </w:r>
      <w:r w:rsidRPr="004D5A41">
        <w:t xml:space="preserve">; vyzýva orgány, aby urýchlili úsilie o zosúladenie albánskeho právneho rámca v oblasti organizovanej trestnej činnosti s </w:t>
      </w:r>
      <w:r w:rsidRPr="004D5A41">
        <w:rPr>
          <w:i/>
        </w:rPr>
        <w:t>acquis</w:t>
      </w:r>
      <w:r w:rsidRPr="004D5A41">
        <w:t xml:space="preserve"> EÚ, posilnili kapacity presadzovania práva a zlepšili efektívnosť vyšetrovaní;</w:t>
      </w:r>
    </w:p>
    <w:p w:rsidR="00E709D0" w:rsidRPr="004D5A41" w:rsidP="00E709D0" w14:paraId="7531A8AA" w14:textId="77777777">
      <w:pPr>
        <w:pStyle w:val="NormalHanging12a"/>
      </w:pPr>
      <w:r w:rsidRPr="004D5A41">
        <w:t>13.</w:t>
      </w:r>
      <w:r w:rsidRPr="004D5A41">
        <w:tab/>
        <w:t>víta skutočnosť, že banky v Albánsku oficiálne začali vykonávať cezhraničné transakcie v eurách prostredníctvom systému SEPA; vyjadruje albánskym orgánom uznanie za ich významné úsilie v boji proti praniu špinavých peňazí tým, že prijali národnú stratégiu predchádzania praniu špinavých peňazí a financovaniu terorizmu na roky 2024 – 2030; berie na vedomie iniciatívu Bezhotovostné Albánsko 2030, ktorej cieľom je riešiť vysokú úroveň neformálnosti v oblasti podnikania a nezákonných peňažných tokov;</w:t>
      </w:r>
    </w:p>
    <w:p w:rsidR="00E709D0" w:rsidRPr="004D5A41" w:rsidP="00E709D0" w14:paraId="0D2083FD" w14:textId="77777777">
      <w:pPr>
        <w:pStyle w:val="NormalHanging12a"/>
        <w:rPr>
          <w:b/>
          <w:bCs/>
          <w:i/>
          <w:iCs/>
        </w:rPr>
      </w:pPr>
      <w:r w:rsidRPr="004D5A41">
        <w:rPr>
          <w:b/>
          <w:i/>
        </w:rPr>
        <w:t>Základné práva a sloboda médií</w:t>
      </w:r>
    </w:p>
    <w:p w:rsidR="00E709D0" w:rsidRPr="004D5A41" w:rsidP="00E709D0" w14:paraId="337428B3" w14:textId="77777777">
      <w:pPr>
        <w:pStyle w:val="NormalHanging12a"/>
        <w:rPr>
          <w:bCs/>
          <w:iCs/>
        </w:rPr>
      </w:pPr>
      <w:r w:rsidRPr="004D5A41">
        <w:t>14.</w:t>
      </w:r>
      <w:r w:rsidRPr="004D5A41">
        <w:tab/>
        <w:t xml:space="preserve">víta skutočnosť, že vo svetovom rebríčku slobody tlače za rok 2025, ktorý uverejnili Reportéri bez hraníc, sa Albánsko posunulo nahor z 99. miesta v roku 2024 na 80. miesto v roku 2025; vyzýva na vyvíjanie ďalšieho úsilia o ochranu slobody prejavu a plurality médií v Albánsku vrátane väčšej transparentnosti možných konfliktov záujmov </w:t>
      </w:r>
      <w:r w:rsidRPr="004D5A41">
        <w:t>vlastníkov médií, záruk proti politickému a hospodárskemu tlaku na novinárov a účinného vyšetrovania hrozieb a útokov na pracovníkov médií; vyzýva tiež na zvýšenie transparentnosti vlastníckych štruktúr médií a transparentnú distribúciu štátnej reklamy s cieľom chrániť redakčnú nezávislosť a pluralitu médií;</w:t>
      </w:r>
    </w:p>
    <w:p w:rsidR="00E709D0" w:rsidRPr="004D5A41" w:rsidP="00E709D0" w14:paraId="0A4A1FD1" w14:textId="77777777">
      <w:pPr>
        <w:pStyle w:val="NormalHanging12a"/>
        <w:rPr>
          <w:bCs/>
          <w:iCs/>
        </w:rPr>
      </w:pPr>
      <w:r w:rsidRPr="004D5A41">
        <w:t>15.</w:t>
      </w:r>
      <w:r w:rsidRPr="004D5A41">
        <w:tab/>
        <w:t xml:space="preserve">dôrazne odsudzuje nepriateľstvo voči nezávislým novinárom a pracovníkom médií v Albánsku vrátane slovných útokov a </w:t>
      </w:r>
      <w:r w:rsidRPr="004D5A41">
        <w:t>protimediálnej</w:t>
      </w:r>
      <w:r w:rsidRPr="004D5A41">
        <w:t xml:space="preserve"> rétoriky zo strany vysokopostavených úradníkov, očierňujúcich kampaní a </w:t>
      </w:r>
      <w:r w:rsidRPr="004D5A41">
        <w:t>mizogýnneho</w:t>
      </w:r>
      <w:r w:rsidRPr="004D5A41">
        <w:t xml:space="preserve"> online obťažovania, ktoré je často namierené proti novinárom informujúcim o právnom štáte, korupcii a súdnych záležitostiach; okrem toho vyjadruje znepokojenie nad vysokým počtom súdnych konaní proti novinárom; víta nedávne zmeny trestného zákonníka Albánska; vyjadruje však poľutovanie nad tým, že neviedli k úplnej </w:t>
      </w:r>
      <w:r w:rsidRPr="004D5A41">
        <w:t>dekriminalizácii</w:t>
      </w:r>
      <w:r w:rsidRPr="004D5A41">
        <w:t xml:space="preserve"> ohovárania a urážky v súlade s </w:t>
      </w:r>
      <w:r w:rsidRPr="004D5A41">
        <w:t>únijnými</w:t>
      </w:r>
      <w:r w:rsidRPr="004D5A41">
        <w:t xml:space="preserve"> a medzinárodnými normami;</w:t>
      </w:r>
    </w:p>
    <w:p w:rsidR="00E709D0" w:rsidRPr="004D5A41" w:rsidP="00E709D0" w14:paraId="58B33EA9" w14:textId="77777777">
      <w:pPr>
        <w:pStyle w:val="NormalHanging12a"/>
      </w:pPr>
      <w:r w:rsidRPr="004D5A41">
        <w:t>16.</w:t>
      </w:r>
      <w:r w:rsidRPr="004D5A41">
        <w:tab/>
        <w:t>vyzýva albánske orgány, aby podporovali mediálnu a digitálnu gramotnosť ako doplnkové opatrenie na posilnenie odolnosti informačného prostredia, a to aj začlenením iniciatív v oblasti mediálnej gramotnosti do celého vzdelávacieho systému, podporou odbornej prípravy učiteľov a moderných vzdelávacích zdrojov a posilnením spolupráce s nezávislými médiami a príslušnými programami EÚ na podporu kritického myslenia a zodpovednej digitálnej angažovanosti;</w:t>
      </w:r>
    </w:p>
    <w:p w:rsidR="00E709D0" w:rsidRPr="004D5A41" w:rsidP="00E709D0" w14:paraId="6F77B9E6" w14:textId="77777777">
      <w:pPr>
        <w:pStyle w:val="NormalHanging12a"/>
      </w:pPr>
      <w:r w:rsidRPr="004D5A41">
        <w:t>17.</w:t>
      </w:r>
      <w:r w:rsidRPr="004D5A41">
        <w:tab/>
        <w:t xml:space="preserve">nabáda Albánsko, aby posilnilo inštitucionálny rámec na ochranu a podporu práv osôb patriacich k etnickým a náboženským menšinám a zraniteľným skupinám vrátane Rómov a Egypťanov, osôb so zdravotným postihnutím, migrujúcich pracovníkov a LGBTIQ+ osôb a aby zabezpečilo účinné vykonávanie antidiskriminačných právnych predpisov a lepší prístup etnických a náboženských menšín a zraniteľných skupín k verejným službám a ich zmysluplnú účasť na spoločenskom, hospodárskom a politickom živote; je znepokojený </w:t>
      </w:r>
      <w:r w:rsidRPr="004D5A41">
        <w:t>protirodovou</w:t>
      </w:r>
      <w:r w:rsidRPr="004D5A41">
        <w:t xml:space="preserve"> rétorikou používanou v politickom diskurze v Albánsku; konštatuje, že posilnenie inštitucionálneho rámca na ochranu práv menšín musia sprevádzať účinné opatrenia, ktoré zabezpečia úplné a účinné uplatňovanie týchto práv v praxi;</w:t>
      </w:r>
    </w:p>
    <w:p w:rsidR="00E709D0" w:rsidRPr="004D5A41" w:rsidP="00E709D0" w14:paraId="5F23AAF5" w14:textId="77777777">
      <w:pPr>
        <w:pStyle w:val="NormalHanging12a"/>
      </w:pPr>
      <w:r w:rsidRPr="004D5A41">
        <w:t>18.</w:t>
      </w:r>
      <w:r w:rsidRPr="004D5A41">
        <w:tab/>
        <w:t>vyzýva albánske orgány, aby zabezpečili udržateľný prístup uznaných národnostných menšín k vzdelávaniu v menšinových jazykoch a aby podporovali zodpovedajúcu odbornú prípravu učiteľov, rozvoj učebníc a zachovanie kultúrnej identity;</w:t>
      </w:r>
    </w:p>
    <w:p w:rsidR="00E709D0" w:rsidRPr="004D5A41" w:rsidP="00E709D0" w14:paraId="76626353" w14:textId="77777777">
      <w:pPr>
        <w:pStyle w:val="NormalHanging12a"/>
        <w:rPr>
          <w:bCs/>
          <w:iCs/>
        </w:rPr>
      </w:pPr>
      <w:r w:rsidRPr="004D5A41">
        <w:t>19.</w:t>
      </w:r>
      <w:r w:rsidRPr="004D5A41">
        <w:tab/>
        <w:t xml:space="preserve">oceňuje, že Albánsko prijalo zákon o rodovej rovnosti, ktorý je v súlade s </w:t>
      </w:r>
      <w:r w:rsidRPr="004D5A41">
        <w:rPr>
          <w:i/>
        </w:rPr>
        <w:t>acquis</w:t>
      </w:r>
      <w:r w:rsidRPr="004D5A41">
        <w:t xml:space="preserve"> EÚ a medzinárodnými normami v oblasti ľudských práv; je však znepokojený vlnami dezinformácií a nenávisti voči LGBTIQ+ osobám vrátane očierňujúcich kampaní proti práci organizácií občianskej spoločnosti, ktoré sa usilujú o rovnosť LGBTIQ+ osôb; vyzýva albánske orgány, aby voči osobám šíriacim diskriminačnú rétoriku vyvodzovali zodpovednosť pred zákonom; vyzýva albánsku vládu, aby navrhla právne opatrenia, ako je registrované partnerstvo, s cieľom uznať a chrániť páry rovnakého pohlavia v súlade so svojím záväzkom v národnom akčnom pláne pre LGBTI osoby na obdobie 2021 – 2027 a s cieľom zosúladiť albánske právne predpisy v oblasti ľudských práv s </w:t>
      </w:r>
      <w:r w:rsidRPr="004D5A41">
        <w:rPr>
          <w:i/>
        </w:rPr>
        <w:t>acquis</w:t>
      </w:r>
      <w:r w:rsidRPr="004D5A41">
        <w:t xml:space="preserve"> EÚ;</w:t>
      </w:r>
    </w:p>
    <w:p w:rsidR="00E709D0" w:rsidRPr="004D5A41" w:rsidP="00E709D0" w14:paraId="37895DB1" w14:textId="77777777">
      <w:pPr>
        <w:pStyle w:val="NormalHanging12a"/>
        <w:rPr>
          <w:bCs/>
          <w:iCs/>
        </w:rPr>
      </w:pPr>
      <w:r w:rsidRPr="004D5A41">
        <w:t>20.</w:t>
      </w:r>
      <w:r w:rsidRPr="004D5A41">
        <w:tab/>
        <w:t xml:space="preserve">víta uznanie dlhodobej historickej prítomnosti bulharskej komunity v regiónoch, ako sú </w:t>
      </w:r>
      <w:r w:rsidRPr="004D5A41">
        <w:t>Prespa</w:t>
      </w:r>
      <w:r w:rsidRPr="004D5A41">
        <w:t xml:space="preserve">, </w:t>
      </w:r>
      <w:r w:rsidRPr="004D5A41">
        <w:t>Gollobordë</w:t>
      </w:r>
      <w:r w:rsidRPr="004D5A41">
        <w:t xml:space="preserve"> a </w:t>
      </w:r>
      <w:r w:rsidRPr="004D5A41">
        <w:t>Gora</w:t>
      </w:r>
      <w:r w:rsidRPr="004D5A41">
        <w:t>, a nabáda albánske orgány, aby zabezpečili úplné dodržiavanie ich jazykových a kultúrnych práv a práva na vzdelanie, ako aj iných uznaných národnostných menšín Albánska;</w:t>
      </w:r>
    </w:p>
    <w:p w:rsidR="00E709D0" w:rsidRPr="004D5A41" w:rsidP="00E709D0" w14:paraId="2BDC1091" w14:textId="77777777">
      <w:pPr>
        <w:pStyle w:val="NormalHanging12a"/>
      </w:pPr>
      <w:r w:rsidRPr="004D5A41">
        <w:t>21.</w:t>
      </w:r>
      <w:r w:rsidRPr="004D5A41">
        <w:tab/>
        <w:t xml:space="preserve">vyjadruje poľutovanie nad tým, že sa naďalej vyskytujú pretrvávajúce problémy s diskrimináciou a sociálnym vylúčením, ktoré postihujú menšiny v Albánsku, najmä v súvislosti s prístupom k vzdelaniu, zamestnaniu a verejným službám; vyzýva albánsku vládu, aby plne zosúladila antidiskriminačné politiky a práva menšín s </w:t>
      </w:r>
      <w:r w:rsidRPr="004D5A41">
        <w:rPr>
          <w:i/>
        </w:rPr>
        <w:t>acquis</w:t>
      </w:r>
      <w:r w:rsidRPr="004D5A41">
        <w:t xml:space="preserve"> EÚ; zdôrazňuje potrebu zlepšiť prístup k spravodlivosti a politickú účasť, najmä pre zraniteľné a marginalizované skupiny;</w:t>
      </w:r>
    </w:p>
    <w:p w:rsidR="007900AD" w:rsidRPr="004D5A41" w:rsidP="00E709D0" w14:paraId="37BE9509" w14:textId="3CAC0669">
      <w:pPr>
        <w:pStyle w:val="NormalHanging12a"/>
        <w:rPr>
          <w:bCs/>
          <w:iCs/>
        </w:rPr>
      </w:pPr>
      <w:r w:rsidRPr="004D5A41">
        <w:rPr>
          <w:bCs/>
          <w:iCs/>
        </w:rPr>
        <w:t>22</w:t>
      </w:r>
      <w:r w:rsidRPr="004D5A41">
        <w:rPr>
          <w:bCs/>
          <w:iCs/>
        </w:rPr>
        <w:t>.</w:t>
      </w:r>
      <w:r w:rsidRPr="004D5A41">
        <w:rPr>
          <w:bCs/>
          <w:iCs/>
        </w:rPr>
        <w:tab/>
        <w:t>uznáva, že grécka národnostná menšina bola vždy silne zastúpená, najmä v južnom Albánsku, a vyzýva Albánsko, aby zabezpečilo ochranu práva vlastniť majetok;</w:t>
      </w:r>
    </w:p>
    <w:p w:rsidR="00E709D0" w:rsidRPr="004D5A41" w:rsidP="00E709D0" w14:paraId="3474462B" w14:textId="2E7EC3FC">
      <w:pPr>
        <w:pStyle w:val="NormalHanging12a"/>
      </w:pPr>
      <w:r w:rsidRPr="004D5A41">
        <w:t>23</w:t>
      </w:r>
      <w:r w:rsidRPr="004D5A41">
        <w:t>.</w:t>
      </w:r>
      <w:r w:rsidRPr="004D5A41">
        <w:tab/>
        <w:t>zdôrazňuje tiež význam zachovania pamätných miest súvisiacich s komunistickou diktatúrou a podpory spomienkových a vzdelávacích iniciatív, ktoré podporujú historické povedomie a posilňujú demokratickú kultúru, najmä medzi mladšími generáciami;</w:t>
      </w:r>
    </w:p>
    <w:p w:rsidR="00E709D0" w:rsidRPr="004D5A41" w:rsidP="00E709D0" w14:paraId="6BB4C200" w14:textId="50316C38">
      <w:pPr>
        <w:pStyle w:val="NormalHanging12a"/>
      </w:pPr>
      <w:r w:rsidRPr="004D5A41">
        <w:t>24</w:t>
      </w:r>
      <w:r w:rsidRPr="004D5A41">
        <w:t>.</w:t>
      </w:r>
      <w:r w:rsidRPr="004D5A41">
        <w:tab/>
        <w:t>víta dynamickú a konštruktívnu občiansku spoločnosť Albánska, ktorá zohráva kľúčovú a pozitívnu úlohu v reformnom procese; nabáda albánsku vládu, aby budovala vzťahy založené na spolupráci a už od raného štádia skutočne zapájala občiansku spoločnosť do transparentného legislatívneho procesu; vyjadruje však poľutovanie nad tým, že organizácie občianskej spoločnosti v Albánsku naďalej čelia prekážkam a dostávajú iba obmedzené množstvo verejných finančných prostriedkov; ďalej vyzýva albánsku vládu, aby pre občiansku spoločnosť zabezpečila priaznivé, bezpečné a nediskriminačné prostredie;</w:t>
      </w:r>
    </w:p>
    <w:p w:rsidR="00E709D0" w:rsidRPr="004D5A41" w:rsidP="00E709D0" w14:paraId="108366CD" w14:textId="131179BC">
      <w:pPr>
        <w:pStyle w:val="NormalHanging12a"/>
      </w:pPr>
      <w:r w:rsidRPr="004D5A41">
        <w:t>25</w:t>
      </w:r>
      <w:r w:rsidRPr="004D5A41">
        <w:t>.</w:t>
      </w:r>
      <w:r w:rsidRPr="004D5A41">
        <w:tab/>
        <w:t>vyjadruje znepokojenie nad tým, že v celosvetových rebríčkoch uverejnených v správe Svetového ekonomického fóra o globálnych rodových rozdieloch z roku 2025 sa Albánsko prepadlo z 23. miesta v roku 2024 na 36. miesto v roku 2025, čo svedčí o prehlbujúcich sa rodových rozdieloch; vyjadruje poľutovanie nad tým, že právny rámec boja proti rodovo podmienenému násiliu zatiaľ nie je v súlade s Istanbulským dohovorom; naliehavo vyzýva albánsku vládu, aby posilnila podporné služby pre obete, najmä v oblasti zdravotnej starostlivosti, finančnej pomoci na útulky pre ženy, bezplatnej právnej pomoci a programov opätovného začlenenia a rehabilitácie;</w:t>
      </w:r>
    </w:p>
    <w:p w:rsidR="00E709D0" w:rsidRPr="004D5A41" w:rsidP="00E709D0" w14:paraId="1C0B700F" w14:textId="2077EF86">
      <w:pPr>
        <w:pStyle w:val="NormalHanging12a"/>
      </w:pPr>
      <w:r w:rsidRPr="004D5A41">
        <w:t>26</w:t>
      </w:r>
      <w:r w:rsidRPr="004D5A41">
        <w:t>.</w:t>
      </w:r>
      <w:r w:rsidRPr="004D5A41">
        <w:tab/>
        <w:t>vyjadruje znepokojenie nad tým, že albánsky národný program v oblasti práv dieťaťa (NARC) na roky 2021 – 2026 sa ešte nevykonáva v plnej miere a prístupu detí k spravodlivosti bránia oneskorenia, obmedzená právna pomoc a nedostatočná inštitucionálna koordinácia; vyjadruje poľutovanie nad tým, že väčšinu detí v Albánsku naďalej ohrozuje chudoba; vyzýva albánske orgány, aby účinne vykonávali program NARC poskytovaním pomoci deťom, ktoré čelia vylúčeniu a chudobe;</w:t>
      </w:r>
    </w:p>
    <w:p w:rsidR="00E709D0" w:rsidRPr="004D5A41" w:rsidP="00E709D0" w14:paraId="7DD6C204" w14:textId="77777777">
      <w:pPr>
        <w:pStyle w:val="NormalHanging12a"/>
        <w:rPr>
          <w:b/>
          <w:bCs/>
          <w:i/>
          <w:iCs/>
        </w:rPr>
      </w:pPr>
      <w:r w:rsidRPr="004D5A41">
        <w:rPr>
          <w:b/>
          <w:i/>
        </w:rPr>
        <w:t>Reforma verejnej správy a správa vecí verejných</w:t>
      </w:r>
    </w:p>
    <w:p w:rsidR="00E709D0" w:rsidRPr="004D5A41" w:rsidP="00E709D0" w14:paraId="32DE1A1A" w14:textId="342CB36F">
      <w:pPr>
        <w:pStyle w:val="NormalHanging12a"/>
        <w:rPr>
          <w:bCs/>
          <w:iCs/>
        </w:rPr>
      </w:pPr>
      <w:r w:rsidRPr="004D5A41">
        <w:t>27</w:t>
      </w:r>
      <w:r w:rsidRPr="004D5A41">
        <w:t>.</w:t>
      </w:r>
      <w:r w:rsidRPr="004D5A41">
        <w:tab/>
        <w:t>uznáva pokrok dosiahnutý pri reforme verejnej správy vrátane strategického plánovania a koordinácie; víta prijatie prierezovej stratégie reformy verejnej správy na roky 2025 – 2030; zdôrazňuje však, že treba vyvinúť ďalšie úsilie na zabezpečenie prijímania zamestnancov na základe zásluh a odpolitizovania verejnej služby vrátane prijatia a vykonávania nového legislatívneho rámca pre verejnú službu;</w:t>
      </w:r>
    </w:p>
    <w:p w:rsidR="00E709D0" w:rsidRPr="004D5A41" w:rsidP="00E709D0" w14:paraId="0D9C1AA9" w14:textId="31EC754D">
      <w:pPr>
        <w:pStyle w:val="NormalHanging12a"/>
        <w:rPr>
          <w:bCs/>
        </w:rPr>
      </w:pPr>
      <w:r w:rsidRPr="004D5A41">
        <w:t>28</w:t>
      </w:r>
      <w:r w:rsidRPr="004D5A41">
        <w:t>.</w:t>
      </w:r>
      <w:r w:rsidRPr="004D5A41">
        <w:tab/>
        <w:t xml:space="preserve">vyjadruje znepokojenie nad tým, že právny rámec pre verejné obstarávanie ani právne predpisy v oblasti práva obchodných spoločností nie sú plne zosúladené s </w:t>
      </w:r>
      <w:r w:rsidRPr="004D5A41">
        <w:rPr>
          <w:i/>
        </w:rPr>
        <w:t>acquis</w:t>
      </w:r>
      <w:r w:rsidRPr="004D5A41">
        <w:t xml:space="preserve"> EÚ; vyzýva albánske orgány, aby pokračovali vo svojom úsilí o úplné zosúladenie právnych </w:t>
      </w:r>
      <w:r w:rsidRPr="004D5A41">
        <w:t xml:space="preserve">predpisov Albánska s </w:t>
      </w:r>
      <w:r w:rsidRPr="004D5A41">
        <w:rPr>
          <w:i/>
        </w:rPr>
        <w:t>acquis</w:t>
      </w:r>
      <w:r w:rsidRPr="004D5A41">
        <w:t xml:space="preserve"> EÚ; vyzýva na posilnenie parlamentného dohľadu, nezávislé audity a úplnú transparentnosť postupov verejného obstarávania s cieľom zabezpečiť súlad s normami EÚ v oblasti hospodárskej súťaže, ochrany údajov a boja proti korupcii;</w:t>
      </w:r>
    </w:p>
    <w:p w:rsidR="00E709D0" w:rsidRPr="004D5A41" w:rsidP="00E709D0" w14:paraId="38B77640" w14:textId="575CEBDB">
      <w:pPr>
        <w:pStyle w:val="NormalHanging12a"/>
        <w:rPr>
          <w:bCs/>
        </w:rPr>
      </w:pPr>
      <w:r w:rsidRPr="004D5A41">
        <w:t>29</w:t>
      </w:r>
      <w:r w:rsidRPr="004D5A41">
        <w:t>.</w:t>
      </w:r>
      <w:r w:rsidRPr="004D5A41">
        <w:tab/>
        <w:t>víta prebiehajúcu prácu albánskeho parlamentného výboru s účasťou viacerých strán, ktorý sa zaoberá územnou reformou; zdôrazňuje, že akákoľvek reforma v tejto oblasti by sa mala uskutočniť prostredníctvom inkluzívneho procesu a mala by byť založená na objektívnych sociálno-ekonomických kritériách a európskych normách miestnej samosprávy;</w:t>
      </w:r>
    </w:p>
    <w:p w:rsidR="00E709D0" w:rsidRPr="004D5A41" w:rsidP="00E709D0" w14:paraId="71403935" w14:textId="22D10514">
      <w:pPr>
        <w:pStyle w:val="NormalHanging12a"/>
        <w:rPr>
          <w:bCs/>
          <w:iCs/>
        </w:rPr>
      </w:pPr>
      <w:r w:rsidRPr="004D5A41">
        <w:t>30</w:t>
      </w:r>
      <w:r w:rsidRPr="004D5A41">
        <w:t>.</w:t>
      </w:r>
      <w:r w:rsidRPr="004D5A41">
        <w:tab/>
        <w:t>vyzýva na zlepšenie politického plánovania, rozhodovania založeného na dôkazoch a transparentných rozpočtových procesov vrátane posilneného parlamentného dohľadu nad verejnými financiami; trvá na tom, aby sa zvýšili finančné zdroje, administratívne kapacity a daňová autonómia miestnych orgánov;</w:t>
      </w:r>
    </w:p>
    <w:p w:rsidR="00E709D0" w:rsidRPr="004D5A41" w:rsidP="00E709D0" w14:paraId="47DF9CCA" w14:textId="47BCA5E9">
      <w:pPr>
        <w:pStyle w:val="NormalHanging12a"/>
        <w:rPr>
          <w:bCs/>
          <w:iCs/>
        </w:rPr>
      </w:pPr>
      <w:r w:rsidRPr="004D5A41">
        <w:t>31</w:t>
      </w:r>
      <w:r w:rsidRPr="004D5A41">
        <w:t>.</w:t>
      </w:r>
      <w:r w:rsidRPr="004D5A41">
        <w:tab/>
        <w:t>vyjadruje albánskym orgánom uznanie za nedávne prijatie národnej stratégie kybernetickej bezpečnosti na roky 2025 – 2030; víta zosúladenie aktuálneho albánskeho zákona o kybernetickej bezpečnosti so smernicou EÚ NIS 2</w:t>
      </w:r>
      <w:r>
        <w:rPr>
          <w:rStyle w:val="FootnoteReference"/>
          <w:bCs/>
          <w:iCs/>
        </w:rPr>
        <w:footnoteReference w:id="6"/>
      </w:r>
      <w:r w:rsidRPr="004D5A41">
        <w:t>; vyjadruje albánskym orgánom uznanie za prijatie aktualizovaného zoznamu prevádzkovateľov kritickej a dôležitej informačnej infraštruktúry;</w:t>
      </w:r>
    </w:p>
    <w:p w:rsidR="00E709D0" w:rsidRPr="004D5A41" w:rsidP="00E709D0" w14:paraId="688ED902" w14:textId="1B05DB99">
      <w:pPr>
        <w:pStyle w:val="NormalHanging12a"/>
        <w:rPr>
          <w:bCs/>
          <w:iCs/>
        </w:rPr>
      </w:pPr>
      <w:r w:rsidRPr="004D5A41">
        <w:t>32</w:t>
      </w:r>
      <w:r w:rsidRPr="004D5A41">
        <w:t>.</w:t>
      </w:r>
      <w:r w:rsidRPr="004D5A41">
        <w:tab/>
        <w:t xml:space="preserve">víta, že Albánsko neustále zlepšuje zasielanie svojich údajov </w:t>
      </w:r>
      <w:r w:rsidRPr="004D5A41">
        <w:t>Eurostatu</w:t>
      </w:r>
      <w:r w:rsidRPr="004D5A41">
        <w:t>; vyzýva albánske orgány, aby ďalej zvyšovali tvorbu a šírenie vysokokvalitných údajov;</w:t>
      </w:r>
    </w:p>
    <w:p w:rsidR="00E709D0" w:rsidRPr="004D5A41" w:rsidP="00E709D0" w14:paraId="4B280395" w14:textId="4AC64AE2">
      <w:pPr>
        <w:pStyle w:val="NormalHanging12a"/>
        <w:rPr>
          <w:bCs/>
          <w:iCs/>
        </w:rPr>
      </w:pPr>
      <w:r w:rsidRPr="004D5A41">
        <w:t>33</w:t>
      </w:r>
      <w:r w:rsidRPr="004D5A41">
        <w:t>.</w:t>
      </w:r>
      <w:r w:rsidRPr="004D5A41">
        <w:tab/>
        <w:t xml:space="preserve">vyjadruje albánskej vláde uznanie za prijatie nových zákonov o ochranných známkach a patentoch; vyzýva albánske orgány, aby v plnom rozsahu zosúladili právo duševného vlastníctva Albánska s </w:t>
      </w:r>
      <w:r w:rsidRPr="004D5A41">
        <w:rPr>
          <w:i/>
        </w:rPr>
        <w:t>acquis</w:t>
      </w:r>
      <w:r w:rsidRPr="004D5A41">
        <w:t xml:space="preserve"> EÚ a pokračovali v jeho posilňovaní;</w:t>
      </w:r>
    </w:p>
    <w:p w:rsidR="00E709D0" w:rsidRPr="004D5A41" w:rsidP="00E709D0" w14:paraId="591E4D82" w14:textId="77777777">
      <w:pPr>
        <w:pStyle w:val="NormalHanging12a"/>
        <w:rPr>
          <w:b/>
          <w:bCs/>
          <w:i/>
          <w:iCs/>
        </w:rPr>
      </w:pPr>
      <w:r w:rsidRPr="004D5A41">
        <w:rPr>
          <w:b/>
          <w:i/>
        </w:rPr>
        <w:t>Sociálno-ekonomické reformy a životné prostredie</w:t>
      </w:r>
    </w:p>
    <w:p w:rsidR="00E709D0" w:rsidRPr="004D5A41" w:rsidP="00E709D0" w14:paraId="7A906105" w14:textId="343392D3">
      <w:pPr>
        <w:pStyle w:val="NormalHanging12a"/>
      </w:pPr>
      <w:r w:rsidRPr="004D5A41">
        <w:t>34</w:t>
      </w:r>
      <w:r w:rsidRPr="004D5A41">
        <w:t>.</w:t>
      </w:r>
      <w:r w:rsidRPr="004D5A41">
        <w:tab/>
        <w:t>víta zapojenie Albánska do vykonávania Nového plánu rastu EÚ pre západný Balkán; konštatuje však, že pretrvávajú štrukturálne nedostatky vrátane neformálnosti v podnikaní, obmedzeného rastu produktivity a náročného podnikateľského prostredia; vyjadruje poľutovanie nad tým, že rozsiahle neformálne hospodárstvo brzdí podnikateľské prostredie a hospodársku súťaž; opätovne zdôrazňuje význam zlepšenia dopravnej infraštruktúry medzi partnermi zo západného Balkánu a budovania ich železničných a leteckých prepojení s členskými štátmi EÚ; vyjadruje albánskym orgánom uznanie za oslobodenie projektov financovaných EÚ v Albánsku od DPH;</w:t>
      </w:r>
    </w:p>
    <w:p w:rsidR="00E709D0" w:rsidRPr="004D5A41" w:rsidP="00E709D0" w14:paraId="0FE6F322" w14:textId="39947082">
      <w:pPr>
        <w:pStyle w:val="NormalHanging12a"/>
        <w:rPr>
          <w:bCs/>
          <w:iCs/>
        </w:rPr>
      </w:pPr>
      <w:r w:rsidRPr="004D5A41">
        <w:t>35</w:t>
      </w:r>
      <w:r w:rsidRPr="004D5A41">
        <w:t>.</w:t>
      </w:r>
      <w:r w:rsidRPr="004D5A41">
        <w:tab/>
        <w:t>pripomína potenciál hospodárskeho a investičného plánu EÚ pre západný Balkán, pokiaľ ide o zlepšenie regionálneho prepojenia prostredníctvom železníc a ciest; v tejto súvislosti naliehavo vyzýva orgány všetkých dotknutých krajín, aby dokončili projekty v rámci koridoru VIII spájajúceho Albánsko, Severné Macedónsko a Bulharsko;</w:t>
      </w:r>
    </w:p>
    <w:p w:rsidR="00E709D0" w:rsidRPr="004D5A41" w:rsidP="00E709D0" w14:paraId="2A0A0BA3" w14:textId="0EAD0C7D">
      <w:pPr>
        <w:pStyle w:val="NormalHanging12a"/>
        <w:rPr>
          <w:bCs/>
          <w:iCs/>
        </w:rPr>
      </w:pPr>
      <w:r w:rsidRPr="004D5A41">
        <w:t>36</w:t>
      </w:r>
      <w:r w:rsidRPr="004D5A41">
        <w:t>.</w:t>
      </w:r>
      <w:r w:rsidRPr="004D5A41">
        <w:tab/>
        <w:t xml:space="preserve">vyzýva na zavedenie komplexného mechanizmu preverovania priamych zahraničných </w:t>
      </w:r>
      <w:r w:rsidRPr="004D5A41">
        <w:t>investícií ako strategickej iniciatívy na ochranu národných záujmov Albánska, zvýšenie bezpečnosti a zabezpečenie predvídateľnosti pre investorov a súladu s normami EÚ;</w:t>
      </w:r>
    </w:p>
    <w:p w:rsidR="00E709D0" w:rsidRPr="004D5A41" w:rsidP="00E709D0" w14:paraId="5E6D2D1A" w14:textId="1FC4C20C">
      <w:pPr>
        <w:pStyle w:val="NormalHanging12a"/>
        <w:rPr>
          <w:bCs/>
          <w:iCs/>
        </w:rPr>
      </w:pPr>
      <w:r w:rsidRPr="004D5A41">
        <w:t>37</w:t>
      </w:r>
      <w:r w:rsidRPr="004D5A41">
        <w:t>.</w:t>
      </w:r>
      <w:r w:rsidRPr="004D5A41">
        <w:tab/>
        <w:t>zdôrazňuje skutočnosť, že systém vnútornej kontroly verejnej vnútornej finančnej kontroly Albánska je naďalej len čiastočne účinný; vyzýva Albánsko, aby zvýšilo zodpovednosť a transparentnosť štátnych podnikov tým, že zverejní ich výročné správy o finančnej výkonnosti; vyzýva albánske orgány, aby plne vykonávali odporúčania albánskeho najvyššieho kontrolného úradu;</w:t>
      </w:r>
    </w:p>
    <w:p w:rsidR="00E709D0" w:rsidRPr="004D5A41" w:rsidP="00E709D0" w14:paraId="1D6823D3" w14:textId="5A550765">
      <w:pPr>
        <w:pStyle w:val="NormalHanging12a"/>
        <w:rPr>
          <w:bCs/>
          <w:iCs/>
        </w:rPr>
      </w:pPr>
      <w:r w:rsidRPr="004D5A41">
        <w:t>38</w:t>
      </w:r>
      <w:r w:rsidRPr="004D5A41">
        <w:t>.</w:t>
      </w:r>
      <w:r w:rsidRPr="004D5A41">
        <w:tab/>
        <w:t>víta skutočnosť, že Albánsko prijalo stratégiu modernizácie a harmonizácie albánskych colných informačných systémov so systémami EÚ na roky 2025 – 2030; vyjadruje albánskym orgánom uznanie za ich úsilie o splnenie noriem EÚ harmonizáciou a zlepšením colnej infraštruktúry;</w:t>
      </w:r>
      <w:r w:rsidRPr="004D5A41" w:rsidR="007900AD">
        <w:t xml:space="preserve"> </w:t>
      </w:r>
      <w:r w:rsidRPr="004D5A41" w:rsidR="007900AD">
        <w:rPr>
          <w:bCs/>
          <w:iCs/>
        </w:rPr>
        <w:t>zdôrazňuje, že colné informačné systémy si vyžadujú značnú modernizáciu, aby sa dosiahla úplná harmonizácia s normami EÚ, a vyzýva albánske orgány, aby v tejto súvislosti urýchlili potrebné investície a reformy;</w:t>
      </w:r>
    </w:p>
    <w:p w:rsidR="00E709D0" w:rsidRPr="004D5A41" w:rsidP="00E709D0" w14:paraId="3F332647" w14:textId="0B09A102">
      <w:pPr>
        <w:pStyle w:val="NormalHanging12a"/>
        <w:rPr>
          <w:bCs/>
          <w:iCs/>
        </w:rPr>
      </w:pPr>
      <w:r w:rsidRPr="004D5A41">
        <w:t>39</w:t>
      </w:r>
      <w:r w:rsidRPr="004D5A41">
        <w:t>.</w:t>
      </w:r>
      <w:r w:rsidRPr="004D5A41">
        <w:tab/>
        <w:t xml:space="preserve">vyjadruje albánskym orgánom uznanie za zosúladenie právnych predpisov o súkromných dôchodkových fondoch s </w:t>
      </w:r>
      <w:r w:rsidRPr="004D5A41">
        <w:rPr>
          <w:i/>
        </w:rPr>
        <w:t>acquis</w:t>
      </w:r>
      <w:r w:rsidRPr="004D5A41">
        <w:t xml:space="preserve"> EÚ; vyzýva Albánsko, aby dokončilo zosúlaďovanie s </w:t>
      </w:r>
      <w:r w:rsidRPr="004D5A41">
        <w:rPr>
          <w:i/>
        </w:rPr>
        <w:t>acquis</w:t>
      </w:r>
      <w:r w:rsidRPr="004D5A41">
        <w:t xml:space="preserve"> EÚ v oblasti poisťovníctva, kapitálových trhov, trhov s cennými papiermi, investičných fondov a infraštruktúr finančného trhu;</w:t>
      </w:r>
    </w:p>
    <w:p w:rsidR="00E709D0" w:rsidRPr="004D5A41" w:rsidP="00E709D0" w14:paraId="2850365B" w14:textId="455C017B">
      <w:pPr>
        <w:pStyle w:val="NormalHanging12a"/>
        <w:rPr>
          <w:bCs/>
          <w:iCs/>
        </w:rPr>
      </w:pPr>
      <w:r w:rsidRPr="004D5A41">
        <w:t>40</w:t>
      </w:r>
      <w:r w:rsidRPr="004D5A41">
        <w:t>.</w:t>
      </w:r>
      <w:r w:rsidRPr="004D5A41">
        <w:tab/>
        <w:t xml:space="preserve">s potešením víta návrh Komisie </w:t>
      </w:r>
      <w:r w:rsidRPr="004D5A41">
        <w:t xml:space="preserve">a poverenie Rady </w:t>
      </w:r>
      <w:r w:rsidRPr="004D5A41">
        <w:t xml:space="preserve">na začatie rokovaní o rozšírení režimu roamingu za vnútroštátne ceny EÚ o západný Balkán a vyzýva </w:t>
      </w:r>
      <w:r w:rsidRPr="004D5A41">
        <w:rPr>
          <w:bCs/>
          <w:iCs/>
        </w:rPr>
        <w:t xml:space="preserve">Komisiu a partnerov zo západného Balkánu, aby urýchlene vykonali potrebné kroky na recipročné otvorenie </w:t>
      </w:r>
      <w:r w:rsidRPr="004D5A41">
        <w:rPr>
          <w:bCs/>
          <w:iCs/>
        </w:rPr>
        <w:t>roamingových</w:t>
      </w:r>
      <w:r w:rsidRPr="004D5A41">
        <w:rPr>
          <w:bCs/>
          <w:iCs/>
        </w:rPr>
        <w:t xml:space="preserve"> trhov EÚ a partnerov</w:t>
      </w:r>
      <w:r w:rsidRPr="004D5A41">
        <w:t xml:space="preserve"> zo západného Balkánu</w:t>
      </w:r>
      <w:r w:rsidRPr="004D5A41">
        <w:t xml:space="preserve"> </w:t>
      </w:r>
      <w:r w:rsidRPr="004D5A41">
        <w:rPr>
          <w:bCs/>
          <w:iCs/>
        </w:rPr>
        <w:t xml:space="preserve">a umožnili tak občanom a podnikom využívať </w:t>
      </w:r>
      <w:r w:rsidRPr="004D5A41">
        <w:rPr>
          <w:bCs/>
          <w:iCs/>
        </w:rPr>
        <w:t>roamingové</w:t>
      </w:r>
      <w:r w:rsidRPr="004D5A41">
        <w:rPr>
          <w:bCs/>
          <w:iCs/>
        </w:rPr>
        <w:t xml:space="preserve"> služby bez dodatočných poplatkov</w:t>
      </w:r>
      <w:r w:rsidRPr="004D5A41">
        <w:t>;</w:t>
      </w:r>
    </w:p>
    <w:p w:rsidR="00E709D0" w:rsidRPr="004D5A41" w:rsidP="00E709D0" w14:paraId="2841FC41" w14:textId="75B1A632">
      <w:pPr>
        <w:pStyle w:val="NormalHanging12a"/>
        <w:rPr>
          <w:bCs/>
          <w:iCs/>
        </w:rPr>
      </w:pPr>
      <w:r w:rsidRPr="004D5A41">
        <w:t>41</w:t>
      </w:r>
      <w:r w:rsidRPr="004D5A41">
        <w:t>.</w:t>
      </w:r>
      <w:r w:rsidRPr="004D5A41">
        <w:tab/>
        <w:t>zdôrazňuje význam investícií do vzdelávania, rozvoja zručností a inovácií s cieľom podporiť udržateľný rast a sociálnu súdržnosť; vyjadruje albánskej vláde uznanie za prijatie legislatívnych aktov zameraných na reformu vysokoškolského vzdelávania a za nepretržité vykonávanie národnej stratégie vzdelávania na roky 2021 – 2026; vyzýva albánske orgány, aby dokončili vykonávacie právne predpisy k zákonu o kultúrnom dedičstve a múzeách; nabáda na rozvoj politík zameraných na zníženie emigrácie mladých ľudí a úniku mozgov a posilnenie príležitostí pre mladých odborníkov prostredníctvom lepších podmienok na trhu práce, reformy vzdelávania a podpory inovácií;</w:t>
      </w:r>
    </w:p>
    <w:p w:rsidR="00E709D0" w:rsidRPr="004D5A41" w:rsidP="00E709D0" w14:paraId="06771020" w14:textId="3B41B630">
      <w:pPr>
        <w:pStyle w:val="NormalHanging12a"/>
        <w:rPr>
          <w:bCs/>
          <w:iCs/>
        </w:rPr>
      </w:pPr>
      <w:r w:rsidRPr="004D5A41">
        <w:t>42</w:t>
      </w:r>
      <w:r w:rsidRPr="004D5A41">
        <w:t>.</w:t>
      </w:r>
      <w:r w:rsidRPr="004D5A41">
        <w:tab/>
        <w:t>vyzýva na ďalší rozvoj a účinné vykonávanie rámca sociálneho bývania v Albánsku pokračovaním v národnej stratégii pre sociálne bývanie na roky 2016 – 2025 a jej zlepšením s cieľom zabezpečiť stabilné a dôstojné životné podmienky pre skupiny s nižšími príjmami a zraniteľné skupiny; zdôrazňuje najmä význam prístupného a cenovo dostupného sociálneho bývania pre mladých ľudí vrátane študentov a učňov, pretože podporuje ich geografickú mobilitu, prístup k vzdelaniu a odbornej príprave a úspešné začlenenie do trhu práce;</w:t>
      </w:r>
    </w:p>
    <w:p w:rsidR="00E709D0" w:rsidRPr="004D5A41" w:rsidP="00E709D0" w14:paraId="20B24C2E" w14:textId="62F72A2D">
      <w:pPr>
        <w:pStyle w:val="NormalHanging12a"/>
      </w:pPr>
      <w:r w:rsidRPr="004D5A41">
        <w:t>43</w:t>
      </w:r>
      <w:r w:rsidRPr="004D5A41">
        <w:t>.</w:t>
      </w:r>
      <w:r w:rsidRPr="004D5A41">
        <w:tab/>
        <w:t xml:space="preserve">poukazuje na to, že skutočný sociálny dialóg má kľúčový význam z hľadiska zabezpečenia výhod rozšírenia EÚ pre rôzne skupiny obyvateľstva; víta zlepšenie prenosu databáz a včasné prepojenie s Európskymi službami zamestnanosti (EURES), čo bolo možné vďaka úplnému zosúladeniu národného zoznamu povolaní s viacjazyčnou Európskou klasifikáciou zručností, kompetencií, kvalifikácií a povolaní (ESCO); vyjadruje však poľutovanie nad nízkou frekvenciou zasadnutí Národnej rady </w:t>
      </w:r>
      <w:r w:rsidRPr="004D5A41">
        <w:t>práce; vyzýva na posilnenie tripartitného konzultačného procesu vrátane primeraného zastúpenia odborových zväzov; zdôrazňuje, že je potrebné ďalej podporovať budovanie kapacít sociálnych partnerov;</w:t>
      </w:r>
    </w:p>
    <w:p w:rsidR="00E709D0" w:rsidRPr="004D5A41" w:rsidP="00E709D0" w14:paraId="73214F28" w14:textId="3F19D8EA">
      <w:pPr>
        <w:pStyle w:val="NormalHanging12a"/>
        <w:rPr>
          <w:bCs/>
          <w:iCs/>
        </w:rPr>
      </w:pPr>
      <w:r w:rsidRPr="004D5A41">
        <w:t>44</w:t>
      </w:r>
      <w:r w:rsidRPr="004D5A41">
        <w:t>.</w:t>
      </w:r>
      <w:r w:rsidRPr="004D5A41">
        <w:tab/>
        <w:t>vyzýva na zvýšenie úsilia o podporu dodržiavania pracovného práva EÚ a rámca EÚ pre bezpečnosť a ochranu zdravia pri práci vrátane úplného vykonávania nediskriminačných politík a opatrení v oblasti rovnosti a naliehavo vyzýva príslušné vnútroštátne orgány, aby zabezpečili účinné monitorovanie, presadzovanie a primerané sankcie v prípade nedodržiavania predpisov;</w:t>
      </w:r>
    </w:p>
    <w:p w:rsidR="00E709D0" w:rsidRPr="004D5A41" w:rsidP="00E709D0" w14:paraId="5FE6B88D" w14:textId="5DA3574E">
      <w:pPr>
        <w:pStyle w:val="NormalHanging12a"/>
        <w:rPr>
          <w:bCs/>
          <w:iCs/>
        </w:rPr>
      </w:pPr>
      <w:r w:rsidRPr="004D5A41">
        <w:t>45</w:t>
      </w:r>
      <w:r w:rsidRPr="004D5A41">
        <w:t>.</w:t>
      </w:r>
      <w:r w:rsidRPr="004D5A41">
        <w:tab/>
        <w:t xml:space="preserve">zdôrazňuje, že pokrok smerom k pristúpeniu k EÚ si vyžaduje skutočné výsledky pri vykonávaní a presadzovaní </w:t>
      </w:r>
      <w:r w:rsidRPr="004D5A41">
        <w:rPr>
          <w:i/>
        </w:rPr>
        <w:t>acquis</w:t>
      </w:r>
      <w:r w:rsidRPr="004D5A41">
        <w:t xml:space="preserve"> v oblasti životného prostredia, najmä pokiaľ ide o environmentálne hodnotenia, zákony o ochrane prírody a práva na účasť verejnosti;</w:t>
      </w:r>
    </w:p>
    <w:p w:rsidR="00E709D0" w:rsidRPr="004D5A41" w:rsidP="00E709D0" w14:paraId="3142DF5A" w14:textId="5E59446B">
      <w:pPr>
        <w:pStyle w:val="NormalHanging12a"/>
      </w:pPr>
      <w:r w:rsidRPr="004D5A41">
        <w:t>46</w:t>
      </w:r>
      <w:r w:rsidRPr="004D5A41">
        <w:t>.</w:t>
      </w:r>
      <w:r w:rsidRPr="004D5A41">
        <w:tab/>
        <w:t>berie na vedomie oznámenie albánskej vlády, že v tejto krajine zreformuje odvetvie odpadového hospodárstva, a to centralizáciou a zlepšením zberu odpadu a nakladania s ním; so znepokojením však konštatuje, že podľa hodnotenia Komisie nenastal za vykazované obdobie v oblasti životného prostredia a zmeny klímy žiadny pokrok; naliehavo vyzýva albánsku vládu, aby sa prioritne zamerala na vykonávanie stratégií adaptácie na zmenu klímy, rozvoj obnoviteľných zdrojov energie a podporu udržateľného hospodárskeho rastu;</w:t>
      </w:r>
    </w:p>
    <w:p w:rsidR="00E709D0" w:rsidRPr="004D5A41" w:rsidP="00E709D0" w14:paraId="6D7F4946" w14:textId="21A2AB18">
      <w:pPr>
        <w:pStyle w:val="NormalHanging12a"/>
      </w:pPr>
      <w:r w:rsidRPr="004D5A41">
        <w:t>47</w:t>
      </w:r>
      <w:r w:rsidRPr="004D5A41">
        <w:t>.</w:t>
      </w:r>
      <w:r w:rsidRPr="004D5A41">
        <w:tab/>
        <w:t>vyjadruje hlboké poľutovanie nad tým, že platnosť albánskeho zákona o strategických investíciách z roku 2015 bola predĺžená vzhľadom na jeho ustanovenia, ktoré umožňujú zrýchlené povoľovacie konania a zníženú environmentálnu kontrolu, čo môže nepriaznivo ovplyvniť chránené oblasti a iné environmentálne citlivé zóny; vyzýva na zrušenie zmien zákona o chránených územiach z roku 2024, ktoré umožňujú rozvoj rozsiahlej infraštruktúry cestovného ruchu v chránených oblastiach a presun kľúčových riadiacich a rozhodovacích právomocí na Národnú radu pre územné plánovanie, čím sa oslabuje environmentálny dohľad;</w:t>
      </w:r>
    </w:p>
    <w:p w:rsidR="00A1446D" w:rsidRPr="004D5A41" w:rsidP="00A1446D" w14:paraId="7245689F" w14:textId="788A729C">
      <w:pPr>
        <w:pStyle w:val="NormalHanging12a"/>
      </w:pPr>
      <w:r w:rsidRPr="004D5A41">
        <w:t>48</w:t>
      </w:r>
      <w:r w:rsidRPr="004D5A41">
        <w:t>.</w:t>
      </w:r>
      <w:r w:rsidRPr="004D5A41">
        <w:tab/>
        <w:t>zdôrazňuje skutočnosť, že Komisia varovala Albánsko pred krokmi, ktoré by mohli ovplyvniť jeho cestu k pristúpeniu k EÚ v kontexte prebiehajúcich národných protestov proti rozsiahlemu luxusnému developerskému projektu, ktorý ohrozuje chránenú oblasť s voľne žijúcimi druhmi, v ktorej sa nachádzajú plameniaky, tulene a hniezdiská korytnačiek; v tejto súvislosti súhlasí s kritikou Komisie a pripomína, že zosúladenie s pravidlami EÚ v oblasti životného prostredia vrátane smernice o vtákoch</w:t>
      </w:r>
      <w:r>
        <w:rPr>
          <w:rStyle w:val="FootnoteReference"/>
        </w:rPr>
        <w:footnoteReference w:id="7"/>
      </w:r>
      <w:r w:rsidRPr="004D5A41">
        <w:t xml:space="preserve"> a smernice o biotopoch</w:t>
      </w:r>
      <w:r>
        <w:rPr>
          <w:rStyle w:val="FootnoteReference"/>
        </w:rPr>
        <w:footnoteReference w:id="8"/>
      </w:r>
      <w:r w:rsidRPr="004D5A41">
        <w:t xml:space="preserve"> je predpokladom pristúpenia k EÚ;</w:t>
      </w:r>
    </w:p>
    <w:p w:rsidR="00A1446D" w:rsidRPr="004D5A41" w:rsidP="00E709D0" w14:paraId="196F2860" w14:textId="725BC208">
      <w:pPr>
        <w:pStyle w:val="NormalHanging12a"/>
        <w:rPr>
          <w:bCs/>
          <w:iCs/>
        </w:rPr>
      </w:pPr>
      <w:r w:rsidRPr="004D5A41">
        <w:rPr>
          <w:bCs/>
          <w:iCs/>
        </w:rPr>
        <w:t>49</w:t>
      </w:r>
      <w:r w:rsidRPr="004D5A41" w:rsidR="00531763">
        <w:rPr>
          <w:bCs/>
          <w:iCs/>
        </w:rPr>
        <w:t>.</w:t>
      </w:r>
      <w:r w:rsidRPr="004D5A41" w:rsidR="00531763">
        <w:rPr>
          <w:bCs/>
          <w:iCs/>
        </w:rPr>
        <w:tab/>
        <w:t xml:space="preserve">vyjadruje vážne znepokojenie nad tým, že prebiehajúci vývoj v chránenej oblasti </w:t>
      </w:r>
      <w:r w:rsidRPr="004D5A41" w:rsidR="00531763">
        <w:rPr>
          <w:bCs/>
          <w:iCs/>
        </w:rPr>
        <w:t>Vjosa-Narta</w:t>
      </w:r>
      <w:r w:rsidRPr="004D5A41" w:rsidR="00531763">
        <w:rPr>
          <w:bCs/>
          <w:iCs/>
        </w:rPr>
        <w:t xml:space="preserve"> poukazuje na praktické dôsledky týchto legislatívnych zmien a z nich vyplývajúce riziká pre oblasti s uznanou ekologickou hodnotou; v tejto súvislosti pozorne sleduje prebiehajúce pokojné masové protesty; vyzýva albánske orgány, aby okamžite zaviedli moratórium na všetky nové povoľovacie postupy, stavebné práce a rozvojové zásahy v </w:t>
      </w:r>
      <w:r w:rsidRPr="004D5A41" w:rsidR="00531763">
        <w:rPr>
          <w:bCs/>
          <w:iCs/>
        </w:rPr>
        <w:t>chránených oblastiach, kým sa nezrušia nezlučiteľné ustanovenia zmeneného zákona o chránených oblastiach, a to na základe dlhodobej žiadosti Komisie a</w:t>
      </w:r>
      <w:r w:rsidRPr="004D5A41">
        <w:rPr>
          <w:bCs/>
          <w:iCs/>
        </w:rPr>
        <w:t> Európskeho p</w:t>
      </w:r>
      <w:r w:rsidRPr="004D5A41" w:rsidR="00531763">
        <w:rPr>
          <w:bCs/>
          <w:iCs/>
        </w:rPr>
        <w:t>arlamentu a v súlade so záverečnými kritériami kapitoly 27 a kým sa nezabezpečí úplný súlad s normami EÚ v oblasti ochrany prírody; zdôrazňuje, že všetky projekty v tejto oblasti musia prejsť komplexným posúdením vplyvu na životné prostredie v plnom súlade s normami EÚ vrátane transparentného procesu účasti verejnosti s miestnymi komunitami, vedcami a občianskou spoločnosťou;</w:t>
      </w:r>
    </w:p>
    <w:p w:rsidR="00E709D0" w:rsidRPr="004D5A41" w:rsidP="00E709D0" w14:paraId="472AEA81" w14:textId="77777777">
      <w:pPr>
        <w:pStyle w:val="NormalHanging12a"/>
        <w:rPr>
          <w:b/>
          <w:bCs/>
          <w:i/>
          <w:iCs/>
        </w:rPr>
      </w:pPr>
      <w:r w:rsidRPr="004D5A41">
        <w:rPr>
          <w:b/>
          <w:i/>
        </w:rPr>
        <w:t>Zahraničná politika a regionálna spolupráca</w:t>
      </w:r>
    </w:p>
    <w:p w:rsidR="00E709D0" w:rsidRPr="004D5A41" w:rsidP="00E709D0" w14:paraId="54733C3E" w14:textId="452F9462">
      <w:pPr>
        <w:pStyle w:val="NormalHanging12a"/>
      </w:pPr>
      <w:r w:rsidRPr="004D5A41">
        <w:t>50</w:t>
      </w:r>
      <w:r w:rsidRPr="004D5A41">
        <w:t>.</w:t>
      </w:r>
      <w:r w:rsidRPr="004D5A41">
        <w:tab/>
        <w:t>oceňuje skutočnosť, že Albánsko sa ďalej plne zosúlaďuje so spoločnou zahraničnou a bezpečnostnou politikou EÚ vrátane reštriktívnych opatrení, pokračuje v zapájaní sa do misií a operácií spoločnej bezpečnostnej a obrannej politiky EÚ a zohráva konštruktívnu úlohu pri podpore regionálnej stability, čo svedčí o silnej euroatlantickej orientácii tejto krajiny; víta posilnenú spoluprácu v otázkach bezpečnosti a obrany prostredníctvom partnerstva v oblasti bezpečnosti a obrany medzi EÚ a Albánskom a dialógov o bezpečnosti a obrane; zdôrazňuje význam ďalšej spolupráce, ako sú spoločné iniciatívy v oblasti výcviku, spoločné využívanie spravodajských kapacít a posilnené opatrenia na ochranu hraníc s cieľom riešiť regionálne a globálne bezpečnostné výzvy;</w:t>
      </w:r>
    </w:p>
    <w:p w:rsidR="00E709D0" w:rsidRPr="004D5A41" w:rsidP="00E709D0" w14:paraId="63DAE725" w14:textId="4D5C4798">
      <w:pPr>
        <w:pStyle w:val="NormalHanging12a"/>
      </w:pPr>
      <w:r w:rsidRPr="004D5A41">
        <w:t>51</w:t>
      </w:r>
      <w:r w:rsidRPr="004D5A41">
        <w:t>.</w:t>
      </w:r>
      <w:r w:rsidRPr="004D5A41">
        <w:tab/>
        <w:t>zdôrazňuje, že účasť na medzinárodných iniciatívach a v medzinárodných organizáciách by mala byť aj naďalej zosúladená s hodnotami EÚ, regionálnou stabilitou a cieľmi Albánska v oblasti procesu integrácie do EÚ; zdôrazňuje význam transparentnosti a primeranej parlamentnej kontroly pri rozhodnutiach týkajúcich sa medzinárodných záväzkov;</w:t>
      </w:r>
    </w:p>
    <w:p w:rsidR="00E709D0" w:rsidRPr="004D5A41" w:rsidP="00E709D0" w14:paraId="5FE2615D" w14:textId="683383CF">
      <w:pPr>
        <w:pStyle w:val="NormalHanging12a"/>
        <w:rPr>
          <w:bCs/>
          <w:iCs/>
        </w:rPr>
      </w:pPr>
      <w:r w:rsidRPr="004D5A41">
        <w:t>52</w:t>
      </w:r>
      <w:r w:rsidRPr="004D5A41">
        <w:t>.</w:t>
      </w:r>
      <w:r w:rsidRPr="004D5A41">
        <w:tab/>
        <w:t>zdôrazňuje význam dobrých susedských vzťahov a regionálnej spolupráce ako základných prvkov procesu rozširovania EÚ a víta aktívne zapájanie sa Albánska do regionálnych iniciatív; zdôrazňuje potrebu prehĺbiť bezpečnostnú spoluprácu v rámci západného Balkánu a podporiť užšiu koordináciu medzi regionálnymi partnermi v boji proti organizovanej trestnej činnosti, kybernetickým hrozbám a hybridným výzvam; uznáva strategický význam jadransko-iónskeho regiónu pre európsku bezpečnosť a hospodársku stabilitu; vyzýva Albánsko, aby v koordinácii s EÚ a NATO posilnilo svoje kapacity v oblasti námornej bezpečnosti vrátane posilnenia námornej infraštruktúry, zlepšenia systémov dohľadu a zintenzívnenia úsilia v boji proti nezákonným činnostiam, ako je obchodovanie s ľuďmi; nabáda Albánsko, aby užšie spolupracovalo s pobrežnými štátmi EÚ s cieľom zabezpečiť ochranu kritických námorných trás a environmentálnu udržateľnosť v regióne;</w:t>
      </w:r>
    </w:p>
    <w:p w:rsidR="00E709D0" w:rsidRPr="004D5A41" w:rsidP="00E709D0" w14:paraId="0ABE0E58" w14:textId="1B548421">
      <w:pPr>
        <w:pStyle w:val="NormalHanging12a"/>
        <w:rPr>
          <w:bCs/>
          <w:iCs/>
        </w:rPr>
      </w:pPr>
      <w:r w:rsidRPr="004D5A41">
        <w:t>53</w:t>
      </w:r>
      <w:r w:rsidRPr="004D5A41">
        <w:t>.</w:t>
      </w:r>
      <w:r w:rsidRPr="004D5A41">
        <w:tab/>
        <w:t>varuje, že iniciatívy vyvinuté mimo rámca EÚ vrátane tzv. iniciatívy Otvorený Balkán predstavujú riziko vytvorenia paralelných štruktúr, ktoré by mohli ohroziť berlínsky proces a spoločný regionálny trh západného Balkánu;</w:t>
      </w:r>
    </w:p>
    <w:p w:rsidR="00E709D0" w:rsidRPr="004D5A41" w:rsidP="00E709D0" w14:paraId="38390C7A" w14:textId="77777777">
      <w:pPr>
        <w:pStyle w:val="NormalHanging12a"/>
        <w:rPr>
          <w:b/>
          <w:bCs/>
          <w:i/>
          <w:iCs/>
        </w:rPr>
      </w:pPr>
      <w:r w:rsidRPr="004D5A41">
        <w:rPr>
          <w:b/>
          <w:i/>
        </w:rPr>
        <w:t>Podpora EÚ</w:t>
      </w:r>
    </w:p>
    <w:p w:rsidR="00E709D0" w:rsidRPr="004D5A41" w:rsidP="00E709D0" w14:paraId="7FA07B3C" w14:textId="145D96FF">
      <w:pPr>
        <w:pStyle w:val="NormalHanging12a"/>
      </w:pPr>
      <w:r w:rsidRPr="004D5A41">
        <w:t>54</w:t>
      </w:r>
      <w:r w:rsidRPr="004D5A41">
        <w:t>.</w:t>
      </w:r>
      <w:r w:rsidRPr="004D5A41">
        <w:tab/>
        <w:t xml:space="preserve">víta finančnú a technickú pomoc, ktorú EÚ poskytuje Albánsku v rámci nástroja IPA III a Nástroja na podporu reforiem a rastu pre západný Balkán, a zdôrazňuje, že takáto podpora musí zostať pevne prepojená s vykonávaním konkrétnych reforiem a merateľnými výsledkami; vyzýva na posilnenie podpory EÚ pre regionálne bezpečnostné iniciatívy, ktoré posilňujú stabilitu a odolnosť na západnom Balkáne; víta dvojstranné opatrenia pomoci v rámci Európskeho mierového nástroja na podporu </w:t>
      </w:r>
      <w:r w:rsidRPr="004D5A41">
        <w:t>albánskych ozbrojených síl, ktoré zvyšujú potenciál Albánska prispievať k misiám a operáciám spoločnej bezpečnostnej a obrannej politiky EÚ;</w:t>
      </w:r>
    </w:p>
    <w:p w:rsidR="00E709D0" w:rsidRPr="004D5A41" w:rsidP="00E709D0" w14:paraId="4AA4A19C" w14:textId="6576602B">
      <w:pPr>
        <w:pStyle w:val="NormalHanging12a"/>
        <w:rPr>
          <w:bCs/>
          <w:iCs/>
        </w:rPr>
      </w:pPr>
      <w:r w:rsidRPr="004D5A41">
        <w:t>55</w:t>
      </w:r>
      <w:r w:rsidRPr="004D5A41">
        <w:t>.</w:t>
      </w:r>
      <w:r w:rsidRPr="004D5A41">
        <w:tab/>
        <w:t>vyzýva na posilnenie dohľadu a zmysluplnú účasť organizácií občianskej spoločnosti, záujmových združení a sociálnych partnerov vo všetkých fázach Nástroja na podporu reforiem a rastu pre západný Balkán vrátane navrhovania reformných opatrení, realizácie projektov a monitorovania výsledkov;</w:t>
      </w:r>
    </w:p>
    <w:p w:rsidR="00E709D0" w:rsidRPr="004D5A41" w:rsidP="00E709D0" w14:paraId="28D8BE68" w14:textId="09543FEB">
      <w:pPr>
        <w:pStyle w:val="NormalHanging12a"/>
        <w:rPr>
          <w:bCs/>
          <w:iCs/>
        </w:rPr>
      </w:pPr>
      <w:r w:rsidRPr="004D5A41">
        <w:t>56</w:t>
      </w:r>
      <w:r w:rsidRPr="004D5A41">
        <w:t>.</w:t>
      </w:r>
      <w:r w:rsidRPr="004D5A41">
        <w:tab/>
        <w:t>vyzýva EÚ, aby Albánsku poskytla ďalšiu finančnú a technickú pomoc na podporu udržateľného rozvoja vidieka a na zníženie rozdielov medzi mestami a vidiekom v súlade s politikami súdržnosti EÚ;</w:t>
      </w:r>
    </w:p>
    <w:p w:rsidR="00E709D0" w:rsidRPr="004D5A41" w:rsidP="00E709D0" w14:paraId="1E0D625E" w14:textId="0024DC3D">
      <w:pPr>
        <w:pStyle w:val="NormalHanging12a"/>
        <w:rPr>
          <w:bCs/>
          <w:iCs/>
        </w:rPr>
      </w:pPr>
      <w:r w:rsidRPr="004D5A41">
        <w:t>57</w:t>
      </w:r>
      <w:r w:rsidRPr="004D5A41">
        <w:t>.</w:t>
      </w:r>
      <w:r w:rsidRPr="004D5A41">
        <w:tab/>
        <w:t>vyjadruje znepokojenie nad závažnými nezrovnalosťami, ktoré zistil Európsky úrad pre boj proti podvodom pri vykonávaní programu nástroja predvstupovej pomoci EÚ pre rozvoj vidieka (IPARD II) v Albánsku; zdôrazňuje, že je dôležité zabezpečiť úplnú transparentnosť, zodpovednosť a účinné kontrolné mechanizmy pri využívaní finančnej pomoci EÚ s cieľom chrániť finančné záujmy Únie a zachovať dôveru verejnosti; vyzýva na okamžité vykonávanie potrebných nápravných opatrení;</w:t>
      </w:r>
    </w:p>
    <w:p w:rsidR="00E709D0" w:rsidRPr="004D5A41" w:rsidP="00E709D0" w14:paraId="028367AD" w14:textId="2121B6AD">
      <w:pPr>
        <w:pStyle w:val="NormalHanging12a"/>
        <w:rPr>
          <w:bCs/>
          <w:iCs/>
        </w:rPr>
      </w:pPr>
      <w:r w:rsidRPr="004D5A41">
        <w:t>58</w:t>
      </w:r>
      <w:r w:rsidRPr="004D5A41">
        <w:t>.</w:t>
      </w:r>
      <w:r w:rsidRPr="004D5A41">
        <w:tab/>
        <w:t>vyzýva Komisiu, aby naďalej poskytovala jasné usmernenia týkajúce sa priorít reforiem a zabezpečila transparentné a prísne monitorovanie pokroku pri ich vykonávaní; ďalej vyzýva Komisiu, aby vo všetkých členských štátoch a v Albánsku začala informačnú kampaň s cieľom vysvetliť občanom pozitívny vplyv rozšírenia EÚ;</w:t>
      </w:r>
    </w:p>
    <w:p w:rsidR="00E709D0" w:rsidRPr="004D5A41" w:rsidP="00E709D0" w14:paraId="062CFBD1" w14:textId="2569CC43">
      <w:pPr>
        <w:pStyle w:val="NormalHanging12a"/>
        <w:rPr>
          <w:bCs/>
          <w:iCs/>
        </w:rPr>
      </w:pPr>
      <w:r w:rsidRPr="004D5A41">
        <w:t>59</w:t>
      </w:r>
      <w:r w:rsidRPr="004D5A41">
        <w:t>.</w:t>
      </w:r>
      <w:r w:rsidRPr="004D5A41">
        <w:tab/>
        <w:t>nabáda Komisiu spolu s Európskou službou pre vonkajšiu činnosť, aby ďalej pomáhali zvyšovať odolnosť Albánska voči hybridným hrozbám, v oblasti kybernetickej bezpečnosti, manipulácie s informáciami a ochrany kritickej infraštruktúry; zdôrazňuje, že treba zlepšiť koordináciu a riešiť dezinformácie a hybridné hrozby, ktorých cieľom je oslabiť podporu albánskej verejnosti pre pristúpenie k EÚ, a to strategickejším zdôrazňovaním významu EÚ pre ľudí na západnom Balkáne;</w:t>
      </w:r>
    </w:p>
    <w:p w:rsidR="00E709D0" w:rsidRPr="004D5A41" w:rsidP="00E709D0" w14:paraId="578C2FAB" w14:textId="77777777">
      <w:pPr>
        <w:pStyle w:val="NormalHanging12a"/>
        <w:jc w:val="center"/>
      </w:pPr>
      <w:r w:rsidRPr="004D5A41">
        <w:t>°</w:t>
      </w:r>
    </w:p>
    <w:p w:rsidR="00E709D0" w:rsidRPr="004D5A41" w:rsidP="00E709D0" w14:paraId="380D8E90" w14:textId="77777777">
      <w:pPr>
        <w:pStyle w:val="NormalHanging12a"/>
        <w:jc w:val="center"/>
      </w:pPr>
      <w:r w:rsidRPr="004D5A41">
        <w:t>°</w:t>
      </w:r>
      <w:r w:rsidRPr="004D5A41">
        <w:tab/>
        <w:t>°</w:t>
      </w:r>
    </w:p>
    <w:p w:rsidR="005D7F85" w:rsidRPr="004D5A41" w:rsidP="005D7F85" w14:paraId="7B22FC48" w14:textId="66CDFE27">
      <w:pPr>
        <w:pStyle w:val="NormalHanging12a"/>
      </w:pPr>
      <w:r w:rsidRPr="004D5A41">
        <w:t>60</w:t>
      </w:r>
      <w:r w:rsidRPr="004D5A41" w:rsidR="00E709D0">
        <w:t>.</w:t>
      </w:r>
      <w:r w:rsidRPr="004D5A41" w:rsidR="00E709D0">
        <w:tab/>
        <w:t>poveruje svoju predsedníčku, aby postúpila toto uznesenie Rade a Komisii, predsedovi Európskej rady, podpredsedníčke Komisie/vysokej predstaviteľke Únie pre zahraničné veci a bezpečnostnú politiku, vládam a parlamentom členských štátov a prezidentovi, vláde a parlamentu Albánskej republiky.</w:t>
      </w:r>
    </w:p>
    <w:p w:rsidR="00E365E1" w:rsidRPr="004D5A41" w:rsidP="00793367" w14:paraId="59C2A753" w14:textId="289C7251"/>
    <w:sectPr w:rsidSect="005D7F8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D7F85" w14:paraId="7F377BA3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D7F85" w14:paraId="25476F57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D7F85" w14:paraId="5AF9BA97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793367" w:rsidRPr="005D7F85" w14:paraId="00E9AC9E" w14:textId="77777777">
      <w:r w:rsidRPr="005D7F85">
        <w:separator/>
      </w:r>
    </w:p>
  </w:footnote>
  <w:footnote w:type="continuationSeparator" w:id="1">
    <w:p w:rsidR="00793367" w:rsidRPr="005D7F85" w14:paraId="6C9DB49B" w14:textId="77777777">
      <w:r w:rsidRPr="005D7F85">
        <w:continuationSeparator/>
      </w:r>
    </w:p>
  </w:footnote>
  <w:footnote w:id="2">
    <w:p w:rsidR="00E709D0" w:rsidRPr="005D7F85" w:rsidP="005D7F85" w14:paraId="7EF5C2F0" w14:textId="685E4CDB">
      <w:pPr>
        <w:pStyle w:val="FootnoteText"/>
        <w:ind w:left="567" w:hanging="567"/>
        <w:rPr>
          <w:sz w:val="24"/>
          <w:lang w:val="sk-SK"/>
        </w:rPr>
      </w:pPr>
      <w:r w:rsidRPr="005D7F85">
        <w:rPr>
          <w:rStyle w:val="FootnoteReference"/>
          <w:sz w:val="24"/>
          <w:lang w:val="sk-SK"/>
        </w:rPr>
        <w:footnoteRef/>
      </w:r>
      <w:r w:rsidRPr="005D7F85" w:rsidR="005D7F85">
        <w:rPr>
          <w:sz w:val="24"/>
          <w:lang w:val="sk-SK"/>
        </w:rPr>
        <w:t xml:space="preserve"> </w:t>
      </w:r>
      <w:r w:rsidRPr="005D7F85" w:rsidR="005D7F85">
        <w:rPr>
          <w:sz w:val="24"/>
          <w:lang w:val="sk-SK"/>
        </w:rPr>
        <w:tab/>
      </w:r>
      <w:r w:rsidRPr="005D7F85">
        <w:rPr>
          <w:sz w:val="24"/>
          <w:lang w:val="sk-SK"/>
        </w:rPr>
        <w:t xml:space="preserve">Ú. v. EÚ L 107, 28.4.2009, s. 166, ELI: </w:t>
      </w:r>
      <w:hyperlink r:id="rId1" w:tooltip="Umožňuje prístup k tomuto dokumentu prostredníctvom identifikátora URI používaného v rámci ELI." w:history="1">
        <w:r w:rsidRPr="005D7F85">
          <w:rPr>
            <w:rStyle w:val="Hyperlink"/>
            <w:sz w:val="24"/>
            <w:lang w:val="sk-SK"/>
          </w:rPr>
          <w:t>http://data.europa.eu/eli/agree_internation/2009/332/oj</w:t>
        </w:r>
      </w:hyperlink>
      <w:r w:rsidRPr="005D7F85">
        <w:rPr>
          <w:sz w:val="24"/>
          <w:lang w:val="sk-SK"/>
        </w:rPr>
        <w:t>.</w:t>
      </w:r>
    </w:p>
  </w:footnote>
  <w:footnote w:id="3">
    <w:p w:rsidR="00E709D0" w:rsidRPr="005D7F85" w:rsidP="005D7F85" w14:paraId="354477AF" w14:textId="08D2E7DB">
      <w:pPr>
        <w:pStyle w:val="FootnoteText"/>
        <w:ind w:left="567" w:hanging="567"/>
        <w:rPr>
          <w:sz w:val="24"/>
          <w:lang w:val="sk-SK"/>
        </w:rPr>
      </w:pPr>
      <w:r w:rsidRPr="005D7F85">
        <w:rPr>
          <w:rStyle w:val="FootnoteReference"/>
          <w:sz w:val="24"/>
          <w:lang w:val="sk-SK"/>
        </w:rPr>
        <w:footnoteRef/>
      </w:r>
      <w:r w:rsidRPr="005D7F85" w:rsidR="005D7F85">
        <w:rPr>
          <w:sz w:val="24"/>
          <w:lang w:val="sk-SK"/>
        </w:rPr>
        <w:t xml:space="preserve"> </w:t>
      </w:r>
      <w:r w:rsidRPr="005D7F85" w:rsidR="005D7F85">
        <w:rPr>
          <w:sz w:val="24"/>
          <w:lang w:val="sk-SK"/>
        </w:rPr>
        <w:tab/>
      </w:r>
      <w:r w:rsidRPr="005D7F85">
        <w:rPr>
          <w:sz w:val="24"/>
          <w:lang w:val="sk-SK"/>
        </w:rPr>
        <w:t xml:space="preserve">Ú. v. EÚ L 330, 20.9.2021, s. </w:t>
      </w:r>
      <w:r w:rsidRPr="005D7F85">
        <w:rPr>
          <w:sz w:val="24"/>
          <w:lang w:val="sk-SK"/>
        </w:rPr>
        <w:t xml:space="preserve">1, ELI: </w:t>
      </w:r>
      <w:hyperlink r:id="rId2" w:tooltip="Umožňuje prístup k tomuto dokumentu prostredníctvom identifikátora URI používaného v rámci ELI." w:history="1">
        <w:r w:rsidRPr="005D7F85">
          <w:rPr>
            <w:rStyle w:val="Hyperlink"/>
            <w:sz w:val="24"/>
            <w:lang w:val="sk-SK"/>
          </w:rPr>
          <w:t>http://data.europa.eu/eli/reg/2021/1529/oj</w:t>
        </w:r>
      </w:hyperlink>
      <w:r w:rsidRPr="005D7F85">
        <w:rPr>
          <w:sz w:val="24"/>
          <w:lang w:val="sk-SK"/>
        </w:rPr>
        <w:t>.</w:t>
      </w:r>
    </w:p>
  </w:footnote>
  <w:footnote w:id="4">
    <w:p w:rsidR="00E709D0" w:rsidRPr="005D7F85" w:rsidP="005D7F85" w14:paraId="1EB05037" w14:textId="3877AF6F">
      <w:pPr>
        <w:pStyle w:val="FootnoteText"/>
        <w:ind w:left="567" w:hanging="567"/>
        <w:rPr>
          <w:sz w:val="24"/>
          <w:lang w:val="sk-SK"/>
        </w:rPr>
      </w:pPr>
      <w:r w:rsidRPr="005D7F85">
        <w:rPr>
          <w:rStyle w:val="FootnoteReference"/>
          <w:sz w:val="24"/>
          <w:lang w:val="sk-SK"/>
        </w:rPr>
        <w:footnoteRef/>
      </w:r>
      <w:r w:rsidRPr="005D7F85" w:rsidR="005D7F85">
        <w:rPr>
          <w:sz w:val="24"/>
          <w:lang w:val="sk-SK"/>
        </w:rPr>
        <w:t xml:space="preserve"> </w:t>
      </w:r>
      <w:r w:rsidRPr="005D7F85" w:rsidR="005D7F85">
        <w:rPr>
          <w:sz w:val="24"/>
          <w:lang w:val="sk-SK"/>
        </w:rPr>
        <w:tab/>
      </w:r>
      <w:r w:rsidRPr="005D7F85">
        <w:rPr>
          <w:sz w:val="24"/>
          <w:lang w:val="sk-SK"/>
        </w:rPr>
        <w:t xml:space="preserve">Ú. v. </w:t>
      </w:r>
      <w:r w:rsidRPr="005D7F85">
        <w:rPr>
          <w:sz w:val="24"/>
          <w:lang w:val="sk-SK"/>
        </w:rPr>
        <w:t xml:space="preserve">EÚ L, 2024/1449, 24.5.2024, ELI: </w:t>
      </w:r>
      <w:hyperlink r:id="rId3" w:tgtFrame="_blank" w:tooltip="Umožňuje prístup k tomuto dokumentu prostredníctvom identifikátora URI používaného v rámci ELI." w:history="1">
        <w:r w:rsidRPr="005D7F85">
          <w:rPr>
            <w:rStyle w:val="Hyperlink"/>
            <w:sz w:val="24"/>
            <w:lang w:val="sk-SK"/>
          </w:rPr>
          <w:t>http://data.europa.eu/eli/reg/2024/1449/oj</w:t>
        </w:r>
      </w:hyperlink>
      <w:r w:rsidRPr="005D7F85">
        <w:rPr>
          <w:sz w:val="24"/>
          <w:lang w:val="sk-SK"/>
        </w:rPr>
        <w:t>.</w:t>
      </w:r>
    </w:p>
  </w:footnote>
  <w:footnote w:id="5">
    <w:p w:rsidR="00E709D0" w:rsidRPr="005D7F85" w:rsidP="005D7F85" w14:paraId="6D020713" w14:textId="151255D3">
      <w:pPr>
        <w:pStyle w:val="FootnoteText"/>
        <w:ind w:left="567" w:hanging="567"/>
        <w:rPr>
          <w:sz w:val="24"/>
          <w:lang w:val="sk-SK"/>
        </w:rPr>
      </w:pPr>
      <w:r w:rsidRPr="005D7F85">
        <w:rPr>
          <w:rStyle w:val="FootnoteReference"/>
          <w:sz w:val="24"/>
          <w:lang w:val="sk-SK"/>
        </w:rPr>
        <w:footnoteRef/>
      </w:r>
      <w:r w:rsidRPr="005D7F85" w:rsidR="005D7F85">
        <w:rPr>
          <w:sz w:val="24"/>
          <w:lang w:val="sk-SK"/>
        </w:rPr>
        <w:t xml:space="preserve"> </w:t>
      </w:r>
      <w:r w:rsidRPr="005D7F85" w:rsidR="005D7F85">
        <w:rPr>
          <w:sz w:val="24"/>
          <w:lang w:val="sk-SK"/>
        </w:rPr>
        <w:tab/>
      </w:r>
      <w:r w:rsidRPr="005D7F85">
        <w:rPr>
          <w:sz w:val="24"/>
          <w:lang w:val="sk-SK"/>
        </w:rPr>
        <w:t>Prijaté texty, P10_TA(2026)0077.</w:t>
      </w:r>
    </w:p>
  </w:footnote>
  <w:footnote w:id="6">
    <w:p w:rsidR="00E709D0" w:rsidRPr="005D7F85" w:rsidP="005D7F85" w14:paraId="01D64D7B" w14:textId="10268C03">
      <w:pPr>
        <w:pStyle w:val="FootnoteText"/>
        <w:ind w:left="567" w:hanging="567"/>
        <w:rPr>
          <w:sz w:val="24"/>
          <w:lang w:val="sk-SK"/>
        </w:rPr>
      </w:pPr>
      <w:r w:rsidRPr="005D7F85">
        <w:rPr>
          <w:rStyle w:val="FootnoteReference"/>
          <w:sz w:val="24"/>
          <w:lang w:val="sk-SK"/>
        </w:rPr>
        <w:footnoteRef/>
      </w:r>
      <w:r w:rsidRPr="005D7F85" w:rsidR="005D7F85">
        <w:rPr>
          <w:sz w:val="24"/>
          <w:lang w:val="sk-SK"/>
        </w:rPr>
        <w:t xml:space="preserve"> </w:t>
      </w:r>
      <w:r w:rsidRPr="005D7F85" w:rsidR="005D7F85">
        <w:rPr>
          <w:sz w:val="24"/>
          <w:lang w:val="sk-SK"/>
        </w:rPr>
        <w:tab/>
      </w:r>
      <w:r w:rsidRPr="005D7F85">
        <w:rPr>
          <w:sz w:val="24"/>
          <w:lang w:val="sk-SK"/>
        </w:rPr>
        <w:t xml:space="preserve">Smernica Európskeho parlamentu a Rady (EÚ) 2022/2555 zo 14. decembra 2022 o opatreniach na zabezpečenie vysokej spoločnej úrovne kybernetickej bezpečnosti v Únii, ktorou sa mení nariadenie (EÚ) č. 910/2014 a smernica (EÚ) 2018/1972 a zrušuje smernica (EÚ) 2016/1148 (smernica NIS 2) (Ú. v. EÚ L 333, 27.12.2022, s. </w:t>
      </w:r>
      <w:r w:rsidRPr="005D7F85">
        <w:rPr>
          <w:sz w:val="24"/>
          <w:lang w:val="sk-SK"/>
        </w:rPr>
        <w:t>80, ELI: </w:t>
      </w:r>
      <w:hyperlink r:id="rId4" w:tooltip="Umožňuje prístup k tomuto dokumentu prostredníctvom identifikátora URI používaného v rámci ELI." w:history="1">
        <w:r w:rsidRPr="005D7F85">
          <w:rPr>
            <w:rStyle w:val="Hyperlink"/>
            <w:sz w:val="24"/>
            <w:lang w:val="sk-SK"/>
          </w:rPr>
          <w:t>http://data.europa.eu/eli/dir/2022/2555/oj</w:t>
        </w:r>
      </w:hyperlink>
      <w:r w:rsidRPr="005D7F85">
        <w:rPr>
          <w:sz w:val="24"/>
          <w:lang w:val="sk-SK"/>
        </w:rPr>
        <w:t>).</w:t>
      </w:r>
    </w:p>
  </w:footnote>
  <w:footnote w:id="7">
    <w:p w:rsidR="00A1446D" w:rsidRPr="004D5A41" w:rsidP="004D5A41" w14:paraId="3C6F2C37" w14:textId="51C93A34">
      <w:pPr>
        <w:pStyle w:val="FootnoteText"/>
        <w:ind w:left="567" w:hanging="567"/>
        <w:rPr>
          <w:iCs/>
          <w:sz w:val="24"/>
          <w:szCs w:val="24"/>
          <w:lang w:val="sk-SK"/>
        </w:rPr>
      </w:pPr>
      <w:r>
        <w:rPr>
          <w:rStyle w:val="FootnoteReference"/>
        </w:rPr>
        <w:footnoteRef/>
      </w:r>
      <w:r w:rsidRPr="004D5A41">
        <w:rPr>
          <w:lang w:val="sk-SK"/>
        </w:rPr>
        <w:t xml:space="preserve"> </w:t>
      </w:r>
      <w:r w:rsidRPr="004D5A41">
        <w:rPr>
          <w:lang w:val="sk-SK"/>
        </w:rPr>
        <w:tab/>
      </w:r>
      <w:r w:rsidRPr="004D5A41">
        <w:rPr>
          <w:iCs/>
          <w:sz w:val="24"/>
          <w:szCs w:val="24"/>
          <w:lang w:val="sk-SK"/>
        </w:rPr>
        <w:t>Smernica Európskeho parlamentu a Rady 2009/147/ES z 30. novembra 2009 o ochrane voľne žijúceho vtáctva (Ú. v. EÚ L 20, 26.1.2010, s. </w:t>
      </w:r>
      <w:r w:rsidRPr="004D5A41">
        <w:rPr>
          <w:iCs/>
          <w:sz w:val="24"/>
          <w:szCs w:val="24"/>
          <w:lang w:val="sk-SK"/>
        </w:rPr>
        <w:t>7, ELI: </w:t>
      </w:r>
      <w:hyperlink r:id="rId5" w:tooltip="Umožňuje prístup k tomuto dokumentu prostredníctvom identifikátora URI používaného v rámci ELI." w:history="1">
        <w:r w:rsidRPr="004D5A41">
          <w:rPr>
            <w:rStyle w:val="Hyperlink"/>
            <w:iCs/>
            <w:sz w:val="24"/>
            <w:szCs w:val="24"/>
            <w:lang w:val="sk-SK"/>
          </w:rPr>
          <w:t>http://data.europa.eu/eli/dir/2009/147/oj</w:t>
        </w:r>
      </w:hyperlink>
      <w:r w:rsidRPr="004D5A41">
        <w:rPr>
          <w:iCs/>
          <w:sz w:val="24"/>
          <w:szCs w:val="24"/>
          <w:lang w:val="sk-SK"/>
        </w:rPr>
        <w:t>).</w:t>
      </w:r>
    </w:p>
  </w:footnote>
  <w:footnote w:id="8">
    <w:p w:rsidR="00A1446D" w:rsidRPr="004D5A41" w:rsidP="004D5A41" w14:paraId="5BD4F547" w14:textId="237E4F10">
      <w:pPr>
        <w:pStyle w:val="FootnoteText"/>
        <w:ind w:left="567" w:hanging="567"/>
        <w:rPr>
          <w:bCs/>
          <w:iCs/>
          <w:sz w:val="24"/>
          <w:szCs w:val="24"/>
          <w:lang w:val="sk-SK"/>
        </w:rPr>
      </w:pPr>
      <w:r>
        <w:rPr>
          <w:rStyle w:val="FootnoteReference"/>
        </w:rPr>
        <w:footnoteRef/>
      </w:r>
      <w:r w:rsidRPr="004D5A41">
        <w:rPr>
          <w:lang w:val="sk-SK"/>
        </w:rPr>
        <w:t xml:space="preserve"> </w:t>
      </w:r>
      <w:r w:rsidRPr="004D5A41">
        <w:rPr>
          <w:lang w:val="sk-SK"/>
        </w:rPr>
        <w:tab/>
      </w:r>
      <w:r w:rsidRPr="004D5A41">
        <w:rPr>
          <w:bCs/>
          <w:iCs/>
          <w:sz w:val="24"/>
          <w:szCs w:val="24"/>
          <w:lang w:val="sk-SK"/>
        </w:rPr>
        <w:t>Smernica Rady 92/43/EHS z 21. mája 1992 o ochrane prirodzených biotopov a voľne žijúcich živočíchov a rastlín (Ú. v. ES L 206, 22.7.1992, s. </w:t>
      </w:r>
      <w:r w:rsidRPr="004D5A41">
        <w:rPr>
          <w:bCs/>
          <w:iCs/>
          <w:sz w:val="24"/>
          <w:szCs w:val="24"/>
          <w:lang w:val="sk-SK"/>
        </w:rPr>
        <w:t>7, ELI: </w:t>
      </w:r>
      <w:hyperlink r:id="rId6" w:tooltip="Umožňuje prístup k tomuto dokumentu prostredníctvom identifikátora URI používaného v rámci ELI." w:history="1">
        <w:r w:rsidRPr="004D5A41">
          <w:rPr>
            <w:rStyle w:val="Hyperlink"/>
            <w:bCs/>
            <w:iCs/>
            <w:sz w:val="24"/>
            <w:szCs w:val="24"/>
            <w:lang w:val="sk-SK"/>
          </w:rPr>
          <w:t>http://data.europa.eu/eli/dir/1992/43/oj</w:t>
        </w:r>
      </w:hyperlink>
      <w:r w:rsidRPr="004D5A41">
        <w:rPr>
          <w:bCs/>
          <w:iCs/>
          <w:sz w:val="24"/>
          <w:szCs w:val="24"/>
          <w:lang w:val="sk-SK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D7F85" w14:paraId="7A323A1C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D7F85" w14:paraId="4A0DA85D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D7F85" w14:paraId="1D4C3015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33048730">
    <w:abstractNumId w:val="9"/>
  </w:num>
  <w:num w:numId="2" w16cid:durableId="970402212">
    <w:abstractNumId w:val="9"/>
  </w:num>
  <w:num w:numId="3" w16cid:durableId="829445142">
    <w:abstractNumId w:val="7"/>
  </w:num>
  <w:num w:numId="4" w16cid:durableId="694117717">
    <w:abstractNumId w:val="7"/>
  </w:num>
  <w:num w:numId="5" w16cid:durableId="965088017">
    <w:abstractNumId w:val="6"/>
  </w:num>
  <w:num w:numId="6" w16cid:durableId="771702916">
    <w:abstractNumId w:val="6"/>
  </w:num>
  <w:num w:numId="7" w16cid:durableId="745418922">
    <w:abstractNumId w:val="5"/>
  </w:num>
  <w:num w:numId="8" w16cid:durableId="141316476">
    <w:abstractNumId w:val="5"/>
  </w:num>
  <w:num w:numId="9" w16cid:durableId="1356686528">
    <w:abstractNumId w:val="4"/>
  </w:num>
  <w:num w:numId="10" w16cid:durableId="1636136520">
    <w:abstractNumId w:val="4"/>
  </w:num>
  <w:num w:numId="11" w16cid:durableId="112600721">
    <w:abstractNumId w:val="8"/>
  </w:num>
  <w:num w:numId="12" w16cid:durableId="434441232">
    <w:abstractNumId w:val="8"/>
  </w:num>
  <w:num w:numId="13" w16cid:durableId="1750080611">
    <w:abstractNumId w:val="3"/>
  </w:num>
  <w:num w:numId="14" w16cid:durableId="391776381">
    <w:abstractNumId w:val="3"/>
  </w:num>
  <w:num w:numId="15" w16cid:durableId="1638685607">
    <w:abstractNumId w:val="2"/>
  </w:num>
  <w:num w:numId="16" w16cid:durableId="962997426">
    <w:abstractNumId w:val="2"/>
  </w:num>
  <w:num w:numId="17" w16cid:durableId="1051657117">
    <w:abstractNumId w:val="1"/>
  </w:num>
  <w:num w:numId="18" w16cid:durableId="1858500677">
    <w:abstractNumId w:val="1"/>
  </w:num>
  <w:num w:numId="19" w16cid:durableId="1139765232">
    <w:abstractNumId w:val="0"/>
  </w:num>
  <w:num w:numId="20" w16cid:durableId="173040504">
    <w:abstractNumId w:val="0"/>
  </w:num>
  <w:num w:numId="21" w16cid:durableId="2045521809">
    <w:abstractNumId w:val="9"/>
  </w:num>
  <w:num w:numId="22" w16cid:durableId="951865623">
    <w:abstractNumId w:val="7"/>
  </w:num>
  <w:num w:numId="23" w16cid:durableId="714962703">
    <w:abstractNumId w:val="6"/>
  </w:num>
  <w:num w:numId="24" w16cid:durableId="533805994">
    <w:abstractNumId w:val="5"/>
  </w:num>
  <w:num w:numId="25" w16cid:durableId="1917588870">
    <w:abstractNumId w:val="4"/>
  </w:num>
  <w:num w:numId="26" w16cid:durableId="111673947">
    <w:abstractNumId w:val="8"/>
  </w:num>
  <w:num w:numId="27" w16cid:durableId="579872287">
    <w:abstractNumId w:val="3"/>
  </w:num>
  <w:num w:numId="28" w16cid:durableId="794908121">
    <w:abstractNumId w:val="2"/>
  </w:num>
  <w:num w:numId="29" w16cid:durableId="1695154314">
    <w:abstractNumId w:val="1"/>
  </w:num>
  <w:num w:numId="30" w16cid:durableId="1914196661">
    <w:abstractNumId w:val="0"/>
  </w:num>
  <w:num w:numId="31" w16cid:durableId="542403160">
    <w:abstractNumId w:val="9"/>
  </w:num>
  <w:num w:numId="32" w16cid:durableId="1460876474">
    <w:abstractNumId w:val="7"/>
  </w:num>
  <w:num w:numId="33" w16cid:durableId="2105874653">
    <w:abstractNumId w:val="6"/>
  </w:num>
  <w:num w:numId="34" w16cid:durableId="1944680968">
    <w:abstractNumId w:val="5"/>
  </w:num>
  <w:num w:numId="35" w16cid:durableId="1652325663">
    <w:abstractNumId w:val="4"/>
  </w:num>
  <w:num w:numId="36" w16cid:durableId="105316449">
    <w:abstractNumId w:val="8"/>
  </w:num>
  <w:num w:numId="37" w16cid:durableId="1841235568">
    <w:abstractNumId w:val="3"/>
  </w:num>
  <w:num w:numId="38" w16cid:durableId="1602911803">
    <w:abstractNumId w:val="2"/>
  </w:num>
  <w:num w:numId="39" w16cid:durableId="179127332">
    <w:abstractNumId w:val="1"/>
  </w:num>
  <w:num w:numId="40" w16cid:durableId="1193611070">
    <w:abstractNumId w:val="0"/>
  </w:num>
  <w:num w:numId="41" w16cid:durableId="1985037194">
    <w:abstractNumId w:val="10"/>
  </w:num>
  <w:num w:numId="42" w16cid:durableId="992365998">
    <w:abstractNumId w:val="10"/>
  </w:num>
  <w:num w:numId="43" w16cid:durableId="778722167">
    <w:abstractNumId w:val="10"/>
  </w:num>
  <w:num w:numId="44" w16cid:durableId="1159478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367"/>
    <w:rsid w:val="00002272"/>
    <w:rsid w:val="00064002"/>
    <w:rsid w:val="000677B9"/>
    <w:rsid w:val="000831BA"/>
    <w:rsid w:val="000A42CC"/>
    <w:rsid w:val="000A7EE3"/>
    <w:rsid w:val="000E7DD9"/>
    <w:rsid w:val="0010095E"/>
    <w:rsid w:val="00125B37"/>
    <w:rsid w:val="00187494"/>
    <w:rsid w:val="001F32AE"/>
    <w:rsid w:val="0025508B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5A41"/>
    <w:rsid w:val="0050519A"/>
    <w:rsid w:val="005072A1"/>
    <w:rsid w:val="00514517"/>
    <w:rsid w:val="00531763"/>
    <w:rsid w:val="00545827"/>
    <w:rsid w:val="00560270"/>
    <w:rsid w:val="005C2568"/>
    <w:rsid w:val="005D697A"/>
    <w:rsid w:val="005D7F85"/>
    <w:rsid w:val="005E7E3A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00AD"/>
    <w:rsid w:val="00793367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446D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21FA"/>
    <w:rsid w:val="00D834A0"/>
    <w:rsid w:val="00D872DF"/>
    <w:rsid w:val="00D91E21"/>
    <w:rsid w:val="00DA7FCD"/>
    <w:rsid w:val="00E365E1"/>
    <w:rsid w:val="00E709D0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1EF7"/>
    <w:rsid w:val="00F74202"/>
    <w:rsid w:val="00F87713"/>
    <w:rsid w:val="00FB4360"/>
    <w:rsid w:val="00FD0C70"/>
  </w:rsids>
  <w:docVars>
    <w:docVar w:name="dvdocse" w:val="A10-0141/2026"/>
    <w:docVar w:name="dvlangue" w:val="SK"/>
    <w:docVar w:name="dvnumam" w:val="0"/>
    <w:docVar w:name="dvpe" w:val="784.259"/>
    <w:docVar w:name="dvrapporteur" w:val="Spravodajca: "/>
    <w:docVar w:name="dvtitre" w:val="Uznesenie Európskeho parlamentu z/zo xx. xxx 2026 o správe Komisie o Albánsku za rok 2025(2025/2250(INI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DCDE54E"/>
  <w15:chartTrackingRefBased/>
  <w15:docId w15:val="{E5AB502F-2702-426B-AA5E-760AAD983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E709D0"/>
    <w:pPr>
      <w:spacing w:after="240"/>
      <w:ind w:left="567" w:hanging="567"/>
    </w:pPr>
  </w:style>
  <w:style w:type="paragraph" w:customStyle="1" w:styleId="EPComma">
    <w:name w:val="EPComma"/>
    <w:basedOn w:val="Normal"/>
    <w:rsid w:val="00E709D0"/>
    <w:pPr>
      <w:spacing w:before="480" w:after="240"/>
    </w:pPr>
  </w:style>
  <w:style w:type="character" w:styleId="Hyperlink">
    <w:name w:val="Hyperlink"/>
    <w:basedOn w:val="DefaultParagraphFont"/>
    <w:unhideWhenUsed/>
    <w:rsid w:val="00E709D0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E709D0"/>
    <w:rPr>
      <w:sz w:val="24"/>
      <w:lang w:val="sk-SK"/>
    </w:rPr>
  </w:style>
  <w:style w:type="paragraph" w:styleId="Revision">
    <w:name w:val="Revision"/>
    <w:hidden/>
    <w:uiPriority w:val="99"/>
    <w:semiHidden/>
    <w:rsid w:val="005D697A"/>
    <w:rPr>
      <w:sz w:val="24"/>
      <w:lang w:val="sk-SK"/>
    </w:rPr>
  </w:style>
  <w:style w:type="character" w:styleId="UnresolvedMention">
    <w:name w:val="Unresolved Mention"/>
    <w:basedOn w:val="DefaultParagraphFont"/>
    <w:uiPriority w:val="99"/>
    <w:semiHidden/>
    <w:unhideWhenUsed/>
    <w:rsid w:val="00A144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agree_internation/2009/332/oj" TargetMode="External" /><Relationship Id="rId2" Type="http://schemas.openxmlformats.org/officeDocument/2006/relationships/hyperlink" Target="http://data.europa.eu/eli/reg/2021/1529/oj" TargetMode="External" /><Relationship Id="rId3" Type="http://schemas.openxmlformats.org/officeDocument/2006/relationships/hyperlink" Target="http://data.europa.eu/eli/reg/2024/1449/oj" TargetMode="External" /><Relationship Id="rId4" Type="http://schemas.openxmlformats.org/officeDocument/2006/relationships/hyperlink" Target="http://data.europa.eu/eli/dir/2022/2555/oj" TargetMode="External" /><Relationship Id="rId5" Type="http://schemas.openxmlformats.org/officeDocument/2006/relationships/hyperlink" Target="http://data.europa.eu/eli/dir/2009/147/oj" TargetMode="External" /><Relationship Id="rId6" Type="http://schemas.openxmlformats.org/officeDocument/2006/relationships/hyperlink" Target="http://data.europa.eu/eli/dir/1992/43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4747</Words>
  <Characters>30561</Characters>
  <Application>Microsoft Office Word</Application>
  <DocSecurity>0</DocSecurity>
  <Lines>254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35238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2026-06-17T14:15:00Z</dcterms:created>
  <dcterms:modified xsi:type="dcterms:W3CDTF">2026-06-17T14:15:00Z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A10-0141/2026</vt:lpwstr>
  </property>
  <property fmtid="{D5CDD505-2E9C-101B-9397-08002B2CF9AE}" pid="4" name="&lt;Type&gt;">
    <vt:lpwstr>RR</vt:lpwstr>
  </property>
</Properties>
</file>