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F5460A" w14:textId="77777777" w:rsidTr="0010095E">
        <w:tblPrEx>
          <w:tblW w:w="9072" w:type="dxa"/>
          <w:tblLook w:val="01E0"/>
        </w:tblPrEx>
        <w:trPr>
          <w:trHeight w:hRule="exact" w:val="1418"/>
        </w:trPr>
        <w:tc>
          <w:tcPr>
            <w:tcW w:w="6804" w:type="dxa"/>
            <w:shd w:val="clear" w:color="auto" w:fill="auto"/>
            <w:vAlign w:val="center"/>
          </w:tcPr>
          <w:p w:rsidR="00751A4A" w:rsidRPr="0027717B" w:rsidP="0010095E" w14:paraId="49A27A27" w14:textId="77777777">
            <w:pPr>
              <w:pStyle w:val="EPName"/>
            </w:pPr>
            <w:r w:rsidRPr="0027717B">
              <w:t>Europaparlamentet</w:t>
            </w:r>
          </w:p>
          <w:p w:rsidR="00751A4A" w:rsidRPr="0027717B" w:rsidP="005F1B17" w14:paraId="793505A7" w14:textId="77777777">
            <w:pPr>
              <w:pStyle w:val="EPTerm"/>
              <w:rPr>
                <w:rStyle w:val="HideTWBExt"/>
                <w:noProof w:val="0"/>
                <w:vanish w:val="0"/>
                <w:color w:val="auto"/>
              </w:rPr>
            </w:pPr>
            <w:r w:rsidRPr="0027717B">
              <w:t>2024</w:t>
            </w:r>
            <w:r w:rsidRPr="0027717B" w:rsidR="00817416">
              <w:t>-202</w:t>
            </w:r>
            <w:r w:rsidRPr="0027717B">
              <w:t>9</w:t>
            </w:r>
          </w:p>
        </w:tc>
        <w:tc>
          <w:tcPr>
            <w:tcW w:w="2268" w:type="dxa"/>
            <w:shd w:val="clear" w:color="auto" w:fill="auto"/>
          </w:tcPr>
          <w:p w:rsidR="00751A4A" w:rsidRPr="0027717B" w:rsidP="0010095E" w14:paraId="0226CF8F" w14:textId="77777777">
            <w:pPr>
              <w:pStyle w:val="EPLogo"/>
            </w:pPr>
            <w:r w:rsidRPr="0027717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7717B" w:rsidP="004C5D52" w14:paraId="4D8CC41A" w14:textId="77777777">
      <w:pPr>
        <w:pStyle w:val="LineTop"/>
      </w:pPr>
    </w:p>
    <w:p w:rsidR="00680577" w:rsidRPr="0027717B" w:rsidP="00680577" w14:paraId="2C4BFB74" w14:textId="77777777">
      <w:pPr>
        <w:pStyle w:val="EPBodyTA1"/>
      </w:pPr>
      <w:r w:rsidRPr="0027717B">
        <w:t>ANTAGNA TEXTER</w:t>
      </w:r>
    </w:p>
    <w:p w:rsidR="00D058B8" w:rsidRPr="0027717B" w:rsidP="00D058B8" w14:paraId="79FA5B17" w14:textId="77777777">
      <w:pPr>
        <w:pStyle w:val="LineBottom"/>
      </w:pPr>
    </w:p>
    <w:p w:rsidR="00FD2348" w:rsidRPr="0027717B" w:rsidP="00FD2348" w14:paraId="14858C47" w14:textId="5C6B98A4">
      <w:pPr>
        <w:pStyle w:val="ATHeading1"/>
      </w:pPr>
      <w:bookmarkStart w:id="0" w:name="TANumber"/>
      <w:r w:rsidRPr="0027717B">
        <w:t>P10_TA(2026)0</w:t>
      </w:r>
      <w:bookmarkEnd w:id="0"/>
      <w:r w:rsidRPr="0027717B" w:rsidR="00021217">
        <w:t>217</w:t>
      </w:r>
    </w:p>
    <w:p w:rsidR="00FD2348" w:rsidRPr="0027717B" w:rsidP="00FD2348" w14:paraId="62632A47" w14:textId="77777777">
      <w:pPr>
        <w:pStyle w:val="ATHeading2"/>
      </w:pPr>
      <w:bookmarkStart w:id="1" w:name="title"/>
      <w:r w:rsidRPr="0027717B">
        <w:t>Kommissionens rapport för 2025 om Albanien</w:t>
      </w:r>
      <w:bookmarkEnd w:id="1"/>
    </w:p>
    <w:p w:rsidR="00FD2348" w:rsidRPr="0027717B" w:rsidP="00FD2348" w14:paraId="1159BF43" w14:textId="77777777">
      <w:pPr>
        <w:rPr>
          <w:i/>
          <w:vanish/>
        </w:rPr>
      </w:pPr>
      <w:r>
        <w:rPr>
          <w:i/>
        </w:rPr>
        <w:fldChar w:fldCharType="begin"/>
      </w:r>
      <w:r w:rsidRPr="0027717B">
        <w:rPr>
          <w:i/>
        </w:rPr>
        <w:instrText xml:space="preserve"> TC"(</w:instrText>
      </w:r>
      <w:bookmarkStart w:id="2" w:name="DocNumber"/>
      <w:r w:rsidRPr="0027717B">
        <w:rPr>
          <w:i/>
        </w:rPr>
        <w:instrText>A10-0141/2026</w:instrText>
      </w:r>
      <w:bookmarkEnd w:id="2"/>
      <w:r w:rsidRPr="0027717B">
        <w:rPr>
          <w:i/>
        </w:rPr>
        <w:instrText xml:space="preserve"> - Föredragande: Andreas </w:instrText>
      </w:r>
      <w:r w:rsidRPr="0027717B">
        <w:rPr>
          <w:i/>
        </w:rPr>
        <w:instrText>Schieder</w:instrText>
      </w:r>
      <w:r w:rsidRPr="0027717B">
        <w:rPr>
          <w:i/>
        </w:rPr>
        <w:instrText xml:space="preserve">)"\l3 \n&gt; \* MERGEFORMAT </w:instrText>
      </w:r>
      <w:r>
        <w:rPr>
          <w:i/>
        </w:rPr>
        <w:fldChar w:fldCharType="end"/>
      </w:r>
    </w:p>
    <w:p w:rsidR="00FD2348" w:rsidRPr="0027717B" w:rsidP="00FD2348" w14:paraId="3B0B1C2C" w14:textId="77777777">
      <w:pPr>
        <w:rPr>
          <w:vanish/>
        </w:rPr>
      </w:pPr>
      <w:bookmarkStart w:id="3" w:name="Commission"/>
      <w:r w:rsidRPr="0027717B">
        <w:rPr>
          <w:vanish/>
        </w:rPr>
        <w:t>Utskottet för utrikesfrågor</w:t>
      </w:r>
      <w:bookmarkEnd w:id="3"/>
    </w:p>
    <w:p w:rsidR="00FD2348" w:rsidRPr="0027717B" w:rsidP="00FD2348" w14:paraId="34448B9E" w14:textId="77777777">
      <w:pPr>
        <w:rPr>
          <w:vanish/>
        </w:rPr>
      </w:pPr>
      <w:bookmarkStart w:id="4" w:name="PE"/>
      <w:r w:rsidRPr="0027717B">
        <w:rPr>
          <w:vanish/>
        </w:rPr>
        <w:t>PE784.259</w:t>
      </w:r>
      <w:bookmarkEnd w:id="4"/>
    </w:p>
    <w:p w:rsidR="00FD2348" w:rsidRPr="0027717B" w:rsidP="00FD2348" w14:paraId="44ACF8C0" w14:textId="1AD7AAFD">
      <w:pPr>
        <w:pStyle w:val="ATHeading3"/>
      </w:pPr>
      <w:bookmarkStart w:id="5" w:name="Sujet"/>
      <w:r w:rsidRPr="0027717B">
        <w:t xml:space="preserve">Europaparlamentets resolution av den </w:t>
      </w:r>
      <w:r w:rsidRPr="0027717B" w:rsidR="00213A55">
        <w:t>17 juni</w:t>
      </w:r>
      <w:r w:rsidRPr="0027717B">
        <w:t xml:space="preserve"> 2026 om kommissionens rapport för 2025 om Albanien</w:t>
      </w:r>
      <w:bookmarkEnd w:id="5"/>
      <w:r w:rsidRPr="0027717B">
        <w:t xml:space="preserve"> </w:t>
      </w:r>
      <w:bookmarkStart w:id="6" w:name="References"/>
      <w:r w:rsidRPr="0027717B">
        <w:t>(2025/2250(INI))</w:t>
      </w:r>
      <w:bookmarkEnd w:id="6"/>
    </w:p>
    <w:p w:rsidR="005333B6" w:rsidRPr="0027717B" w:rsidP="005333B6" w14:paraId="511389DB" w14:textId="77777777">
      <w:pPr>
        <w:pStyle w:val="EPComma"/>
      </w:pPr>
      <w:r w:rsidRPr="0027717B">
        <w:rPr>
          <w:i/>
        </w:rPr>
        <w:t>Europaparlamentet utfärdar denna resolution</w:t>
      </w:r>
    </w:p>
    <w:p w:rsidR="005333B6" w:rsidRPr="0027717B" w:rsidP="005333B6" w14:paraId="759C7E68" w14:textId="77777777">
      <w:pPr>
        <w:pStyle w:val="NormalHanging12a"/>
      </w:pPr>
      <w:r w:rsidRPr="0027717B">
        <w:t>–</w:t>
      </w:r>
      <w:r w:rsidRPr="0027717B">
        <w:tab/>
        <w:t>med beaktande av stabiliserings- och associeringsavtalet mellan Europeiska gemenskaperna och deras medlemsstater, å ena sidan, och Republiken Albanien, å andra sidan</w:t>
      </w:r>
      <w:r>
        <w:rPr>
          <w:vertAlign w:val="superscript"/>
        </w:rPr>
        <w:footnoteReference w:id="2"/>
      </w:r>
      <w:r w:rsidRPr="0027717B">
        <w:t>,</w:t>
      </w:r>
    </w:p>
    <w:p w:rsidR="005333B6" w:rsidRPr="0027717B" w:rsidP="005333B6" w14:paraId="0FAA528C" w14:textId="77777777">
      <w:pPr>
        <w:pStyle w:val="NormalHanging12a"/>
      </w:pPr>
      <w:r w:rsidRPr="0027717B">
        <w:t>–</w:t>
      </w:r>
      <w:r w:rsidRPr="0027717B">
        <w:tab/>
        <w:t>med beaktande av Albaniens ansökan om EU-medlemskap, som lämnades in den 24 april 2009,</w:t>
      </w:r>
    </w:p>
    <w:p w:rsidR="005333B6" w:rsidRPr="0027717B" w:rsidP="005333B6" w14:paraId="142D7497" w14:textId="77777777">
      <w:pPr>
        <w:pStyle w:val="NormalHanging12a"/>
      </w:pPr>
      <w:r w:rsidRPr="0027717B">
        <w:t>–</w:t>
      </w:r>
      <w:r w:rsidRPr="0027717B">
        <w:tab/>
        <w:t>med beaktande av Europaparlamentets och rådets förordning (EU) 2021/1529 av den 15 september 2021 om inrättande av instrumentet för stöd inför anslutningen (IPA III)</w:t>
      </w:r>
      <w:r>
        <w:rPr>
          <w:vertAlign w:val="superscript"/>
        </w:rPr>
        <w:footnoteReference w:id="3"/>
      </w:r>
      <w:r w:rsidRPr="0027717B">
        <w:t>,</w:t>
      </w:r>
    </w:p>
    <w:p w:rsidR="005333B6" w:rsidRPr="0027717B" w:rsidP="005333B6" w14:paraId="2EDE9362" w14:textId="77777777">
      <w:pPr>
        <w:pStyle w:val="NormalHanging12a"/>
      </w:pPr>
      <w:r w:rsidRPr="0027717B">
        <w:t>–</w:t>
      </w:r>
      <w:r w:rsidRPr="0027717B">
        <w:tab/>
        <w:t>med beaktande av Europaparlamentets och rådets förordning (EU) 2024/1449 av den 14 maj 2024 om inrättande av faciliteten för reformer och tillväxt för västra Balkan</w:t>
      </w:r>
      <w:r>
        <w:rPr>
          <w:vertAlign w:val="superscript"/>
        </w:rPr>
        <w:footnoteReference w:id="4"/>
      </w:r>
      <w:r w:rsidRPr="0027717B">
        <w:t>,</w:t>
      </w:r>
    </w:p>
    <w:p w:rsidR="005333B6" w:rsidRPr="0027717B" w:rsidP="005333B6" w14:paraId="2BC8D7DE" w14:textId="77777777">
      <w:pPr>
        <w:pStyle w:val="NormalHanging12a"/>
      </w:pPr>
      <w:r w:rsidRPr="0027717B">
        <w:t>–</w:t>
      </w:r>
      <w:r w:rsidRPr="0027717B">
        <w:tab/>
        <w:t xml:space="preserve">med beaktande av kommissionens meddelande av den 5 februari 2020 </w:t>
      </w:r>
      <w:r w:rsidRPr="0027717B">
        <w:rPr>
          <w:i/>
          <w:iCs/>
        </w:rPr>
        <w:t>Förbättra anslutningsprocessen – Ett trovärdigt EU-perspektiv för västra Balkan</w:t>
      </w:r>
      <w:r w:rsidRPr="0027717B">
        <w:t xml:space="preserve"> (COM(2020)0057),</w:t>
      </w:r>
    </w:p>
    <w:p w:rsidR="005333B6" w:rsidRPr="0027717B" w:rsidP="005333B6" w14:paraId="530E1B24" w14:textId="77777777">
      <w:pPr>
        <w:pStyle w:val="NormalHanging12a"/>
        <w:rPr>
          <w:bCs/>
          <w:iCs/>
          <w:szCs w:val="24"/>
        </w:rPr>
      </w:pPr>
      <w:r w:rsidRPr="0027717B">
        <w:t>–</w:t>
      </w:r>
      <w:r w:rsidRPr="0027717B">
        <w:tab/>
        <w:t xml:space="preserve">med beaktande av EU:s </w:t>
      </w:r>
      <w:r w:rsidRPr="0027717B">
        <w:t>förhandlingsram</w:t>
      </w:r>
      <w:r w:rsidRPr="0027717B">
        <w:t xml:space="preserve"> med Albanien, som godkändes av rådet i juli 2022 och som fastställer riktlinjerna och principerna för förhandlingarna om Albaniens anslutning till EU,</w:t>
      </w:r>
    </w:p>
    <w:p w:rsidR="005333B6" w:rsidRPr="0027717B" w:rsidP="005333B6" w14:paraId="5F341675" w14:textId="77777777">
      <w:pPr>
        <w:pStyle w:val="NormalHanging12a"/>
      </w:pPr>
      <w:r w:rsidRPr="0027717B">
        <w:t>–</w:t>
      </w:r>
      <w:r w:rsidRPr="0027717B">
        <w:tab/>
        <w:t xml:space="preserve">med beaktande av kommissionens meddelande av den 8 november 2023 </w:t>
      </w:r>
      <w:r w:rsidRPr="0027717B">
        <w:rPr>
          <w:i/>
          <w:iCs/>
        </w:rPr>
        <w:t xml:space="preserve">Ny tillväxtplan </w:t>
      </w:r>
      <w:r w:rsidRPr="0027717B">
        <w:rPr>
          <w:i/>
          <w:iCs/>
        </w:rPr>
        <w:t>för västra Balkan</w:t>
      </w:r>
      <w:r w:rsidRPr="0027717B">
        <w:t xml:space="preserve"> (COM(2023)0691),</w:t>
      </w:r>
    </w:p>
    <w:p w:rsidR="005333B6" w:rsidRPr="0027717B" w:rsidP="005333B6" w14:paraId="6C4E734C" w14:textId="77777777">
      <w:pPr>
        <w:pStyle w:val="NormalHanging12a"/>
      </w:pPr>
      <w:r w:rsidRPr="0027717B">
        <w:t>–</w:t>
      </w:r>
      <w:r w:rsidRPr="0027717B">
        <w:tab/>
        <w:t>med beaktande av Albaniens reformagenda, som lagts fram inom ramen för EU:s facilitet för reformer och tillväxt för västra Balkan, som godkändes av kommissionen den 23 oktober 2024,</w:t>
      </w:r>
    </w:p>
    <w:p w:rsidR="005333B6" w:rsidRPr="0027717B" w:rsidP="005333B6" w14:paraId="18AA20ED" w14:textId="77777777">
      <w:pPr>
        <w:pStyle w:val="NormalHanging12a"/>
      </w:pPr>
      <w:r w:rsidRPr="0027717B">
        <w:t>–</w:t>
      </w:r>
      <w:r w:rsidRPr="0027717B">
        <w:tab/>
        <w:t xml:space="preserve">med beaktande av kommissionens meddelande av den 8 juli 2025 </w:t>
      </w:r>
      <w:r w:rsidRPr="0027717B">
        <w:rPr>
          <w:i/>
          <w:iCs/>
        </w:rPr>
        <w:t>2025 års rapport om rättsstatsprincipen</w:t>
      </w:r>
      <w:r w:rsidRPr="0027717B">
        <w:t xml:space="preserve"> (COM(2025)0900) och det åtföljande arbetsdokumentet från kommissionens avdelningar</w:t>
      </w:r>
      <w:r w:rsidRPr="0027717B">
        <w:rPr>
          <w:i/>
          <w:iCs/>
        </w:rPr>
        <w:t xml:space="preserve"> 2025 </w:t>
      </w:r>
      <w:r w:rsidRPr="0027717B">
        <w:rPr>
          <w:i/>
          <w:iCs/>
        </w:rPr>
        <w:t>Rule</w:t>
      </w:r>
      <w:r w:rsidRPr="0027717B">
        <w:rPr>
          <w:i/>
          <w:iCs/>
        </w:rPr>
        <w:t xml:space="preserve"> </w:t>
      </w:r>
      <w:r w:rsidRPr="0027717B">
        <w:rPr>
          <w:i/>
          <w:iCs/>
        </w:rPr>
        <w:t>of</w:t>
      </w:r>
      <w:r w:rsidRPr="0027717B">
        <w:rPr>
          <w:i/>
          <w:iCs/>
        </w:rPr>
        <w:t xml:space="preserve"> </w:t>
      </w:r>
      <w:r w:rsidRPr="0027717B">
        <w:rPr>
          <w:i/>
          <w:iCs/>
        </w:rPr>
        <w:t>Law</w:t>
      </w:r>
      <w:r w:rsidRPr="0027717B">
        <w:rPr>
          <w:i/>
          <w:iCs/>
        </w:rPr>
        <w:t xml:space="preserve"> </w:t>
      </w:r>
      <w:r w:rsidRPr="0027717B">
        <w:rPr>
          <w:i/>
          <w:iCs/>
        </w:rPr>
        <w:t>Report</w:t>
      </w:r>
      <w:r w:rsidRPr="0027717B">
        <w:rPr>
          <w:i/>
          <w:iCs/>
        </w:rPr>
        <w:t xml:space="preserve"> – Country </w:t>
      </w:r>
      <w:r w:rsidRPr="0027717B">
        <w:rPr>
          <w:i/>
          <w:iCs/>
        </w:rPr>
        <w:t>Chapter</w:t>
      </w:r>
      <w:r w:rsidRPr="0027717B">
        <w:rPr>
          <w:i/>
          <w:iCs/>
        </w:rPr>
        <w:t xml:space="preserve"> on the </w:t>
      </w:r>
      <w:r w:rsidRPr="0027717B">
        <w:rPr>
          <w:i/>
          <w:iCs/>
        </w:rPr>
        <w:t>rule</w:t>
      </w:r>
      <w:r w:rsidRPr="0027717B">
        <w:rPr>
          <w:i/>
          <w:iCs/>
        </w:rPr>
        <w:t xml:space="preserve"> </w:t>
      </w:r>
      <w:r w:rsidRPr="0027717B">
        <w:rPr>
          <w:i/>
          <w:iCs/>
        </w:rPr>
        <w:t>of</w:t>
      </w:r>
      <w:r w:rsidRPr="0027717B">
        <w:rPr>
          <w:i/>
          <w:iCs/>
        </w:rPr>
        <w:t xml:space="preserve"> </w:t>
      </w:r>
      <w:r w:rsidRPr="0027717B">
        <w:rPr>
          <w:i/>
          <w:iCs/>
        </w:rPr>
        <w:t>law</w:t>
      </w:r>
      <w:r w:rsidRPr="0027717B">
        <w:rPr>
          <w:i/>
          <w:iCs/>
        </w:rPr>
        <w:t xml:space="preserve"> situation in </w:t>
      </w:r>
      <w:r w:rsidRPr="0027717B">
        <w:rPr>
          <w:i/>
          <w:iCs/>
        </w:rPr>
        <w:t>Albania</w:t>
      </w:r>
      <w:r w:rsidRPr="0027717B">
        <w:t xml:space="preserve"> (SWD(2025)0928),</w:t>
      </w:r>
    </w:p>
    <w:p w:rsidR="005333B6" w:rsidRPr="0027717B" w:rsidP="005333B6" w14:paraId="51BDD061" w14:textId="77777777">
      <w:pPr>
        <w:pStyle w:val="NormalHanging12a"/>
        <w:keepNext/>
        <w:keepLines/>
        <w:widowControl/>
      </w:pPr>
      <w:r w:rsidRPr="0027717B">
        <w:t>–</w:t>
      </w:r>
      <w:r w:rsidRPr="0027717B">
        <w:tab/>
        <w:t xml:space="preserve">med beaktande av kommissionens meddelande av den 4 november 2025 </w:t>
      </w:r>
      <w:r w:rsidRPr="0027717B">
        <w:rPr>
          <w:i/>
          <w:iCs/>
        </w:rPr>
        <w:t>2025 års meddelande om EU:s utvidgningspolitik</w:t>
      </w:r>
      <w:r w:rsidRPr="0027717B">
        <w:t xml:space="preserve"> (COM(2025)0690) och det åtföljande arbetsdokumentet från kommissionens avdelningar </w:t>
      </w:r>
      <w:r w:rsidRPr="0027717B">
        <w:rPr>
          <w:i/>
          <w:iCs/>
        </w:rPr>
        <w:t>Albania</w:t>
      </w:r>
      <w:r w:rsidRPr="0027717B">
        <w:rPr>
          <w:i/>
          <w:iCs/>
        </w:rPr>
        <w:t xml:space="preserve"> 2025 </w:t>
      </w:r>
      <w:r w:rsidRPr="0027717B">
        <w:rPr>
          <w:i/>
          <w:iCs/>
        </w:rPr>
        <w:t>Repor</w:t>
      </w:r>
      <w:r w:rsidRPr="0027717B">
        <w:t>t</w:t>
      </w:r>
      <w:r w:rsidRPr="0027717B">
        <w:t xml:space="preserve"> (SWD(2025)0750),</w:t>
      </w:r>
    </w:p>
    <w:p w:rsidR="005333B6" w:rsidRPr="0027717B" w:rsidP="005333B6" w14:paraId="79F0007C" w14:textId="77777777">
      <w:pPr>
        <w:pStyle w:val="NormalHanging12a"/>
      </w:pPr>
      <w:r w:rsidRPr="0027717B">
        <w:t>–</w:t>
      </w:r>
      <w:r w:rsidRPr="0027717B">
        <w:tab/>
        <w:t>med beaktande av slutrapporten av den 23 oktober 2025 från valobservatörsuppdraget från kontoret för demokratiska institutioner och mänskliga rättigheter (ODIHR) vid Organisationen för säkerhet och samarbete i Europa om parlamentsvalet i Albanien den 11 maj 2025,</w:t>
      </w:r>
    </w:p>
    <w:p w:rsidR="005333B6" w:rsidRPr="0027717B" w:rsidP="005333B6" w14:paraId="074FA0CB" w14:textId="77777777">
      <w:pPr>
        <w:pStyle w:val="NormalHanging12a"/>
      </w:pPr>
      <w:r w:rsidRPr="0027717B">
        <w:t>–</w:t>
      </w:r>
      <w:r w:rsidRPr="0027717B">
        <w:tab/>
        <w:t>med beaktande av förklaringen från toppmötet mellan EU och västra Balkan den 17 december 2025 i Bryssel,</w:t>
      </w:r>
    </w:p>
    <w:p w:rsidR="005333B6" w:rsidRPr="0027717B" w:rsidP="005333B6" w14:paraId="14D83615" w14:textId="77777777">
      <w:pPr>
        <w:pStyle w:val="NormalHanging12a"/>
        <w:rPr>
          <w:bCs/>
          <w:iCs/>
          <w:szCs w:val="24"/>
        </w:rPr>
      </w:pPr>
      <w:r w:rsidRPr="0027717B">
        <w:t>–</w:t>
      </w:r>
      <w:r w:rsidRPr="0027717B">
        <w:tab/>
        <w:t xml:space="preserve">med beaktande av de toppmöten mellan EU och länderna på västra Balkan som hölls i Sofia, Zagreb och </w:t>
      </w:r>
      <w:r w:rsidRPr="0027717B">
        <w:t>Brdo</w:t>
      </w:r>
      <w:r w:rsidRPr="0027717B">
        <w:t xml:space="preserve"> </w:t>
      </w:r>
      <w:r w:rsidRPr="0027717B">
        <w:t>pri</w:t>
      </w:r>
      <w:r w:rsidRPr="0027717B">
        <w:t xml:space="preserve"> </w:t>
      </w:r>
      <w:r w:rsidRPr="0027717B">
        <w:t>Kranju</w:t>
      </w:r>
      <w:r w:rsidRPr="0027717B">
        <w:t xml:space="preserve"> 2018, 2020 respektive 2021 och de förklaringar som antogs efter toppmötena,</w:t>
      </w:r>
    </w:p>
    <w:p w:rsidR="005333B6" w:rsidRPr="0027717B" w:rsidP="005333B6" w14:paraId="459F8F28" w14:textId="77777777">
      <w:pPr>
        <w:pStyle w:val="NormalHanging12a"/>
      </w:pPr>
      <w:r w:rsidRPr="0027717B">
        <w:t>–</w:t>
      </w:r>
      <w:r w:rsidRPr="0027717B">
        <w:tab/>
        <w:t>med beaktande av sina tidigare resolutioner om Albanien,</w:t>
      </w:r>
    </w:p>
    <w:p w:rsidR="005333B6" w:rsidRPr="0027717B" w:rsidP="005333B6" w14:paraId="1543CEF8" w14:textId="77777777">
      <w:pPr>
        <w:pStyle w:val="NormalHanging12a"/>
      </w:pPr>
      <w:r w:rsidRPr="0027717B">
        <w:t>–</w:t>
      </w:r>
      <w:r w:rsidRPr="0027717B">
        <w:tab/>
        <w:t>med beaktande av sin resolution av den 11 mars 2026 om EU:s utvidgningsstrategi</w:t>
      </w:r>
      <w:r>
        <w:rPr>
          <w:rStyle w:val="FootnoteReference"/>
        </w:rPr>
        <w:footnoteReference w:id="5"/>
      </w:r>
      <w:r w:rsidRPr="0027717B">
        <w:t>,</w:t>
      </w:r>
    </w:p>
    <w:p w:rsidR="005333B6" w:rsidRPr="0027717B" w:rsidP="005333B6" w14:paraId="6567C6F9" w14:textId="77777777">
      <w:pPr>
        <w:pStyle w:val="NormalHanging12a"/>
      </w:pPr>
      <w:r w:rsidRPr="0027717B">
        <w:t>–</w:t>
      </w:r>
      <w:r w:rsidRPr="0027717B">
        <w:tab/>
        <w:t xml:space="preserve">med beaktande av </w:t>
      </w:r>
      <w:r w:rsidRPr="0027717B">
        <w:t>Transparency</w:t>
      </w:r>
      <w:r w:rsidRPr="0027717B">
        <w:t xml:space="preserve"> Internationals korruptionsindex 2025, publicerat i februari 2026,</w:t>
      </w:r>
    </w:p>
    <w:p w:rsidR="005333B6" w:rsidRPr="0027717B" w:rsidP="005333B6" w14:paraId="59493837" w14:textId="77777777">
      <w:pPr>
        <w:pStyle w:val="NormalHanging12a"/>
      </w:pPr>
      <w:r w:rsidRPr="0027717B">
        <w:t>–</w:t>
      </w:r>
      <w:r w:rsidRPr="0027717B">
        <w:tab/>
        <w:t>med beaktande av 2025 års internationella pressfrihetsindex från Reportrar utan gränser, publicerat i mars 2025,</w:t>
      </w:r>
    </w:p>
    <w:p w:rsidR="005333B6" w:rsidRPr="0027717B" w:rsidP="005333B6" w14:paraId="68FE7630" w14:textId="77777777">
      <w:pPr>
        <w:pStyle w:val="NormalHanging12a"/>
        <w:rPr>
          <w:bCs/>
          <w:iCs/>
          <w:szCs w:val="24"/>
        </w:rPr>
      </w:pPr>
      <w:r w:rsidRPr="0027717B">
        <w:t>–</w:t>
      </w:r>
      <w:r w:rsidRPr="0027717B">
        <w:tab/>
        <w:t xml:space="preserve">med beaktande av den globala jämställdhetsrapporten av den 11 juni 2025 från Världsekonomiskt forum </w:t>
      </w:r>
      <w:r w:rsidRPr="0027717B">
        <w:rPr>
          <w:i/>
          <w:iCs/>
        </w:rPr>
        <w:t xml:space="preserve">Global Gender Gap </w:t>
      </w:r>
      <w:r w:rsidRPr="0027717B">
        <w:rPr>
          <w:i/>
          <w:iCs/>
        </w:rPr>
        <w:t>Report</w:t>
      </w:r>
      <w:r w:rsidRPr="0027717B">
        <w:rPr>
          <w:i/>
          <w:iCs/>
        </w:rPr>
        <w:t xml:space="preserve"> 2025</w:t>
      </w:r>
      <w:r w:rsidRPr="0027717B">
        <w:t>,</w:t>
      </w:r>
    </w:p>
    <w:p w:rsidR="005333B6" w:rsidRPr="0027717B" w:rsidP="005333B6" w14:paraId="0508F1F9" w14:textId="77777777">
      <w:pPr>
        <w:pStyle w:val="NormalHanging12a"/>
      </w:pPr>
      <w:r w:rsidRPr="0027717B">
        <w:t>–</w:t>
      </w:r>
      <w:r w:rsidRPr="0027717B">
        <w:tab/>
        <w:t>med beaktande av artikel 55 i arbetsordningen,</w:t>
      </w:r>
    </w:p>
    <w:p w:rsidR="005333B6" w:rsidRPr="0027717B" w:rsidP="005333B6" w14:paraId="43378B77" w14:textId="77777777">
      <w:pPr>
        <w:pStyle w:val="NormalHanging12a"/>
      </w:pPr>
      <w:r w:rsidRPr="0027717B">
        <w:t>–</w:t>
      </w:r>
      <w:r w:rsidRPr="0027717B">
        <w:tab/>
        <w:t>med beaktande av betänkandet från utskottet för utrikesfrågor (A10-0141/2026), och av följande skäl:</w:t>
      </w:r>
    </w:p>
    <w:p w:rsidR="005333B6" w:rsidRPr="0027717B" w:rsidP="005333B6" w14:paraId="44EE1BF0" w14:textId="77777777">
      <w:pPr>
        <w:pStyle w:val="NormalHanging12a"/>
      </w:pPr>
      <w:r w:rsidRPr="0027717B">
        <w:t>A.</w:t>
      </w:r>
      <w:r w:rsidRPr="0027717B">
        <w:tab/>
        <w:t>En utvidgning av EU är fortfarande en strategisk investering i fred, säkerhet, stabilitet och demokratisk och socioekonomisk utveckling på hela den europeiska kontinenten.</w:t>
      </w:r>
    </w:p>
    <w:p w:rsidR="005333B6" w:rsidRPr="0027717B" w:rsidP="005333B6" w14:paraId="7DB29981" w14:textId="77777777">
      <w:pPr>
        <w:pStyle w:val="NormalHanging12a"/>
      </w:pPr>
      <w:r w:rsidRPr="0027717B">
        <w:t>B.</w:t>
      </w:r>
      <w:r w:rsidRPr="0027717B">
        <w:tab/>
        <w:t xml:space="preserve">Albanien har hållit en tydlig och konsekvent strategisk inriktning mot EU-medlemskap </w:t>
      </w:r>
      <w:r w:rsidRPr="0027717B">
        <w:t>och har uppvisat en fullständig anpassning till EU:s gemensamma utrikes- och säkerhetspolitik, bland annat genom att sluta upp bakom EU:s restriktiva åtgärder mot Ryssland och Belarus och genom att stödja Ukraina i omröstningar om resolutioner i FN:s generalförsamling.</w:t>
      </w:r>
    </w:p>
    <w:p w:rsidR="005333B6" w:rsidRPr="0027717B" w:rsidP="005333B6" w14:paraId="47B7E977" w14:textId="77777777">
      <w:pPr>
        <w:pStyle w:val="NormalHanging12a"/>
      </w:pPr>
      <w:r w:rsidRPr="0027717B">
        <w:t>C.</w:t>
      </w:r>
      <w:r w:rsidRPr="0027717B">
        <w:tab/>
        <w:t>Albanien beviljades status som EU-kandidatland 2014, inledde anslutningsförhandlingar i juli 2022, slutförde framgångsrikt genomgången av regelverket i november 2023 och öppnade alla förhandlingskluster mellan den 15 oktober 2024 och den 17 november 2025.</w:t>
      </w:r>
    </w:p>
    <w:p w:rsidR="005333B6" w:rsidRPr="0027717B" w:rsidP="005333B6" w14:paraId="758460F4" w14:textId="77777777">
      <w:pPr>
        <w:pStyle w:val="NormalHanging12a"/>
      </w:pPr>
      <w:r w:rsidRPr="0027717B">
        <w:t>D.</w:t>
      </w:r>
      <w:r w:rsidRPr="0027717B">
        <w:tab/>
        <w:t>I kommissionens rapport för 2025 om Albanien bekräftas att landet fortsätter att göra framsteg på de flesta anslutningsrelaterade områden, samtidigt som behovet av mer djupgående, konsekventare och oåterkalleliga reformer betonas.</w:t>
      </w:r>
    </w:p>
    <w:p w:rsidR="005333B6" w:rsidRPr="0027717B" w:rsidP="005333B6" w14:paraId="728871F7" w14:textId="77777777">
      <w:pPr>
        <w:pStyle w:val="NormalHanging12a"/>
        <w:rPr>
          <w:bCs/>
          <w:iCs/>
        </w:rPr>
      </w:pPr>
      <w:r w:rsidRPr="0027717B">
        <w:t>E.</w:t>
      </w:r>
      <w:r w:rsidRPr="0027717B">
        <w:tab/>
        <w:t>Trovärdigheten för EU:s utvidgningsprocess är beroende av strikt villkorlighet, meritbaserade framsteg och ett effektivt genomförande av reformer, snarare än enbart ett formellt antagande av lagstiftning. Albaniens EU-anslutning är beroende av varaktiga, djupgående och oåterkalleliga reformer på de områden som omfattas av klustret ”grundläggande principer” i anslutningsförhandlingarna, till att börja med rättsstaten och de demokratiska institutionernas funktionssätt. Kvaliteten på de reformer som ett kandidatland genomför avgör tidsplanen för anslutningen.</w:t>
      </w:r>
    </w:p>
    <w:p w:rsidR="005333B6" w:rsidRPr="0027717B" w:rsidP="005333B6" w14:paraId="7788FE59" w14:textId="77777777">
      <w:pPr>
        <w:pStyle w:val="NormalHanging12a"/>
      </w:pPr>
      <w:r w:rsidRPr="0027717B">
        <w:t>F.</w:t>
      </w:r>
      <w:r w:rsidRPr="0027717B">
        <w:tab/>
        <w:t>Att stärka de demokratiska institutionerna, rättsväsendets oberoende, insatserna mot korruption, mediefriheten och de grundläggande rättigheterna, inklusive minoriteters rättigheter, är fortfarande avgörande för Albaniens väg mot anslutning.</w:t>
      </w:r>
    </w:p>
    <w:p w:rsidR="005333B6" w:rsidRPr="0027717B" w:rsidP="005333B6" w14:paraId="5D9292A4" w14:textId="77777777">
      <w:pPr>
        <w:pStyle w:val="NormalHanging12a"/>
        <w:rPr>
          <w:bCs/>
          <w:iCs/>
        </w:rPr>
      </w:pPr>
      <w:r w:rsidRPr="0027717B">
        <w:t>G.</w:t>
      </w:r>
      <w:r w:rsidRPr="0027717B">
        <w:tab/>
        <w:t>Skyddet av de demokratiska processernas integritet har blivit ett centralt inslag i EU:s utvidgningspolitik. I juli 2025 antog det albanska parlamentet landets första nationella strategi mot utländsk inblandning och desinformation.</w:t>
      </w:r>
    </w:p>
    <w:p w:rsidR="005333B6" w:rsidRPr="0027717B" w:rsidP="005333B6" w14:paraId="5B109696" w14:textId="77777777">
      <w:pPr>
        <w:pStyle w:val="NormalHanging12a"/>
      </w:pPr>
      <w:r w:rsidRPr="0027717B">
        <w:t>H.</w:t>
      </w:r>
      <w:r w:rsidRPr="0027717B">
        <w:tab/>
      </w:r>
      <w:r w:rsidRPr="0027717B">
        <w:t>ODIHR:s</w:t>
      </w:r>
      <w:r w:rsidRPr="0027717B">
        <w:t xml:space="preserve"> rekommendationer av den 23 oktober 2025, som följde på parlamentsvalet i Albanien den 11 maj 2025, och </w:t>
      </w:r>
      <w:r w:rsidRPr="0027717B">
        <w:t>ODIHR:s</w:t>
      </w:r>
      <w:r w:rsidRPr="0027717B">
        <w:t xml:space="preserve"> tidigare rekommendationer för att ytterligare förbättra genomförandet av val i Albanien har ännu inte beaktats fullt ut.</w:t>
      </w:r>
    </w:p>
    <w:p w:rsidR="005333B6" w:rsidRPr="0027717B" w:rsidP="005333B6" w14:paraId="266DDFBF" w14:textId="77777777">
      <w:pPr>
        <w:pStyle w:val="NormalHanging12a"/>
      </w:pPr>
      <w:r w:rsidRPr="0027717B">
        <w:t>1.</w:t>
      </w:r>
      <w:r w:rsidRPr="0027717B">
        <w:tab/>
        <w:t>Europaparlamentet välkomnar Albaniens enastående engagemang för EU-integration, som bygger på samförstånd mellan alla politiska partier och ett överväldigande stöd bland medborgarna, och berömmer Albanien för att ha öppnat alla kluster för anslutningsförhandlingarna inom bara 13 månader. Parlamentet noterar att stödet för EU-medlemskap bland den albanska befolkningen genomgående är högt, vilket avspeglar styrkan i det albanska samhällets EU-ambitioner. Parlamentet uppmuntrar landet att upprätthålla den nuvarande reformtakten och fortsätta sin anpassning till EU:s regelverk, och betonar att Albaniens framsteg på sin väg mot EU bidrar till den europeiska kontinentens stabilitet, säkerhet och motståndskraft.</w:t>
      </w:r>
    </w:p>
    <w:p w:rsidR="009E5823" w:rsidRPr="0027717B" w:rsidP="009E5823" w14:paraId="30957F24" w14:textId="77777777">
      <w:pPr>
        <w:pStyle w:val="NormalHanging12a"/>
      </w:pPr>
      <w:r w:rsidRPr="0027717B">
        <w:t>2.</w:t>
      </w:r>
      <w:r w:rsidRPr="0027717B">
        <w:tab/>
        <w:t>Europaparlamentet noterar Albaniens ambition att avsluta anslutningsförhandlingarna före utgången av 2027 och välkomnar de snabba framsteg som gjorts under de senaste åren i detta avseende. Parlamentet framhåller att de albanska myndigheterna behöver säkerställa ett grundligt genomförande av lagstiftningen.</w:t>
      </w:r>
    </w:p>
    <w:p w:rsidR="005333B6" w:rsidRPr="0027717B" w:rsidP="009E5823" w14:paraId="47FE7D0A" w14:textId="7F71173D">
      <w:pPr>
        <w:pStyle w:val="NormalHanging12a"/>
      </w:pPr>
      <w:r w:rsidRPr="0027717B">
        <w:t>3.</w:t>
      </w:r>
      <w:r w:rsidRPr="0027717B">
        <w:tab/>
        <w:t xml:space="preserve">Europaparlamentet noterar att både kommissionens rapport om Albanien från 2025 och </w:t>
      </w:r>
      <w:r w:rsidRPr="0027717B">
        <w:t>ODIHR:s</w:t>
      </w:r>
      <w:r w:rsidRPr="0027717B">
        <w:t xml:space="preserve"> rapport om parlamentsvalet i maj 2025 bedömer att Albaniens valsystem </w:t>
      </w:r>
      <w:r w:rsidRPr="0027717B">
        <w:t>i stort sett lämpar sig för att genomföra konkurrensutsatta val, samtidigt som man upprepar farhågor över ojämlika villkor för politiska aktörer, missbruk av administrativa resurser som suddar ut gränserna mellan statliga institutioner och partistrukturer, finansiering av politiska partier, anklagelser om röstköp och påtryckningar på väljare. Parlamentet uppmanar därför Albaniens politiska majoritet och dess opposition att på ett konstruktivt och inkluderande sätt genomföra en omfattande valreform, i nära samarbete med det civila samhället, och att fullt ut genomföra kvarstående rekommendationer från ODIHR och Venedigkommissionen i god tid före framtida valrörelser. Parlamentet betonar att en sådan reform bör stärka valsystemet, bland annat när det gäller insyn i kampanjfinansiering, rättvis tillgång till medier och skyddsåtgärder mot missbruk av administrativa resurser, och säkerställa att valsystemet verkställs på ett effektivt sätt. Parlamentet understryker att ett brett politiskt samförstånd och ett verkligt genomförande av dessa reformer är avgörande för att säkerställa allmänhetens förtroende för framtida val.</w:t>
      </w:r>
    </w:p>
    <w:p w:rsidR="005333B6" w:rsidRPr="0027717B" w:rsidP="005333B6" w14:paraId="090FD38F" w14:textId="77777777">
      <w:pPr>
        <w:pStyle w:val="NormalHanging12a"/>
      </w:pPr>
      <w:r w:rsidRPr="0027717B">
        <w:t>4.</w:t>
      </w:r>
      <w:r w:rsidRPr="0027717B">
        <w:tab/>
        <w:t>Europaparlamentet uttrycker oro över den fortsatta politiska polariseringen och den konfrontativa politiska debatten, som undergräver den parlamentariska tillsynen, allmänhetens förtroende och effektivt fungerande demokratiska institutioner. Parlamentet uppmuntrar de politiska aktörerna att återuppta en konstruktiv parlamentarisk dialog och se till att det albanska parlamentet förblir det centrala forumet för demokratisk debatt och demokratisk tillsyn. Parlamentet understryker att en fungerande demokrati kräver ett meningsfullt deltagande av oppositionen i parlamentariska förfaranden. Parlamentet påminner om att våldsamma protester inte har någon plats i en fungerande demokrati.</w:t>
      </w:r>
    </w:p>
    <w:p w:rsidR="009E5823" w:rsidRPr="0027717B" w:rsidP="009E5823" w14:paraId="605B6FF5" w14:textId="34045FEA">
      <w:pPr>
        <w:pStyle w:val="NormalHanging12a"/>
      </w:pPr>
      <w:r w:rsidRPr="0027717B">
        <w:t>5.</w:t>
      </w:r>
      <w:r w:rsidRPr="0027717B">
        <w:tab/>
        <w:t>Europaparlamentet uppmuntrar till starkare parlamentarisk granskning av den verkställande makten, ökad transparens i lagstiftningsförfaranden och mer meningsfulla samråd i ett tidigt skede med organisationer i det civila samhället, arbetsmarknadens parter och oberoende institutioner. Parlamentet betonar att framsteg i EU</w:t>
      </w:r>
      <w:r w:rsidRPr="0027717B">
        <w:noBreakHyphen/>
        <w:t>integrationsprocessen bör eftersträvas utan att reformernas kvalitet och inkludering äventyras. Parlamentet understryker hur viktigt det är med lämpligt deltagande av berörda parter och nationellt egenansvar för att säkerställa ett hållbart genomförande och varaktiga effekter. Parlamentet betonar hur viktigt det är att stärka de albanska parlamentsutskottens roll och kapacitet, bland annat genom förbättrad tillgång till information, expertstöd och transparenta lagstiftningsförfaranden.</w:t>
      </w:r>
    </w:p>
    <w:p w:rsidR="005333B6" w:rsidRPr="0027717B" w:rsidP="005333B6" w14:paraId="391CFE32" w14:textId="77777777">
      <w:pPr>
        <w:pStyle w:val="NormalHanging12a"/>
        <w:keepNext/>
        <w:keepLines/>
        <w:rPr>
          <w:b/>
          <w:bCs/>
          <w:i/>
          <w:iCs/>
        </w:rPr>
      </w:pPr>
      <w:r w:rsidRPr="0027717B">
        <w:rPr>
          <w:b/>
          <w:i/>
        </w:rPr>
        <w:t>Rättsstaten, rättsväsendet och korruptionsbekämpning</w:t>
      </w:r>
    </w:p>
    <w:p w:rsidR="005333B6" w:rsidRPr="0027717B" w:rsidP="005333B6" w14:paraId="2850929E" w14:textId="77777777">
      <w:pPr>
        <w:pStyle w:val="NormalHanging12a"/>
        <w:keepNext/>
        <w:keepLines/>
      </w:pPr>
      <w:r w:rsidRPr="0027717B">
        <w:t>6.</w:t>
      </w:r>
      <w:r w:rsidRPr="0027717B">
        <w:tab/>
        <w:t>Europaparlamentet välkomnar det fortsatta genomförandet av Albaniens process för reform av rättsväsendet, som omfattar säkerhetsprövning av domare och åklagare, vilket har bidragit till ökad ansvarighet och integritet inom rättsväsendet. Parlamentet lovordar att det höga domarrådet har utnämnt nya domare, vilket har bidragit till en minskning av antalet otillsatta tjänster. Parlamentet understryker att skyddet av rättsväsendets oberoende fortfarande är avgörande för rättsstaten, tillsammans med fortsatta insatser för att ytterligare öka rättsväsendets ansvarighet, kvalitet och effektivitet.</w:t>
      </w:r>
      <w:r w:rsidRPr="0027717B">
        <w:rPr>
          <w:b/>
          <w:i/>
        </w:rPr>
        <w:t xml:space="preserve"> </w:t>
      </w:r>
      <w:r w:rsidRPr="0027717B">
        <w:t>Parlamentet noterar dock ihållande utmaningar i samband med rättsväsendets effektivitet, ett ändamålsenligt verkställande av lagakraftvunna domstolsavgöranden, eftersläpningar i handläggningen av mål, en konsekvent rättspraxis och försök att utöva otillbörlig påverkan.</w:t>
      </w:r>
    </w:p>
    <w:p w:rsidR="005333B6" w:rsidRPr="0027717B" w:rsidP="005333B6" w14:paraId="361571B2" w14:textId="77777777">
      <w:pPr>
        <w:pStyle w:val="NormalHanging12a"/>
      </w:pPr>
      <w:r w:rsidRPr="0027717B">
        <w:t>7.</w:t>
      </w:r>
      <w:r w:rsidRPr="0027717B">
        <w:tab/>
        <w:t xml:space="preserve">Europaparlamentet påminner om att parlamentarisk immunitet är en del av </w:t>
      </w:r>
      <w:r w:rsidRPr="0027717B">
        <w:t>Albaniens konstitutionella ramverk, som utformats för att säkerställa att de demokratiska institutionerna fungerar väl. Parlamentet betonar att alla beslut i detta avseende bör fattas i strikt överensstämmelse med konstitutionella bestämmelser och etablerade rättsliga förfaranden, utan politisk inblandning och utan oskäligt dröjsmål.</w:t>
      </w:r>
    </w:p>
    <w:p w:rsidR="005333B6" w:rsidRPr="0027717B" w:rsidP="005333B6" w14:paraId="6FB77947" w14:textId="77777777">
      <w:pPr>
        <w:pStyle w:val="NormalHanging12a"/>
        <w:rPr>
          <w:bCs/>
          <w:iCs/>
        </w:rPr>
      </w:pPr>
      <w:r w:rsidRPr="0027717B">
        <w:t>8.</w:t>
      </w:r>
      <w:r w:rsidRPr="0027717B">
        <w:tab/>
        <w:t>Europaparlamentet lovordar de albanska myndigheterna för den kontinuerliga förbättringen av författningsdomstolens effektivitet. Parlamentet efterlyser dock en ytterligare förstärkning av rättsväsendets bredare styrande organ och långsiktiga investeringar i domstolsinfrastruktur och digitalisering. Parlamentet påminner om att rättsväsendet alltjämt utsätts för politiska påtryckningar och hot, vilket riskerar att undergräva domstolarnas oberoende. Parlamentet understryker vikten av ett snabbt och fullständigt genomförande av författningsdomstolens beslut av både den verkställande och den lagstiftande makten, som en väsentlig del av rättsstaten och den institutionella balansen.</w:t>
      </w:r>
    </w:p>
    <w:p w:rsidR="005333B6" w:rsidRPr="0027717B" w:rsidP="005333B6" w14:paraId="6CB47ACC" w14:textId="77777777">
      <w:pPr>
        <w:pStyle w:val="NormalHanging12a"/>
        <w:keepNext/>
        <w:keepLines/>
        <w:rPr>
          <w:bCs/>
          <w:iCs/>
        </w:rPr>
      </w:pPr>
      <w:r w:rsidRPr="0027717B">
        <w:t>9.</w:t>
      </w:r>
      <w:r w:rsidRPr="0027717B">
        <w:tab/>
        <w:t xml:space="preserve">Europaparlamentet beklagar att Albanien enligt </w:t>
      </w:r>
      <w:r w:rsidRPr="0027717B">
        <w:t>Transparency</w:t>
      </w:r>
      <w:r w:rsidRPr="0027717B">
        <w:t xml:space="preserve"> Internationals korruptionsindex 2025 har sjunkit till 91:a plats, vilket ska jämföras med den 80:e plats som landet låg på 2024. Parlamentet betonar att korruption fortfarande är ett allvarligt problem och att Albanien, trots framsteg inom de rättsliga och institutionella ramarna, ytterligare måste stärka sin särskilda poliskapacitet, förbättra sina resultat när det gäller utredningar, åtal och slutliga fällande domar, särskilt i korruptionsmål på hög nivå. Parlamentet välkomnar antagandet av central lagstiftning mot korruption, bland annat när det gäller visselblåsarskydd och intressekonflikter, och efterlyser ett grundligt genomförande av den. Parlamentet välkomnar det fortsatta arbete som utförs av specialiserade institutioner för korruptionsbekämpning och institutioner för bekämpning av organiserad brottslighet, däribland den särskilda strukturen mot korruption och organiserad brottslighet (SPAK), och begär att deras fortsatta oberoende ska säkerställas och att de ska få adekvata resurser och tillräcklig operativ kapacitet, utan att man sätter gränser för deras utredningsbefogenheter eller undergräver deras arbete. Parlamentet efterlyser ökade insatser för att säkerställa effektiv spårning, frysning, förverkande och förvaltning av tillgångar som härrör från brott, bland annat genom systematiska finansiella utredningar, förbättrat samarbete mellan olika organ och gränsöverskridande samarbete samt fullständig användning av verktyg för förverkande i linje med de grundläggande rättigheterna.</w:t>
      </w:r>
    </w:p>
    <w:p w:rsidR="005333B6" w:rsidRPr="0027717B" w:rsidP="005333B6" w14:paraId="62D7D46D" w14:textId="77777777">
      <w:pPr>
        <w:pStyle w:val="NormalHanging12a"/>
      </w:pPr>
      <w:r w:rsidRPr="0027717B">
        <w:t>10.</w:t>
      </w:r>
      <w:r w:rsidRPr="0027717B">
        <w:tab/>
        <w:t>Europaparlamentet insisterar på att korruption måste bekämpas på alla nivåer för att stärka medborgarnas förtroende för statliga institutioner och bidra till ett förutsebart företagsklimat. Parlamentet efterlyser ökad transparens, kontroller av intressekonflikter, integritetsriskbedömningar och riktade förebyggande åtgärder i högrisksektorer, särskilt offentlig upphandling och koncessioner, licensiering och inspektioner samt bygg- och samhällsplanering.</w:t>
      </w:r>
    </w:p>
    <w:p w:rsidR="005333B6" w:rsidRPr="0027717B" w:rsidP="005333B6" w14:paraId="0CFD3E3B" w14:textId="77777777">
      <w:pPr>
        <w:pStyle w:val="NormalHanging12a"/>
      </w:pPr>
      <w:r w:rsidRPr="0027717B">
        <w:t>11.</w:t>
      </w:r>
      <w:r w:rsidRPr="0027717B">
        <w:tab/>
        <w:t>Europaparlamentet uppmanar Albanien att göra betydande framsteg när det gäller den inledande registreringen av egendom och när det gäller rättvis och ömsesidigt godtagbar ersättning för att förbättra insynen i det statliga fastighetsregistret och kvaliteten på fastighetsdata i fastighetsregistret. Vidare uppmanas Albanien att se till att rätten till en rättvis rättegång och rätten till ett effektivt rättsmedel respekteras i fall av expropriering och avlägsnande av egendom.</w:t>
      </w:r>
    </w:p>
    <w:p w:rsidR="005333B6" w:rsidRPr="0027717B" w:rsidP="005333B6" w14:paraId="6A490EBC" w14:textId="77777777">
      <w:pPr>
        <w:pStyle w:val="NormalHanging12a"/>
        <w:rPr>
          <w:bCs/>
          <w:iCs/>
        </w:rPr>
      </w:pPr>
      <w:r w:rsidRPr="0027717B">
        <w:t>12.</w:t>
      </w:r>
      <w:r w:rsidRPr="0027717B">
        <w:tab/>
        <w:t xml:space="preserve">Europaparlamentet betonar vikten av att effektivt bekämpa organiserad brottslighet, inbegripet nätverk för penningtvätt och narkotikahandel, och efterlyser ett intensifierat </w:t>
      </w:r>
      <w:r w:rsidRPr="0027717B">
        <w:t>samarbete med EU-organ såsom Europol och Eurojust. Parlamentet uppmanar myndigheterna att påskynda arbetet med att anpassa Albaniens rättsliga ram för organiserad brottslighet till EU:s regelverk, stärka kapaciteten när det gäller lagföring och effektivisera utredningarna.</w:t>
      </w:r>
    </w:p>
    <w:p w:rsidR="005333B6" w:rsidRPr="0027717B" w:rsidP="005333B6" w14:paraId="0FC73012" w14:textId="77777777">
      <w:pPr>
        <w:pStyle w:val="NormalHanging12a"/>
      </w:pPr>
      <w:r w:rsidRPr="0027717B">
        <w:t>13.</w:t>
      </w:r>
      <w:r w:rsidRPr="0027717B">
        <w:tab/>
        <w:t xml:space="preserve">Europaparlamentet välkomnar att banker i Albanien officiellt har börjat genomföra gränsöverskridande eurotransaktioner genom </w:t>
      </w:r>
      <w:r w:rsidRPr="0027717B">
        <w:t>Sepa</w:t>
      </w:r>
      <w:r w:rsidRPr="0027717B">
        <w:t xml:space="preserve">-systemet. Parlamentet lovordar de albanska myndigheterna för deras stora insatser för att bekämpa penningtvätt genom att anta den nationella strategin för förhindrande av penningtvätt och finansiering av terrorism 2024–2030. Parlamentet noterar initiativet ”Cashless </w:t>
      </w:r>
      <w:r w:rsidRPr="0027717B">
        <w:t>Albania</w:t>
      </w:r>
      <w:r w:rsidRPr="0027717B">
        <w:t xml:space="preserve"> 2030”, som syftar till att ta itu med den utbredda informella ekonomin inom näringslivet och olagliga kassaflöden.</w:t>
      </w:r>
    </w:p>
    <w:p w:rsidR="005333B6" w:rsidRPr="0027717B" w:rsidP="005333B6" w14:paraId="678BD9FC" w14:textId="77777777">
      <w:pPr>
        <w:pStyle w:val="NormalHanging12a"/>
        <w:rPr>
          <w:b/>
          <w:bCs/>
          <w:i/>
          <w:iCs/>
        </w:rPr>
      </w:pPr>
      <w:r w:rsidRPr="0027717B">
        <w:rPr>
          <w:b/>
          <w:i/>
        </w:rPr>
        <w:t>Grundläggande rättigheter och mediefrihet</w:t>
      </w:r>
    </w:p>
    <w:p w:rsidR="005333B6" w:rsidRPr="0027717B" w:rsidP="005333B6" w14:paraId="7B368244" w14:textId="77777777">
      <w:pPr>
        <w:pStyle w:val="NormalHanging12a"/>
        <w:rPr>
          <w:bCs/>
          <w:iCs/>
        </w:rPr>
      </w:pPr>
      <w:r w:rsidRPr="0027717B">
        <w:t>14.</w:t>
      </w:r>
      <w:r w:rsidRPr="0027717B">
        <w:tab/>
        <w:t>Europaparlamentet välkomnar att Albanien i 2025 års internationella pressfrihetsindex från Reportrar utan gränser har klättrat från 99:e plats 2024 till 80:e plats 2025. Parlamentet efterlyser ytterligare insatser för att skydda yttrandefriheten och mediepluralismen i Albanien, däribland större insyn i medieägares eventuella intressekonflikter, skyddsåtgärder mot politiska och ekonomiska påtryckningar på journalister samt effektiva utredningar av hot och angrepp mot mediearbetare. Parlamentet efterlyser också ökad insyn i mediernas ägarstrukturer och en transparent fördelning av statlig reklam för att skydda det redaktionella oberoendet och mediepluralismen.</w:t>
      </w:r>
    </w:p>
    <w:p w:rsidR="005333B6" w:rsidRPr="0027717B" w:rsidP="005333B6" w14:paraId="75307637" w14:textId="77777777">
      <w:pPr>
        <w:pStyle w:val="NormalHanging12a"/>
        <w:rPr>
          <w:bCs/>
          <w:iCs/>
        </w:rPr>
      </w:pPr>
      <w:r w:rsidRPr="0027717B">
        <w:t>15.</w:t>
      </w:r>
      <w:r w:rsidRPr="0027717B">
        <w:tab/>
        <w:t>Europaparlamentet fördömer kraftfullt den ökande fientligheten mot oberoende journalister och mediearbetare i Albanien, inklusive verbala angrepp och mediefientlig retorik från högt uppsatta tjänstemän, smutskastningskampanjer och kvinnofientliga nättrakasserier, ofta mot journalister som rapporterar om rättsstatlighet, korruption och domstolsfrågor. Parlamentet uttrycker dessutom oro över det stora antalet rättsprocesser mot journalister. Parlamentet välkomnar de senaste ändringarna av Albaniens strafflag. Parlamentet beklagar dock att de inte har lett till en fullständig avkriminalisering av förtal och förolämpning, i linje med EU-standarder och internationella standarder.</w:t>
      </w:r>
    </w:p>
    <w:p w:rsidR="005333B6" w:rsidRPr="0027717B" w:rsidP="005333B6" w14:paraId="5F342493" w14:textId="77777777">
      <w:pPr>
        <w:pStyle w:val="NormalHanging12a"/>
      </w:pPr>
      <w:r w:rsidRPr="0027717B">
        <w:t>16.</w:t>
      </w:r>
      <w:r w:rsidRPr="0027717B">
        <w:tab/>
        <w:t>Europaparlamentet uppmanar de albanska myndigheterna att främja mediekompetens och digital kompetens som en kompletterande åtgärd för att stärka informationsmiljöns motståndskraft, bland annat genom att integrera initiativ för mediekompetens i hela utbildningssystemet, stödja lärarutbildning och moderna resurser för lärande samt stärka samarbetet med oberoende medier och relevanta EU-program för att främja kritiskt tänkande och ansvarsfullt digitalt engagemang.</w:t>
      </w:r>
    </w:p>
    <w:p w:rsidR="005333B6" w:rsidRPr="0027717B" w:rsidP="005333B6" w14:paraId="6E6BFA55" w14:textId="77777777">
      <w:pPr>
        <w:pStyle w:val="NormalHanging12a"/>
      </w:pPr>
      <w:r w:rsidRPr="0027717B">
        <w:t>17.</w:t>
      </w:r>
      <w:r w:rsidRPr="0027717B">
        <w:tab/>
        <w:t xml:space="preserve">Europaparlamentet uppmuntrar Albanien att stärka de institutionella ramarna för skydd och främjande av rättigheterna för personer som tillhör etniska och religiösa minoriteter och utsatta grupper, däribland romer och egyptier, personer med funktionsnedsättning, migrerande arbetstagare och hbtqi+-personer, att säkerställa ett effektivt genomförande av lagstiftningen mot diskriminering och förbättrad tillgång för etniska och religiösa minoriteter och utsatta grupper till offentliga tjänster och se till att de kan delta på ett meningsfullt sätt i det sociala, ekonomiska och politiska livet. Parlamentet är oroat över den genusfientliga retorik som förekommer i den politiska debatten i Albanien. Parlamentet konstaterar att förstärkningen av den institutionella ramen för skydd av minoriteters rättigheter måste åtföljas av effektiva åtgärder som säkerställer ett </w:t>
      </w:r>
      <w:r w:rsidRPr="0027717B">
        <w:t>fullständigt och effektivt genomförande av dessa rättigheter i praktiken.</w:t>
      </w:r>
    </w:p>
    <w:p w:rsidR="005333B6" w:rsidRPr="0027717B" w:rsidP="005333B6" w14:paraId="3F6F9467" w14:textId="77777777">
      <w:pPr>
        <w:pStyle w:val="NormalHanging12a"/>
      </w:pPr>
      <w:r w:rsidRPr="0027717B">
        <w:t>18.</w:t>
      </w:r>
      <w:r w:rsidRPr="0027717B">
        <w:tab/>
        <w:t>Europaparlamentet uppmanar de albanska myndigheterna att säkerställa hållbar tillgång till utbildning på minoritetsspråk för erkända nationella minoriteter och att stödja motsvarande utbildning av lärare, framtagning av läroböcker och bevarande av den kulturella identiteten.</w:t>
      </w:r>
    </w:p>
    <w:p w:rsidR="005333B6" w:rsidRPr="0027717B" w:rsidP="005333B6" w14:paraId="369D0145" w14:textId="77777777">
      <w:pPr>
        <w:pStyle w:val="NormalHanging12a"/>
        <w:keepNext/>
        <w:keepLines/>
        <w:rPr>
          <w:bCs/>
          <w:iCs/>
        </w:rPr>
      </w:pPr>
      <w:r w:rsidRPr="0027717B">
        <w:t>19.</w:t>
      </w:r>
      <w:r w:rsidRPr="0027717B">
        <w:tab/>
        <w:t xml:space="preserve">Europaparlamentet lovordar Albaniens antagande av jämställdhetslagen, som är i linje med EU:s regelverk och internationella människorättsnormer. Parlamentet uttrycker dock oro över vågen av desinformation och hat mot hbtqi+-personer, inklusive smutskastningskampanjer mot det arbete som utförs av organisationer i det civila samhället som arbetar för jämlikhet för hbtqi+-personer. Parlamentet uppmanar de albanska myndigheterna att ställa personer som sprider diskriminerande retorik inför rätta. Parlamentet uppmanar den albanska regeringen att utarbeta rättsliga åtgärder, såsom registrerat partnerskap, för att erkänna och skydda samkönade par, i enlighet med sitt åtagande i den nationella handlingsplanen för </w:t>
      </w:r>
      <w:r w:rsidRPr="0027717B">
        <w:t>hbti</w:t>
      </w:r>
      <w:r w:rsidRPr="0027717B">
        <w:t>-personer 2021–2027, och för att anpassa Albaniens lagstiftning om mänskliga rättigheter till EU:s regelverk.</w:t>
      </w:r>
    </w:p>
    <w:p w:rsidR="005333B6" w:rsidRPr="0027717B" w:rsidP="005333B6" w14:paraId="40468357" w14:textId="77777777">
      <w:pPr>
        <w:pStyle w:val="NormalHanging12a"/>
        <w:rPr>
          <w:bCs/>
          <w:iCs/>
        </w:rPr>
      </w:pPr>
      <w:r w:rsidRPr="0027717B">
        <w:t>20.</w:t>
      </w:r>
      <w:r w:rsidRPr="0027717B">
        <w:tab/>
        <w:t xml:space="preserve">Europaparlamentet välkomnar erkännandet av den bulgariska befolkningsgruppens långvariga historiska närvaro i regioner som </w:t>
      </w:r>
      <w:r w:rsidRPr="0027717B">
        <w:t>Prespa</w:t>
      </w:r>
      <w:r w:rsidRPr="0027717B">
        <w:t xml:space="preserve">, </w:t>
      </w:r>
      <w:r w:rsidRPr="0027717B">
        <w:t>Gollobordë</w:t>
      </w:r>
      <w:r w:rsidRPr="0027717B">
        <w:t xml:space="preserve"> och Gora, och uppmuntrar de albanska myndigheterna att säkerställa full respekt för deras språkliga, kulturella och utbildningsmässiga rättigheter samt för Albaniens andra erkända nationella minoriteters rättigheter.</w:t>
      </w:r>
    </w:p>
    <w:p w:rsidR="005333B6" w:rsidRPr="0027717B" w:rsidP="005333B6" w14:paraId="6C298130" w14:textId="77777777">
      <w:pPr>
        <w:pStyle w:val="NormalHanging12a"/>
      </w:pPr>
      <w:r w:rsidRPr="0027717B">
        <w:t>21.</w:t>
      </w:r>
      <w:r w:rsidRPr="0027717B">
        <w:tab/>
        <w:t>Europaparlamentet uttrycker oro över de kvarstående problemen med diskriminering och social utestängning som drabbar minoritetsgrupper i Albanien, särskilt när det gäller tillgång till utbildning, sysselsättning och offentliga tjänster. Parlamentet uppmanar den albanska regeringen att fullt ut anpassa antidiskrimineringspolitiken och minoriteters rättigheter till EU:s regelverk. Parlamentet understryker att tillgången till rättslig prövning och politiskt deltagande behöver förbättras, särskilt för utsatta och marginaliserade grupper.</w:t>
      </w:r>
    </w:p>
    <w:p w:rsidR="00021217" w:rsidRPr="0027717B" w:rsidP="005333B6" w14:paraId="22202873" w14:textId="41CACDAF">
      <w:pPr>
        <w:pStyle w:val="NormalHanging12a"/>
        <w:rPr>
          <w:bCs/>
          <w:iCs/>
        </w:rPr>
      </w:pPr>
      <w:r w:rsidRPr="0027717B">
        <w:rPr>
          <w:bCs/>
          <w:iCs/>
          <w:szCs w:val="24"/>
          <w:lang w:eastAsia="en-US"/>
        </w:rPr>
        <w:t>22.</w:t>
      </w:r>
      <w:r w:rsidRPr="0027717B">
        <w:rPr>
          <w:bCs/>
          <w:iCs/>
          <w:szCs w:val="24"/>
          <w:lang w:eastAsia="en-US"/>
        </w:rPr>
        <w:tab/>
        <w:t xml:space="preserve">Europaparlamentet </w:t>
      </w:r>
      <w:r w:rsidRPr="0027717B" w:rsidR="007779C6">
        <w:rPr>
          <w:bCs/>
          <w:iCs/>
          <w:szCs w:val="24"/>
          <w:lang w:eastAsia="en-US"/>
        </w:rPr>
        <w:t>konstaterar</w:t>
      </w:r>
      <w:r w:rsidRPr="0027717B">
        <w:rPr>
          <w:bCs/>
          <w:iCs/>
          <w:szCs w:val="24"/>
          <w:lang w:eastAsia="en-US"/>
        </w:rPr>
        <w:t xml:space="preserve"> att den grekiska nationella minoriteten fortfarande har en stark historisk närvaro, särskilt i södra Albanien, och uppmanar Albanien att säkerställa skyddet av äganderätten.</w:t>
      </w:r>
    </w:p>
    <w:p w:rsidR="005333B6" w:rsidRPr="0027717B" w:rsidP="005333B6" w14:paraId="0F4DED73" w14:textId="0FEECDAF">
      <w:pPr>
        <w:pStyle w:val="NormalHanging12a"/>
      </w:pPr>
      <w:r w:rsidRPr="0027717B">
        <w:t>2</w:t>
      </w:r>
      <w:r w:rsidRPr="0027717B" w:rsidR="008D45B6">
        <w:t>3</w:t>
      </w:r>
      <w:r w:rsidRPr="0027717B">
        <w:t>.</w:t>
      </w:r>
      <w:r w:rsidRPr="0027717B">
        <w:tab/>
        <w:t>Europaparlamentet betonar också vikten av att bevara minnesplatser kopplade till den kommunistiska diktaturen och stödja hågkomst och utbildningsinitiativ som främjar historisk medvetenhet och stärker den demokratiska kulturen, särskilt bland yngre generationer.</w:t>
      </w:r>
    </w:p>
    <w:p w:rsidR="005333B6" w:rsidRPr="0027717B" w:rsidP="005333B6" w14:paraId="3B9B148B" w14:textId="575577A8">
      <w:pPr>
        <w:pStyle w:val="NormalHanging12a"/>
      </w:pPr>
      <w:r w:rsidRPr="0027717B">
        <w:t>2</w:t>
      </w:r>
      <w:r w:rsidRPr="0027717B" w:rsidR="008D45B6">
        <w:t>4</w:t>
      </w:r>
      <w:r w:rsidRPr="0027717B">
        <w:t>.</w:t>
      </w:r>
      <w:r w:rsidRPr="0027717B">
        <w:tab/>
        <w:t>Europaparlamentet lovordar Albaniens dynamiska och konstruktiva civila samhälle, som spelar en viktig och positiv roll i reformprocessen. Parlamentet uppmuntrar den albanska regeringen att bygga upp relationer som gynnar samarbete och därigenom verkligen involvera det civila samhället i en transparent lagstiftningsprocess redan i ett tidigt skede. Parlamentet beklagar dock att det civila samhällets organisationer i Albanien alltjämt står inför utmaningar och erhåller begränsad offentlig finansiering. Parlamentet uppmanar vidare den albanska regeringen att säkerställa en gynnsam, säker och icke-diskriminerande miljö för det civila samhället.</w:t>
      </w:r>
    </w:p>
    <w:p w:rsidR="005333B6" w:rsidRPr="0027717B" w:rsidP="005333B6" w14:paraId="476FE213" w14:textId="04DC5402">
      <w:pPr>
        <w:pStyle w:val="NormalHanging12a"/>
      </w:pPr>
      <w:r w:rsidRPr="0027717B">
        <w:t>2</w:t>
      </w:r>
      <w:r w:rsidRPr="0027717B" w:rsidR="008D45B6">
        <w:t>5</w:t>
      </w:r>
      <w:r w:rsidRPr="0027717B">
        <w:t>.</w:t>
      </w:r>
      <w:r w:rsidRPr="0027717B">
        <w:tab/>
        <w:t xml:space="preserve">Europaparlamentet är bekymrat över att Albanien, enligt rankningen </w:t>
      </w:r>
      <w:r w:rsidRPr="0027717B">
        <w:t xml:space="preserve">i jämställdhetsrapporten Global Gender Gap </w:t>
      </w:r>
      <w:r w:rsidRPr="0027717B">
        <w:t>Report</w:t>
      </w:r>
      <w:r w:rsidRPr="0027717B">
        <w:t xml:space="preserve"> 2025 från Världsekonomiskt forum, har fallit från 23:e plats 2024 till 36:e plats 2025, vilket visar på en växande klyfta mellan könen. Parlamentet beklagar att den rättsliga ramen för att bekämpa könsrelaterat våld ännu inte fullt ut överensstämmer med Istanbulkonventionen. Parlamentet uppmanar eftertryckligen den albanska regeringen att förbättra stödtjänsterna för brottsoffer, särskilt inom hälso- och sjukvård, finansiering av kvinnojourer, kostnadsfri rättshjälp samt återintegrerings- och rehabiliteringsprogram.</w:t>
      </w:r>
    </w:p>
    <w:p w:rsidR="005333B6" w:rsidRPr="0027717B" w:rsidP="005333B6" w14:paraId="2A40DAFB" w14:textId="138F7A64">
      <w:pPr>
        <w:pStyle w:val="NormalHanging12a"/>
        <w:keepNext/>
        <w:keepLines/>
      </w:pPr>
      <w:r w:rsidRPr="0027717B">
        <w:t>2</w:t>
      </w:r>
      <w:r w:rsidRPr="0027717B" w:rsidR="008D45B6">
        <w:t>6</w:t>
      </w:r>
      <w:r w:rsidRPr="0027717B">
        <w:t>.</w:t>
      </w:r>
      <w:r w:rsidRPr="0027717B">
        <w:tab/>
        <w:t>Europaparlamentet är bekymrat över att Albaniens nationella agenda för barnets rättigheter 2021–2026 ännu inte har genomförts fullt ut och att barns tillgång till rättslig prövning hindras av förseningar, begränsad rättshjälp och otillräcklig institutionell samordning. Parlamentet beklagar att majoriteten av barnen i Albanien fortfarande löper risk att drabbas av fattigdom. Parlamentet uppmanar de albanska myndigheterna att effektivt genomföra den nationella agendan för barns rättigheter genom att ge stöd till barn som riskerar utestängning och fattigdom.</w:t>
      </w:r>
    </w:p>
    <w:p w:rsidR="005333B6" w:rsidRPr="0027717B" w:rsidP="005333B6" w14:paraId="151D8E20" w14:textId="77777777">
      <w:pPr>
        <w:pStyle w:val="NormalHanging12a"/>
        <w:rPr>
          <w:b/>
          <w:bCs/>
          <w:i/>
          <w:iCs/>
        </w:rPr>
      </w:pPr>
      <w:r w:rsidRPr="0027717B">
        <w:rPr>
          <w:b/>
          <w:i/>
        </w:rPr>
        <w:t>Reform av den offentliga förvaltningen och samhällsstyrning</w:t>
      </w:r>
    </w:p>
    <w:p w:rsidR="005333B6" w:rsidRPr="0027717B" w:rsidP="005333B6" w14:paraId="29E22B48" w14:textId="02570182">
      <w:pPr>
        <w:pStyle w:val="NormalHanging12a"/>
        <w:rPr>
          <w:bCs/>
          <w:iCs/>
        </w:rPr>
      </w:pPr>
      <w:r w:rsidRPr="0027717B">
        <w:t>2</w:t>
      </w:r>
      <w:r w:rsidRPr="0027717B" w:rsidR="008D45B6">
        <w:t>7</w:t>
      </w:r>
      <w:r w:rsidRPr="0027717B">
        <w:t>.</w:t>
      </w:r>
      <w:r w:rsidRPr="0027717B">
        <w:tab/>
        <w:t>Europaparlamentet erkänner framstegen i reformen av den offentliga förvaltningen, inbegripet strategisk planering och samordning. Parlamentet välkomnar antagandet av den övergripande strategin för reform av den offentliga förvaltningen 2025–2030. Parlamentet betonar dock att det krävs ytterligare insatser för att säkerställa meritbaserad rekrytering och avpolitisering av den offentliga förvaltningen, inklusive antagande och genomförande av en ny rättslig ram för den offentliga förvaltningen.</w:t>
      </w:r>
    </w:p>
    <w:p w:rsidR="005333B6" w:rsidRPr="0027717B" w:rsidP="005333B6" w14:paraId="64A331D6" w14:textId="5EE18E06">
      <w:pPr>
        <w:pStyle w:val="NormalHanging12a"/>
        <w:rPr>
          <w:bCs/>
        </w:rPr>
      </w:pPr>
      <w:r w:rsidRPr="0027717B">
        <w:t>2</w:t>
      </w:r>
      <w:r w:rsidRPr="0027717B" w:rsidR="008D45B6">
        <w:t>8</w:t>
      </w:r>
      <w:r w:rsidRPr="0027717B">
        <w:t>.</w:t>
      </w:r>
      <w:r w:rsidRPr="0027717B">
        <w:tab/>
        <w:t>Europaparlamentet är bekymrat över att varken den rättsliga ramen för offentlig upphandling eller bolagsrätten fullt ut är anpassad till EU:s regelverk. Parlamentet uppmanar de albanska myndigheterna att fortsätta sina ansträngningar för att fullt ut anpassa Albaniens lagstiftning till EU:s regelverk. Parlamentet efterlyser förstärkt parlamentarisk tillsyn, oberoende revisioner och full transparens i offentliga upphandlingsförfaranden för att säkerställa efterlevnad av EU:s normer för konkurrens, dataskydd och korruptionsbekämpning.</w:t>
      </w:r>
    </w:p>
    <w:p w:rsidR="005333B6" w:rsidRPr="0027717B" w:rsidP="005333B6" w14:paraId="63BBBFEC" w14:textId="0E12660F">
      <w:pPr>
        <w:pStyle w:val="NormalHanging12a"/>
        <w:rPr>
          <w:bCs/>
        </w:rPr>
      </w:pPr>
      <w:r w:rsidRPr="0027717B">
        <w:t>2</w:t>
      </w:r>
      <w:r w:rsidRPr="0027717B" w:rsidR="008D45B6">
        <w:t>9</w:t>
      </w:r>
      <w:r w:rsidRPr="0027717B">
        <w:t>.</w:t>
      </w:r>
      <w:r w:rsidRPr="0027717B">
        <w:tab/>
        <w:t>Europaparlamentet välkomnar det pågående arbetet i Albaniens partiöverskridande parlamentariska utskott för territoriella reformer. Parlamentet betonar att alla reformer på detta område bör genomföras genom en inkluderande process och baseras på objektiva socioekonomiska kriterier och europeiska normer för lokalt självstyre.</w:t>
      </w:r>
    </w:p>
    <w:p w:rsidR="005333B6" w:rsidRPr="0027717B" w:rsidP="005333B6" w14:paraId="34BEB121" w14:textId="72E20AD0">
      <w:pPr>
        <w:pStyle w:val="NormalHanging12a"/>
        <w:rPr>
          <w:bCs/>
          <w:iCs/>
        </w:rPr>
      </w:pPr>
      <w:r w:rsidRPr="0027717B">
        <w:t>30</w:t>
      </w:r>
      <w:r w:rsidRPr="0027717B">
        <w:t>.</w:t>
      </w:r>
      <w:r w:rsidRPr="0027717B">
        <w:tab/>
        <w:t>Europaparlamentet efterlyser förbättrad politisk planering, evidensbaserat beslutsfattande och transparenta budgetprocesser, inbegripet stärkt parlamentarisk tillsyn över de offentliga finanserna. Parlamentet insisterar på att de lokala myndigheternas finansiella resurser, administrativa kapacitet och finanspolitiska autonomi måste förbättras.</w:t>
      </w:r>
    </w:p>
    <w:p w:rsidR="005333B6" w:rsidRPr="0027717B" w:rsidP="005333B6" w14:paraId="129E0426" w14:textId="64C5C4B2">
      <w:pPr>
        <w:pStyle w:val="NormalHanging12a"/>
        <w:rPr>
          <w:bCs/>
          <w:iCs/>
        </w:rPr>
      </w:pPr>
      <w:r w:rsidRPr="0027717B">
        <w:t>3</w:t>
      </w:r>
      <w:r w:rsidRPr="0027717B" w:rsidR="008D45B6">
        <w:t>1</w:t>
      </w:r>
      <w:r w:rsidRPr="0027717B">
        <w:t>.</w:t>
      </w:r>
      <w:r w:rsidRPr="0027717B">
        <w:tab/>
        <w:t xml:space="preserve">Europaparlamentet lovordar de albanska myndigheterna för att de nyligen antagit den nationella strategin för cybersäkerhet 2025–2030. Europaparlamentet välkomnar </w:t>
      </w:r>
      <w:r w:rsidRPr="0027717B">
        <w:t>anpassningen av Albaniens nuvarande lag om cybersäkerhet till EU:s NIS 2-direktiv</w:t>
      </w:r>
      <w:r>
        <w:rPr>
          <w:rStyle w:val="FootnoteReference"/>
          <w:bCs/>
          <w:iCs/>
        </w:rPr>
        <w:footnoteReference w:id="6"/>
      </w:r>
      <w:r w:rsidRPr="0027717B">
        <w:t>. Parlamentet lovordar de albanska myndigheterna för att ha antagit en uppdaterad förteckning över operatörer av kritisk och viktig informationsinfrastruktur.</w:t>
      </w:r>
    </w:p>
    <w:p w:rsidR="005333B6" w:rsidRPr="0027717B" w:rsidP="005333B6" w14:paraId="5311F261" w14:textId="1217D9AD">
      <w:pPr>
        <w:pStyle w:val="NormalHanging12a"/>
        <w:keepNext/>
        <w:keepLines/>
        <w:rPr>
          <w:bCs/>
          <w:iCs/>
        </w:rPr>
      </w:pPr>
      <w:r w:rsidRPr="0027717B">
        <w:t>3</w:t>
      </w:r>
      <w:r w:rsidRPr="0027717B" w:rsidR="008D45B6">
        <w:t>2</w:t>
      </w:r>
      <w:r w:rsidRPr="0027717B">
        <w:t>.</w:t>
      </w:r>
      <w:r w:rsidRPr="0027717B">
        <w:tab/>
        <w:t>Europaparlamentet välkomnar Albaniens kontinuerliga förbättring av överföringen av uppgifter till Eurostat. Parlamentet uppmanar de albanska myndigheterna att ytterligare öka produktionen och distributionen av data av hög kvalitet.</w:t>
      </w:r>
    </w:p>
    <w:p w:rsidR="005333B6" w:rsidRPr="0027717B" w:rsidP="005333B6" w14:paraId="728C6580" w14:textId="380682BD">
      <w:pPr>
        <w:pStyle w:val="NormalHanging12a"/>
        <w:rPr>
          <w:bCs/>
          <w:iCs/>
        </w:rPr>
      </w:pPr>
      <w:r w:rsidRPr="0027717B">
        <w:t>3</w:t>
      </w:r>
      <w:r w:rsidRPr="0027717B" w:rsidR="008D45B6">
        <w:t>3</w:t>
      </w:r>
      <w:r w:rsidRPr="0027717B">
        <w:t>.</w:t>
      </w:r>
      <w:r w:rsidRPr="0027717B">
        <w:tab/>
        <w:t>Europaparlamentet berömmer den albanska regeringen för att den antagit de nya lagarna om varumärken och patent. Parlamentet uppmanar de albanska myndigheterna att fullt ut anpassa Albaniens lagstiftning om immateriella rättigheter till EU:s regelverk och att fortsätta att stärka den.</w:t>
      </w:r>
    </w:p>
    <w:p w:rsidR="005333B6" w:rsidRPr="0027717B" w:rsidP="005333B6" w14:paraId="0F1EDFC8" w14:textId="77777777">
      <w:pPr>
        <w:pStyle w:val="NormalHanging12a"/>
        <w:rPr>
          <w:b/>
          <w:bCs/>
          <w:i/>
          <w:iCs/>
        </w:rPr>
      </w:pPr>
      <w:r w:rsidRPr="0027717B">
        <w:rPr>
          <w:b/>
          <w:i/>
        </w:rPr>
        <w:t>Socioekonomiska reformer och miljön</w:t>
      </w:r>
    </w:p>
    <w:p w:rsidR="005333B6" w:rsidRPr="0027717B" w:rsidP="005333B6" w14:paraId="2E7BADEF" w14:textId="6CD24BAC">
      <w:pPr>
        <w:pStyle w:val="NormalHanging12a"/>
      </w:pPr>
      <w:r w:rsidRPr="0027717B">
        <w:t>3</w:t>
      </w:r>
      <w:r w:rsidRPr="0027717B" w:rsidR="008D45B6">
        <w:t>4</w:t>
      </w:r>
      <w:r w:rsidRPr="0027717B">
        <w:t>.</w:t>
      </w:r>
      <w:r w:rsidRPr="0027717B">
        <w:tab/>
        <w:t>Europaparlamentet välkomnar Albaniens engagemang i genomförandet av EU:s tillväxtplan för västra Balkan. Parlamentet noterar dock att strukturella svagheter kvarstår, däribland en informell ekonomi, låg produktivitetstillväxt och ett utmanande företagsklimat. Parlamentet beklagar att den stora informella ekonomin i landet hämmar företagsklimatet och konkurrensen. Parlamentet upprepar vikten av att förbättra transportinfrastrukturen mellan länderna på västra Balkan och att ytterligare utveckla deras tåg- och flygförbindelser med EU:s medlemsstater. Parlamentet lovordar de albanska myndigheterna för att de beviljar momsbefrielse för EU-finansierade projekt i Albanien.</w:t>
      </w:r>
    </w:p>
    <w:p w:rsidR="005333B6" w:rsidRPr="0027717B" w:rsidP="005333B6" w14:paraId="59CC7F17" w14:textId="5AADFC78">
      <w:pPr>
        <w:pStyle w:val="NormalHanging12a"/>
        <w:rPr>
          <w:bCs/>
          <w:iCs/>
        </w:rPr>
      </w:pPr>
      <w:r w:rsidRPr="0027717B">
        <w:t>3</w:t>
      </w:r>
      <w:r w:rsidRPr="0027717B" w:rsidR="008D45B6">
        <w:t>5</w:t>
      </w:r>
      <w:r w:rsidRPr="0027717B">
        <w:t>.</w:t>
      </w:r>
      <w:r w:rsidRPr="0027717B">
        <w:tab/>
        <w:t xml:space="preserve">Europaparlamentet påminner om potentialen i EU:s ekonomiska plan och investeringsplan för västra Balkan att förbättra den regionala </w:t>
      </w:r>
      <w:r w:rsidRPr="0027717B">
        <w:t>konnektiviteten</w:t>
      </w:r>
      <w:r w:rsidRPr="0027717B">
        <w:t xml:space="preserve"> genom järnväg och väg. Parlamentet uppmanar i detta avseende myndigheterna i alla berörda länder att slutföra korridor VIII-projekten som förbinder Albanien, </w:t>
      </w:r>
      <w:r w:rsidRPr="0027717B">
        <w:t>Nordmakedonien</w:t>
      </w:r>
      <w:r w:rsidRPr="0027717B">
        <w:t xml:space="preserve"> och Bulgarien.</w:t>
      </w:r>
    </w:p>
    <w:p w:rsidR="005333B6" w:rsidRPr="0027717B" w:rsidP="005333B6" w14:paraId="15348A52" w14:textId="5FBB7284">
      <w:pPr>
        <w:pStyle w:val="NormalHanging12a"/>
        <w:rPr>
          <w:bCs/>
          <w:iCs/>
        </w:rPr>
      </w:pPr>
      <w:r w:rsidRPr="0027717B">
        <w:t>3</w:t>
      </w:r>
      <w:r w:rsidRPr="0027717B" w:rsidR="008D45B6">
        <w:t>6</w:t>
      </w:r>
      <w:r w:rsidRPr="0027717B">
        <w:t>.</w:t>
      </w:r>
      <w:r w:rsidRPr="0027717B">
        <w:tab/>
        <w:t>Europaparlamentet efterlyser ett genomförande av en övergripande mekanism för granskning av utländska direktinvesteringar som ett strategiskt initiativ för att skydda Albaniens nationella intressen, öka säkerheten och säkerställa förutsägbarhet för investerare och överensstämmelse med EU:s standarder.</w:t>
      </w:r>
    </w:p>
    <w:p w:rsidR="005333B6" w:rsidRPr="0027717B" w:rsidP="005333B6" w14:paraId="1BAB3406" w14:textId="35251383">
      <w:pPr>
        <w:pStyle w:val="NormalHanging12a"/>
        <w:rPr>
          <w:bCs/>
          <w:iCs/>
        </w:rPr>
      </w:pPr>
      <w:r w:rsidRPr="0027717B">
        <w:t>3</w:t>
      </w:r>
      <w:r w:rsidRPr="0027717B" w:rsidR="008D45B6">
        <w:t>7</w:t>
      </w:r>
      <w:r w:rsidRPr="0027717B">
        <w:t>.</w:t>
      </w:r>
      <w:r w:rsidRPr="0027717B">
        <w:tab/>
        <w:t>Europaparlamentet betonar att det interna kontrollsystemet för Albaniens interna finansiella kontroll i den offentliga sektorn fortfarande är delvis ändamålsenligt. Parlamentet uppmanar Albanien att öka de statsägda företagens ansvarsskyldighet och transparens genom att offentliggöra deras årliga ekonomiska resultatrapporter. Parlamentet uppmanar de albanska myndigheterna att fullt ut genomföra rekommendationerna från Albaniens högsta revisionsorgan.</w:t>
      </w:r>
    </w:p>
    <w:p w:rsidR="005333B6" w:rsidRPr="0027717B" w:rsidP="005333B6" w14:paraId="11F7818E" w14:textId="6A6A4F18">
      <w:pPr>
        <w:pStyle w:val="NormalHanging12a"/>
        <w:rPr>
          <w:bCs/>
          <w:iCs/>
        </w:rPr>
      </w:pPr>
      <w:r w:rsidRPr="0027717B">
        <w:t>3</w:t>
      </w:r>
      <w:r w:rsidRPr="0027717B" w:rsidR="008D45B6">
        <w:t>8</w:t>
      </w:r>
      <w:r w:rsidRPr="0027717B">
        <w:t>.</w:t>
      </w:r>
      <w:r w:rsidRPr="0027717B">
        <w:tab/>
      </w:r>
      <w:r w:rsidRPr="0027717B" w:rsidR="00021217">
        <w:rPr>
          <w:szCs w:val="24"/>
          <w:lang w:eastAsia="en-US"/>
        </w:rPr>
        <w:t xml:space="preserve">Europaparlamentet välkomnar antagandet av Albaniens strategi för modernisering och harmonisering av det albanska tullinformationssystemet med EU:s system för perioden 2025–2030. Parlamentet lovordar de albanska myndigheterna för deras insatser för att </w:t>
      </w:r>
      <w:r w:rsidRPr="0027717B" w:rsidR="00021217">
        <w:rPr>
          <w:szCs w:val="24"/>
          <w:lang w:eastAsia="en-US"/>
        </w:rPr>
        <w:t xml:space="preserve">uppfylla EU:s standarder genom att harmonisera och förbättra tullinfrastrukturen. </w:t>
      </w:r>
      <w:r w:rsidRPr="0027717B" w:rsidR="00021217">
        <w:rPr>
          <w:bCs/>
          <w:iCs/>
          <w:szCs w:val="24"/>
          <w:lang w:eastAsia="en-US"/>
        </w:rPr>
        <w:t xml:space="preserve">Parlamentet betonar att tullens </w:t>
      </w:r>
      <w:r w:rsidRPr="0027717B" w:rsidR="00021217">
        <w:rPr>
          <w:bCs/>
          <w:iCs/>
          <w:szCs w:val="24"/>
          <w:lang w:eastAsia="en-US"/>
        </w:rPr>
        <w:t>it-system</w:t>
      </w:r>
      <w:r w:rsidRPr="0027717B" w:rsidR="00021217">
        <w:rPr>
          <w:bCs/>
          <w:iCs/>
          <w:szCs w:val="24"/>
          <w:lang w:eastAsia="en-US"/>
        </w:rPr>
        <w:t xml:space="preserve"> behöver uppgraderas avsevärt för att uppnå fullständig harmonisering med EU:s standarder och uppmanar de albanska myndigheterna att påskynda de nödvändiga investeringarna och reformerna i detta avseende.</w:t>
      </w:r>
    </w:p>
    <w:p w:rsidR="005333B6" w:rsidRPr="0027717B" w:rsidP="005333B6" w14:paraId="5F31E0FA" w14:textId="0B694901">
      <w:pPr>
        <w:pStyle w:val="NormalHanging12a"/>
        <w:rPr>
          <w:bCs/>
          <w:iCs/>
        </w:rPr>
      </w:pPr>
      <w:r w:rsidRPr="0027717B">
        <w:t>3</w:t>
      </w:r>
      <w:r w:rsidRPr="0027717B" w:rsidR="008D45B6">
        <w:t>9</w:t>
      </w:r>
      <w:r w:rsidRPr="0027717B">
        <w:t>.</w:t>
      </w:r>
      <w:r w:rsidRPr="0027717B">
        <w:tab/>
        <w:t>Europaparlamentet lovordar de albanska myndigheterna för att de anpassat lagstiftningen om privata pensionsfonder till EU:s regelverk. Parlamentet uppmanar Albanien att slutföra sin anpassning till EU:s regelverk om försäkringar, kapitalmarknader, värdepappersmarknader, investeringsfonder och finansmarknadsinfrastrukturer.</w:t>
      </w:r>
    </w:p>
    <w:p w:rsidR="005333B6" w:rsidRPr="0027717B" w:rsidP="005333B6" w14:paraId="1790C019" w14:textId="61225373">
      <w:pPr>
        <w:pStyle w:val="NormalHanging12a"/>
        <w:rPr>
          <w:bCs/>
          <w:iCs/>
        </w:rPr>
      </w:pPr>
      <w:r w:rsidRPr="0027717B">
        <w:t>40</w:t>
      </w:r>
      <w:r w:rsidRPr="0027717B">
        <w:t>.</w:t>
      </w:r>
      <w:r w:rsidRPr="0027717B">
        <w:tab/>
      </w:r>
      <w:r w:rsidRPr="0027717B" w:rsidR="0014176D">
        <w:rPr>
          <w:szCs w:val="24"/>
          <w:lang w:eastAsia="en-US"/>
        </w:rPr>
        <w:t>Europaparlamentet välkomnar varmt kommissionens förslag och rådets bemyndigande att inleda förhandlingar för att utvidga EU:s ”</w:t>
      </w:r>
      <w:r w:rsidRPr="0027717B" w:rsidR="0014176D">
        <w:rPr>
          <w:szCs w:val="24"/>
          <w:lang w:eastAsia="en-US"/>
        </w:rPr>
        <w:t>roaming</w:t>
      </w:r>
      <w:r w:rsidRPr="0027717B" w:rsidR="0014176D">
        <w:rPr>
          <w:szCs w:val="24"/>
          <w:lang w:eastAsia="en-US"/>
        </w:rPr>
        <w:t xml:space="preserve"> som hemma”-system till västra Balkan, och uppmanar kommissionen och partnerna på västra Balkan att snabbt vidta nödvändiga åtgärder för ett ömsesidigt öppnande av </w:t>
      </w:r>
      <w:r w:rsidRPr="0027717B" w:rsidR="0014176D">
        <w:rPr>
          <w:szCs w:val="24"/>
          <w:lang w:eastAsia="en-US"/>
        </w:rPr>
        <w:t>roamingmarknaderna</w:t>
      </w:r>
      <w:r w:rsidRPr="0027717B" w:rsidR="0014176D">
        <w:rPr>
          <w:szCs w:val="24"/>
          <w:lang w:eastAsia="en-US"/>
        </w:rPr>
        <w:t xml:space="preserve"> i EU och hos partnerna på västra Balkan, så att medborgare och företag kan dra nytta av </w:t>
      </w:r>
      <w:r w:rsidRPr="0027717B" w:rsidR="0014176D">
        <w:rPr>
          <w:szCs w:val="24"/>
          <w:lang w:eastAsia="en-US"/>
        </w:rPr>
        <w:t>roamingtjänster</w:t>
      </w:r>
      <w:r w:rsidRPr="0027717B" w:rsidR="0014176D">
        <w:rPr>
          <w:szCs w:val="24"/>
          <w:lang w:eastAsia="en-US"/>
        </w:rPr>
        <w:t xml:space="preserve"> utan extra avgifter.</w:t>
      </w:r>
    </w:p>
    <w:p w:rsidR="005333B6" w:rsidRPr="0027717B" w:rsidP="005333B6" w14:paraId="27263A6D" w14:textId="7CE8436E">
      <w:pPr>
        <w:pStyle w:val="NormalHanging12a"/>
        <w:rPr>
          <w:bCs/>
          <w:iCs/>
        </w:rPr>
      </w:pPr>
      <w:r w:rsidRPr="0027717B">
        <w:t>4</w:t>
      </w:r>
      <w:r w:rsidRPr="0027717B" w:rsidR="008D45B6">
        <w:t>1</w:t>
      </w:r>
      <w:r w:rsidRPr="0027717B">
        <w:t>.</w:t>
      </w:r>
      <w:r w:rsidRPr="0027717B">
        <w:tab/>
        <w:t>Europaparlamentet betonar vikten av att investera i utbildning, kompetensutveckling och innovation för att stödja hållbar tillväxt och social sammanhållning. Parlamentet berömmer den albanska regeringen för antagandet av lagstiftningsakter för reform av den högre utbildningen och för det fortsatta genomförandet av den nationella strategin för utbildning 2021–2026. Parlamentet uppmanar de albanska myndigheterna att slutföra genomförandelagstiftningen för lagen om kulturarv och museer. Parlamentet uppmuntrar till utvecklingen av politik som syftar till att minska utvandringen av ungdomar och kompetensflykten och till att stärka möjligheterna för unga yrkesverksamma genom förbättrade arbetsmarknadsvillkor, utbildningsreformer och innovationsstöd.</w:t>
      </w:r>
    </w:p>
    <w:p w:rsidR="005333B6" w:rsidRPr="0027717B" w:rsidP="005333B6" w14:paraId="009C3C0C" w14:textId="756FDF4C">
      <w:pPr>
        <w:pStyle w:val="NormalHanging12a"/>
        <w:rPr>
          <w:bCs/>
          <w:iCs/>
        </w:rPr>
      </w:pPr>
      <w:r w:rsidRPr="0027717B">
        <w:t>4</w:t>
      </w:r>
      <w:r w:rsidRPr="0027717B" w:rsidR="008D45B6">
        <w:t>2</w:t>
      </w:r>
      <w:r w:rsidRPr="0027717B">
        <w:t>.</w:t>
      </w:r>
      <w:r w:rsidRPr="0027717B">
        <w:tab/>
        <w:t>Europaparlamentet efterlyser vidareutveckling och ett effektivt genomförande av ramen för subventionerade bostäder i Albanien, på grundval av en fortsättning och förbättring av den nationella strategin för subventionerade bostäder 2016–2025, för att säkerställa stabila och anständiga levnadsvillkor för låginkomsttagare och utsatta grupper. Parlamentet understryker särskilt vikten av tillgängliga och överkomliga subventionerade bostäder för ungdomar, däribland studenter och lärlingar, eftersom det underlättar deras geografiska rörlighet, tillgång till utbildning och en framgångsrik integration på arbetsmarknaden.</w:t>
      </w:r>
    </w:p>
    <w:p w:rsidR="005333B6" w:rsidRPr="0027717B" w:rsidP="005333B6" w14:paraId="04B840AD" w14:textId="5FD66F0D">
      <w:pPr>
        <w:pStyle w:val="NormalHanging12a"/>
      </w:pPr>
      <w:r w:rsidRPr="0027717B">
        <w:t>4</w:t>
      </w:r>
      <w:r w:rsidRPr="0027717B" w:rsidR="008D45B6">
        <w:t>3</w:t>
      </w:r>
      <w:r w:rsidRPr="0027717B">
        <w:t>.</w:t>
      </w:r>
      <w:r w:rsidRPr="0027717B">
        <w:tab/>
        <w:t>Europaparlamentet understryker den avgörande betydelsen av en verklig social dialog för att olika delar av befolkningen ska kunna dra nytta av EU-utvidgningens fördelar. Parlamentet välkomnar den förbättrade överföringen av databaser och den tidiga anslutningen till det europeiska nätverket för arbetsförmedlingar (Eures), som möjliggjordes genom en fullständig anpassning av den nationella förteckningen över yrken till den flerspråkiga europeiska klassificeringen av färdigheter, kvalifikationer och yrken (</w:t>
      </w:r>
      <w:r w:rsidRPr="0027717B">
        <w:t>Esco</w:t>
      </w:r>
      <w:r w:rsidRPr="0027717B">
        <w:t>). Parlamentet beklagar dock att det nationella arbetsrådet håller möten så sällan. Parlamentet efterlyser en förstärkning av processen för trepartssamråd, inbegripet lämplig facklig representation. Parlamentet betonar behovet att ytterligare stödja kapacitetsuppbyggnad hos arbetsmarknadens parter.</w:t>
      </w:r>
    </w:p>
    <w:p w:rsidR="005333B6" w:rsidRPr="0027717B" w:rsidP="005333B6" w14:paraId="2B95D5B0" w14:textId="406F3D15">
      <w:pPr>
        <w:pStyle w:val="NormalHanging12a"/>
        <w:rPr>
          <w:bCs/>
          <w:iCs/>
        </w:rPr>
      </w:pPr>
      <w:r w:rsidRPr="0027717B">
        <w:t>4</w:t>
      </w:r>
      <w:r w:rsidRPr="0027717B" w:rsidR="008D45B6">
        <w:t>4</w:t>
      </w:r>
      <w:r w:rsidRPr="0027717B">
        <w:t>.</w:t>
      </w:r>
      <w:r w:rsidRPr="0027717B">
        <w:tab/>
        <w:t xml:space="preserve">Europaparlamentet efterlyser ökade insatser för att främja efterlevnaden av </w:t>
      </w:r>
      <w:r w:rsidRPr="0027717B">
        <w:t>EU:s arbetsrätt och EU:s ram för hälsa och säkerhet på arbetsplatsen, inklusive ett fullständigt genomförande av icke-diskriminerande politik och jämställdhetsåtgärder, och uppmanar med kraft de berörda nationella myndigheterna att säkerställa effektiv övervakning, verkställighet och lämpliga påföljder vid bristande efterlevnad.</w:t>
      </w:r>
    </w:p>
    <w:p w:rsidR="009E5823" w:rsidRPr="0027717B" w:rsidP="009E5823" w14:paraId="501A2F5C" w14:textId="06873609">
      <w:pPr>
        <w:pStyle w:val="NormalHanging12a"/>
        <w:rPr>
          <w:bCs/>
          <w:iCs/>
        </w:rPr>
      </w:pPr>
      <w:r w:rsidRPr="0027717B">
        <w:t>4</w:t>
      </w:r>
      <w:r w:rsidRPr="0027717B" w:rsidR="008D45B6">
        <w:t>5</w:t>
      </w:r>
      <w:r w:rsidRPr="0027717B">
        <w:t>.</w:t>
      </w:r>
      <w:r w:rsidRPr="0027717B">
        <w:tab/>
        <w:t>Europaparlamentet understryker att framsteg på vägen mot EU-anslutning kräver faktiska resultat när det gäller genomförandet och efterlevnaden av miljöregelverket, särskilt i fråga om miljöbedömningar, naturskyddslagar och allmänhetens rätt till deltagande.</w:t>
      </w:r>
    </w:p>
    <w:p w:rsidR="005333B6" w:rsidRPr="0027717B" w:rsidP="009E5823" w14:paraId="08B646B7" w14:textId="0C309DDC">
      <w:pPr>
        <w:pStyle w:val="NormalHanging12a"/>
      </w:pPr>
      <w:r w:rsidRPr="0027717B">
        <w:t>4</w:t>
      </w:r>
      <w:r w:rsidRPr="0027717B" w:rsidR="008D45B6">
        <w:t>6</w:t>
      </w:r>
      <w:r w:rsidRPr="0027717B">
        <w:t>.</w:t>
      </w:r>
      <w:r w:rsidRPr="0027717B">
        <w:tab/>
        <w:t>Europaparlamentet noterar den albanska regeringens tillkännagivande att den kommer att reformera landets avfallshanteringssektor genom att centralisera och förbättra insamlingen och hanteringen av avfall. Parlamentet noterar dock med oro att det enligt kommissionens bedömning inte har gjorts några framsteg när det gäller miljö och klimatförändringar under rapporteringsperioden. Parlamentet uppmanar den albanska regeringen att prioritera genomförandet av klimatanpassningsstrategier och utvecklingen av förnybara energikällor och att stödja hållbar ekonomisk tillväxt.</w:t>
      </w:r>
    </w:p>
    <w:p w:rsidR="005333B6" w:rsidRPr="0027717B" w:rsidP="005333B6" w14:paraId="53C3860D" w14:textId="4024C94E">
      <w:pPr>
        <w:pStyle w:val="NormalHanging12a"/>
      </w:pPr>
      <w:r w:rsidRPr="0027717B">
        <w:t>4</w:t>
      </w:r>
      <w:r w:rsidRPr="0027717B" w:rsidR="008D45B6">
        <w:t>7</w:t>
      </w:r>
      <w:r w:rsidRPr="0027717B">
        <w:t>.</w:t>
      </w:r>
      <w:r w:rsidRPr="0027717B">
        <w:tab/>
        <w:t>Europaparlamentet beklagar djupt att Albaniens lag om strategiska investeringar från 2015 har förlängts, med tanke på dess bestämmelser som möjliggör påskyndade tillståndsförfaranden och minskad miljögranskning, vilket riskerar att negativt påverka skyddade områden och andra miljömässigt känsliga områden. Parlamentet efterlyser ett upphävande av 2024 års ändringar av lagen om skyddade områden, vilka gör det möjligt att utveckla storskalig turisminfrastruktur inom skyddade områden och att överföra centrala styrnings- och beslutsbefogenheter till det nationella territorierådet, vilket försvagar miljötillsynen.</w:t>
      </w:r>
    </w:p>
    <w:p w:rsidR="008D45B6" w:rsidRPr="0027717B" w:rsidP="005333B6" w14:paraId="590654E3" w14:textId="5E4B7AA5">
      <w:pPr>
        <w:pStyle w:val="NormalHanging12a"/>
        <w:rPr>
          <w:bCs/>
          <w:iCs/>
        </w:rPr>
      </w:pPr>
      <w:r w:rsidRPr="0027717B">
        <w:rPr>
          <w:bCs/>
          <w:iCs/>
        </w:rPr>
        <w:t>48.</w:t>
      </w:r>
      <w:r w:rsidRPr="0027717B">
        <w:rPr>
          <w:bCs/>
          <w:iCs/>
        </w:rPr>
        <w:tab/>
        <w:t>Europaparlamentet betonar att kommissionen har varnat Albanien för åtgärder som kan påverka landets väg mot EU-anslutning i samband med pågående nationella protester mot ett storskaligt lyxbygg</w:t>
      </w:r>
      <w:r w:rsidRPr="0027717B" w:rsidR="007779C6">
        <w:rPr>
          <w:bCs/>
          <w:iCs/>
        </w:rPr>
        <w:t>projekt</w:t>
      </w:r>
      <w:r w:rsidRPr="0027717B">
        <w:rPr>
          <w:bCs/>
          <w:iCs/>
        </w:rPr>
        <w:t xml:space="preserve"> som hotar ett skyddat område för vilda djur och växter där flamingor, sälar och sköldpaddor lever. Parlamentet upprepar i detta avseende kommissionens kritik och påminner om att anpassning till EU:s miljöregler, inbegripet fågeldirektivet</w:t>
      </w:r>
      <w:r>
        <w:rPr>
          <w:rStyle w:val="FootnoteReference"/>
          <w:bCs/>
          <w:iCs/>
        </w:rPr>
        <w:footnoteReference w:id="7"/>
      </w:r>
      <w:r w:rsidRPr="0027717B">
        <w:rPr>
          <w:bCs/>
          <w:iCs/>
        </w:rPr>
        <w:t xml:space="preserve"> och habitatdirektivet</w:t>
      </w:r>
      <w:r>
        <w:rPr>
          <w:rStyle w:val="FootnoteReference"/>
          <w:bCs/>
          <w:iCs/>
        </w:rPr>
        <w:footnoteReference w:id="8"/>
      </w:r>
      <w:r w:rsidRPr="0027717B">
        <w:rPr>
          <w:bCs/>
          <w:iCs/>
        </w:rPr>
        <w:t>, är en förutsättning för EU-anslutning.</w:t>
      </w:r>
    </w:p>
    <w:p w:rsidR="008D45B6" w:rsidRPr="0027717B" w:rsidP="005333B6" w14:paraId="5549E570" w14:textId="6E753A63">
      <w:pPr>
        <w:pStyle w:val="NormalHanging12a"/>
        <w:rPr>
          <w:bCs/>
          <w:iCs/>
        </w:rPr>
      </w:pPr>
      <w:r w:rsidRPr="0027717B">
        <w:rPr>
          <w:bCs/>
          <w:iCs/>
          <w:szCs w:val="24"/>
          <w:lang w:eastAsia="en-US"/>
        </w:rPr>
        <w:t>49.</w:t>
      </w:r>
      <w:r w:rsidRPr="0027717B">
        <w:rPr>
          <w:bCs/>
          <w:iCs/>
          <w:szCs w:val="24"/>
          <w:lang w:eastAsia="en-US"/>
        </w:rPr>
        <w:tab/>
        <w:t>Europaparlamentet uttrycker allvarlig oro över att den pågående utvecklingen inom det skyddade området Vjosa-</w:t>
      </w:r>
      <w:r w:rsidRPr="0027717B">
        <w:rPr>
          <w:bCs/>
          <w:iCs/>
          <w:szCs w:val="24"/>
          <w:lang w:eastAsia="en-US"/>
        </w:rPr>
        <w:t>Narta</w:t>
      </w:r>
      <w:r w:rsidRPr="0027717B">
        <w:rPr>
          <w:bCs/>
          <w:iCs/>
          <w:szCs w:val="24"/>
          <w:lang w:eastAsia="en-US"/>
        </w:rPr>
        <w:t xml:space="preserve"> är ett exempel på de praktiska konsekvenserna av dessa lagändringar och de risker som dessa medför för områden med erkänt ekologiskt värde. Parlamentet följer noga de pågående fredliga massprotesterna i detta avseende. Parlamentet uppmanar de albanska myndigheterna att omedelbart införa ett moratorium för alla nya tillståndsförfaranden, byggnadsarbeten och utvecklingsåtgärder inom skyddade områden tills de syftesfrämmande bestämmelserna i den ändrade lagen om skyddade områden har upphävts, på grundval av en sedan länge framförd begäran från kommissionen och parlamentet och i linje med stängningsriktmärkena i kapitel 27, och tills full överensstämmelse med EU:s naturskyddsnormer har säkerställts. Parlamentet </w:t>
      </w:r>
      <w:r w:rsidRPr="0027717B">
        <w:rPr>
          <w:bCs/>
          <w:iCs/>
          <w:szCs w:val="24"/>
          <w:lang w:eastAsia="en-US"/>
        </w:rPr>
        <w:t>understryker att det för alla projekt på detta område måste genomföras omfattande miljökonsekvensbedömningar som till fullo överensstämmer med EU:s normer, inbegripet en transparent process med allmänhetens deltagande som involverar lokalsamhällen, vetenskapsmän och det civila samhället.</w:t>
      </w:r>
    </w:p>
    <w:p w:rsidR="005333B6" w:rsidRPr="0027717B" w:rsidP="005333B6" w14:paraId="0EFA7F53" w14:textId="77777777">
      <w:pPr>
        <w:pStyle w:val="NormalHanging12a"/>
        <w:rPr>
          <w:b/>
          <w:bCs/>
          <w:i/>
          <w:iCs/>
        </w:rPr>
      </w:pPr>
      <w:r w:rsidRPr="0027717B">
        <w:rPr>
          <w:b/>
          <w:i/>
        </w:rPr>
        <w:t>Utrikespolitik och regionalt samarbete</w:t>
      </w:r>
    </w:p>
    <w:p w:rsidR="005333B6" w:rsidRPr="0027717B" w:rsidP="005333B6" w14:paraId="3AF33FCF" w14:textId="10ACE675">
      <w:pPr>
        <w:pStyle w:val="NormalHanging12a"/>
      </w:pPr>
      <w:r w:rsidRPr="0027717B">
        <w:t>50</w:t>
      </w:r>
      <w:r w:rsidRPr="0027717B">
        <w:t>.</w:t>
      </w:r>
      <w:r w:rsidRPr="0027717B">
        <w:tab/>
        <w:t>Europaparlamentet lovordar Albaniens fortsatta fullständiga anpassning till EU:s gemensamma utrikes- och säkerhetspolitik, inbegripet restriktiva åtgärder, Albaniens fortsatta engagemang i EU:s uppdrag och insatser inom ramen för den gemensamma säkerhets- och försvarspolitiken samt landets konstruktiva roll för att främja regional stabilitet, vilket bekräftar landets starka euroatlantiska inriktning. Parlamentet välkomnar det fördjupade samarbetet i säkerhets- och försvarsfrågor genom säkerhets- och försvarspartnerskapet mellan EU och Albanien och säkerhets- och försvarsdialogerna. Parlamentet betonar vikten av mer samarbete i form av exempelvis gemensamma utbildningsinitiativ, delad underrättelsekapacitet och förbättrade gränssäkerhetsåtgärder för att hantera regionala och globala säkerhetsutmaningar.</w:t>
      </w:r>
    </w:p>
    <w:p w:rsidR="005333B6" w:rsidRPr="0027717B" w:rsidP="005333B6" w14:paraId="20E3CBEE" w14:textId="5411DA2A">
      <w:pPr>
        <w:pStyle w:val="NormalHanging12a"/>
      </w:pPr>
      <w:r w:rsidRPr="0027717B">
        <w:t>51</w:t>
      </w:r>
      <w:r w:rsidRPr="0027717B">
        <w:t>.</w:t>
      </w:r>
      <w:r w:rsidRPr="0027717B">
        <w:tab/>
        <w:t>Europaparlamentet betonar att deltagandet i internationella initiativ och organisationer bör förbli förenligt med EU:s värden, den regionala stabiliteten och Albaniens mål att integreras i EU. Parlamentet betonar vikten av transparens och lämplig parlamentarisk kontroll i beslut som rör internationella åtaganden.</w:t>
      </w:r>
    </w:p>
    <w:p w:rsidR="005333B6" w:rsidRPr="0027717B" w:rsidP="005333B6" w14:paraId="5E133A3B" w14:textId="4BEB57EC">
      <w:pPr>
        <w:pStyle w:val="NormalHanging12a"/>
        <w:rPr>
          <w:bCs/>
          <w:iCs/>
        </w:rPr>
      </w:pPr>
      <w:r w:rsidRPr="0027717B">
        <w:t>52</w:t>
      </w:r>
      <w:r w:rsidRPr="0027717B">
        <w:t>.</w:t>
      </w:r>
      <w:r w:rsidRPr="0027717B">
        <w:tab/>
        <w:t>Europaparlamentet understryker vikten av goda grannförbindelser och regionalt samarbete som väsentliga delar av utvidgningsprocessen och välkomnar Albaniens aktiva deltagande i regionala initiativ. Parlamentet understryker behovet av ett fördjupat säkerhetssamarbete på västra Balkan för att främja en närmare samordning mellan regionala partner i syfte att bekämpa organiserad brottslighet, cyberhot och hybridutmaningar. Parlamentet erkänner den adriatisk-joniska regionens strategiska betydelse för europeisk säkerhet och ekonomisk stabilitet. Parlamentet uppmanar Albanien att stärka sin kapacitet för sjöfartsskydd i samordning med EU och Nato, bland annat genom att stärka den marina infrastrukturen, förbättra övervakningssystemen och intensifiera insatserna för bekämpning av olaglig verksamhet såsom människohandel. Parlamentet uppmuntrar Albanien att samarbeta närmare med EU:s kuststater för att säkerställa skyddet av kritiska sjöfartsleder och miljöhållbarhet i regionen.</w:t>
      </w:r>
    </w:p>
    <w:p w:rsidR="005333B6" w:rsidRPr="0027717B" w:rsidP="005333B6" w14:paraId="22ADE24C" w14:textId="1E98CA55">
      <w:pPr>
        <w:pStyle w:val="NormalHanging12a"/>
        <w:rPr>
          <w:bCs/>
          <w:iCs/>
        </w:rPr>
      </w:pPr>
      <w:r w:rsidRPr="0027717B">
        <w:t>5</w:t>
      </w:r>
      <w:r w:rsidRPr="0027717B" w:rsidR="008D45B6">
        <w:t>3</w:t>
      </w:r>
      <w:r w:rsidRPr="0027717B">
        <w:t>.</w:t>
      </w:r>
      <w:r w:rsidRPr="0027717B">
        <w:tab/>
        <w:t>Europaparlamentet varnar för att initiativ som utvecklas utanför EU:s ramar, däribland initiativet ”</w:t>
      </w:r>
      <w:r w:rsidRPr="0027717B">
        <w:t>Open</w:t>
      </w:r>
      <w:r w:rsidRPr="0027717B">
        <w:t xml:space="preserve"> Balkan”, riskerar att skapa parallella strukturer som skulle kunna undergräva Berlinprocessen och västra Balkans gemensamma regionala marknad.</w:t>
      </w:r>
    </w:p>
    <w:p w:rsidR="005333B6" w:rsidRPr="0027717B" w:rsidP="005333B6" w14:paraId="03CF3091" w14:textId="77777777">
      <w:pPr>
        <w:pStyle w:val="NormalHanging12a"/>
        <w:rPr>
          <w:b/>
          <w:bCs/>
          <w:i/>
          <w:iCs/>
        </w:rPr>
      </w:pPr>
      <w:r w:rsidRPr="0027717B">
        <w:rPr>
          <w:b/>
          <w:i/>
        </w:rPr>
        <w:t>EU-stöd</w:t>
      </w:r>
    </w:p>
    <w:p w:rsidR="005333B6" w:rsidRPr="0027717B" w:rsidP="005333B6" w14:paraId="3E86CB92" w14:textId="6696F14C">
      <w:pPr>
        <w:pStyle w:val="NormalHanging12a"/>
      </w:pPr>
      <w:r w:rsidRPr="0027717B">
        <w:t>5</w:t>
      </w:r>
      <w:r w:rsidRPr="0027717B" w:rsidR="008D45B6">
        <w:t>4</w:t>
      </w:r>
      <w:r w:rsidRPr="0027717B">
        <w:t>.</w:t>
      </w:r>
      <w:r w:rsidRPr="0027717B">
        <w:tab/>
        <w:t>Europaparlamentet välkomnar EU:s ekonomiska och tekniska stöd till Albanien inom ramen för IPA III och faciliteten för reformer och tillväxt, och betonar att sådant stöd måste förbli nära kopplat till det konkreta genomförandet av reformer och mätbara resultat. Parlamentet efterlyser ökat EU-stöd till regionala säkerhetsinitiativ som stärker stabiliteten och motståndskraften på västra Balkan. Parlamentet välkomnar den europeiska fredsfacilitetens bilaterala stödåtgärder till stöd för Albaniens väpnade styrkor, som stärker Albaniens potential att bidra till EU:s uppdrag och insatser inom ramen för den gemensamma säkerhets- och försvarspolitiken.</w:t>
      </w:r>
    </w:p>
    <w:p w:rsidR="005333B6" w:rsidRPr="0027717B" w:rsidP="005333B6" w14:paraId="543C6FE9" w14:textId="47B3E952">
      <w:pPr>
        <w:pStyle w:val="NormalHanging12a"/>
        <w:rPr>
          <w:bCs/>
          <w:iCs/>
        </w:rPr>
      </w:pPr>
      <w:r w:rsidRPr="0027717B">
        <w:t>5</w:t>
      </w:r>
      <w:r w:rsidRPr="0027717B" w:rsidR="008D45B6">
        <w:t>5</w:t>
      </w:r>
      <w:r w:rsidRPr="0027717B">
        <w:t>.</w:t>
      </w:r>
      <w:r w:rsidRPr="0027717B">
        <w:tab/>
        <w:t>Europaparlamentet efterlyser förstärkt tillsyn och ett meningsfullt deltagande från organisationer i det civila samhället, näringslivsorganisationer och arbetsmarknadens parter i alla stadier av faciliteten för reformer och tillväxt för västra Balkan, inklusive utarbetandet av reformåtgärder, genomförandet av projekt och övervakningen av resultat.</w:t>
      </w:r>
    </w:p>
    <w:p w:rsidR="005333B6" w:rsidRPr="0027717B" w:rsidP="005333B6" w14:paraId="2D9E2F9D" w14:textId="5C0ABA2A">
      <w:pPr>
        <w:pStyle w:val="NormalHanging12a"/>
        <w:rPr>
          <w:bCs/>
          <w:iCs/>
        </w:rPr>
      </w:pPr>
      <w:r w:rsidRPr="0027717B">
        <w:t>5</w:t>
      </w:r>
      <w:r w:rsidRPr="0027717B" w:rsidR="008D45B6">
        <w:t>6</w:t>
      </w:r>
      <w:r w:rsidRPr="0027717B">
        <w:t>.</w:t>
      </w:r>
      <w:r w:rsidRPr="0027717B">
        <w:tab/>
        <w:t>Europaparlamentet uppmanar EU att ge Albanien ytterligare ekonomiskt och tekniskt stöd för att främja hållbar landsbygdsutveckling och minska klyftan mellan stad och landsbygd, i linje med EU:s sammanhållningspolitik.</w:t>
      </w:r>
    </w:p>
    <w:p w:rsidR="005333B6" w:rsidRPr="0027717B" w:rsidP="005333B6" w14:paraId="28955814" w14:textId="2294D31F">
      <w:pPr>
        <w:pStyle w:val="NormalHanging12a"/>
        <w:rPr>
          <w:bCs/>
          <w:iCs/>
        </w:rPr>
      </w:pPr>
      <w:r w:rsidRPr="0027717B">
        <w:t>5</w:t>
      </w:r>
      <w:r w:rsidRPr="0027717B" w:rsidR="008D45B6">
        <w:t>7</w:t>
      </w:r>
      <w:r w:rsidRPr="0027717B">
        <w:t>.</w:t>
      </w:r>
      <w:r w:rsidRPr="0027717B">
        <w:tab/>
        <w:t>Europaparlamentet uttrycker oro över de allvarliga oegentligheter som påtalats av Europeiska byrån för bedrägeribekämpning i samband med genomförandet av EU:s instrument för föranslutningsstöd för landsbygdsutveckling (</w:t>
      </w:r>
      <w:r w:rsidRPr="0027717B">
        <w:t>Ipard</w:t>
      </w:r>
      <w:r w:rsidRPr="0027717B">
        <w:t xml:space="preserve"> II) i Albanien. Parlamentet understryker vikten av att säkerställa full transparens, ansvarsskyldighet och effektiva kontrollmekanismer vid användningen av EU:s ekonomiska stöd, i syfte att skydda unionens ekonomiska intressen och upprätthålla allmänhetens förtroende. Parlamentet efterlyser ett omedelbart genomförande av nödvändiga korrigerande åtgärder.</w:t>
      </w:r>
    </w:p>
    <w:p w:rsidR="005333B6" w:rsidRPr="0027717B" w:rsidP="005333B6" w14:paraId="0460BA08" w14:textId="42741B63">
      <w:pPr>
        <w:pStyle w:val="NormalHanging12a"/>
        <w:rPr>
          <w:bCs/>
          <w:iCs/>
        </w:rPr>
      </w:pPr>
      <w:r w:rsidRPr="0027717B">
        <w:t>5</w:t>
      </w:r>
      <w:r w:rsidRPr="0027717B" w:rsidR="008D45B6">
        <w:t>8</w:t>
      </w:r>
      <w:r w:rsidRPr="0027717B">
        <w:t>.</w:t>
      </w:r>
      <w:r w:rsidRPr="0027717B">
        <w:tab/>
        <w:t>Europaparlamentet uppmanar kommissionen att fortsätta att ge tydlig vägledning om reformprioriteringar och att säkerställa en transparent och noggrann övervakning av reformframstegen. Parlamentet uppmanar vidare kommissionen att inleda en informationskampanj i alla medlemsstater och i Albanien för att förklara de positiva effekterna av EU-utvidgningen för medborgarna.</w:t>
      </w:r>
    </w:p>
    <w:p w:rsidR="005333B6" w:rsidRPr="0027717B" w:rsidP="005333B6" w14:paraId="0DCD7251" w14:textId="7B4B779C">
      <w:pPr>
        <w:pStyle w:val="NormalHanging12a"/>
        <w:rPr>
          <w:bCs/>
          <w:iCs/>
        </w:rPr>
      </w:pPr>
      <w:r w:rsidRPr="0027717B">
        <w:t>5</w:t>
      </w:r>
      <w:r w:rsidRPr="0027717B" w:rsidR="008D45B6">
        <w:t>9</w:t>
      </w:r>
      <w:r w:rsidRPr="0027717B">
        <w:t>.</w:t>
      </w:r>
      <w:r w:rsidRPr="0027717B">
        <w:tab/>
        <w:t>Europaparlamentet uppmuntrar kommissionen att tillsammans med Europeiska utrikestjänsten ytterligare bidra till att stärka Albaniens motståndskraft mot hybridhot på området cybersäkerhet, informationsmanipulering och skydd av kritisk infrastruktur. Parlamentet betonar behovet att förbättra samordningen och motarbeta desinformation och hybridhot som syftar till att undergräva den albanska allmänhetens stöd för EU</w:t>
      </w:r>
      <w:r w:rsidRPr="0027717B">
        <w:noBreakHyphen/>
        <w:t>anslutning genom att mer strategiskt betona EU:s relevans för människor på västra Balkan.</w:t>
      </w:r>
    </w:p>
    <w:p w:rsidR="005333B6" w:rsidRPr="0027717B" w:rsidP="005333B6" w14:paraId="34DEEAAD" w14:textId="77777777">
      <w:pPr>
        <w:pStyle w:val="NormalHanging12a"/>
        <w:jc w:val="center"/>
      </w:pPr>
      <w:r w:rsidRPr="0027717B">
        <w:t>°</w:t>
      </w:r>
    </w:p>
    <w:p w:rsidR="005333B6" w:rsidRPr="0027717B" w:rsidP="005333B6" w14:paraId="66DDC517" w14:textId="77777777">
      <w:pPr>
        <w:pStyle w:val="NormalHanging12a"/>
        <w:jc w:val="center"/>
      </w:pPr>
      <w:r w:rsidRPr="0027717B">
        <w:t>°</w:t>
      </w:r>
      <w:r w:rsidRPr="0027717B">
        <w:tab/>
        <w:t>°</w:t>
      </w:r>
    </w:p>
    <w:p w:rsidR="00E365E1" w:rsidRPr="0027717B" w:rsidP="009E5823" w14:paraId="090C9E4C" w14:textId="193882ED">
      <w:pPr>
        <w:pStyle w:val="NormalHanging12a"/>
      </w:pPr>
      <w:r w:rsidRPr="0027717B">
        <w:t>60</w:t>
      </w:r>
      <w:r w:rsidRPr="0027717B" w:rsidR="005333B6">
        <w:t>.</w:t>
      </w:r>
      <w:r w:rsidRPr="0027717B" w:rsidR="005333B6">
        <w:tab/>
        <w:t>Europaparlamentet uppdrar åt talmannen att översända denna resolution till rådet, kommissionen, Europeiska rådets ordförande, vice ordföranden för kommissionen/unionens höga representant för utrikes frågor och säkerhetspolitik, medlemsstaternas regeringar och parlament samt Republiken Albaniens president, regering och parlament.</w:t>
      </w:r>
    </w:p>
    <w:sectPr w:rsidSect="00F3296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968" w14:paraId="0A335E4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968" w14:paraId="50E4792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968" w14:paraId="7A6E1D6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D2348" w:rsidRPr="00F32968" w14:paraId="0BD4129A" w14:textId="77777777">
      <w:r w:rsidRPr="00F32968">
        <w:separator/>
      </w:r>
    </w:p>
  </w:footnote>
  <w:footnote w:type="continuationSeparator" w:id="1">
    <w:p w:rsidR="00FD2348" w:rsidRPr="00F32968" w14:paraId="0FE8489B" w14:textId="77777777">
      <w:r w:rsidRPr="00F32968">
        <w:continuationSeparator/>
      </w:r>
    </w:p>
  </w:footnote>
  <w:footnote w:id="2">
    <w:p w:rsidR="005333B6" w:rsidRPr="0014176D" w:rsidP="00F32968" w14:paraId="06FB94AD" w14:textId="2C06B37E">
      <w:pPr>
        <w:pStyle w:val="FootnoteText"/>
        <w:ind w:left="567" w:hanging="567"/>
        <w:rPr>
          <w:sz w:val="24"/>
          <w:szCs w:val="24"/>
          <w:lang w:val="fi-FI"/>
        </w:rPr>
      </w:pPr>
      <w:r w:rsidRPr="0014176D">
        <w:rPr>
          <w:rStyle w:val="FootnoteReference"/>
          <w:sz w:val="24"/>
          <w:szCs w:val="24"/>
          <w:lang w:val="sv-SE"/>
        </w:rPr>
        <w:footnoteRef/>
      </w:r>
      <w:r w:rsidRPr="0014176D" w:rsidR="00F32968">
        <w:rPr>
          <w:sz w:val="24"/>
          <w:szCs w:val="24"/>
          <w:lang w:val="fi-FI"/>
        </w:rPr>
        <w:t xml:space="preserve"> </w:t>
      </w:r>
      <w:r w:rsidRPr="0014176D" w:rsidR="00F32968">
        <w:rPr>
          <w:sz w:val="24"/>
          <w:szCs w:val="24"/>
          <w:lang w:val="fi-FI"/>
        </w:rPr>
        <w:tab/>
      </w:r>
      <w:r w:rsidRPr="0014176D">
        <w:rPr>
          <w:sz w:val="24"/>
          <w:szCs w:val="24"/>
          <w:lang w:val="fi-FI"/>
        </w:rPr>
        <w:t xml:space="preserve">EUT L 107, 28.4.2009, s. 166, ELI: </w:t>
      </w:r>
      <w:hyperlink r:id="rId1" w:tooltip="Ger tillgång till detta dokument via dess ELI-URI-adress." w:history="1">
        <w:r w:rsidRPr="0014176D">
          <w:rPr>
            <w:rStyle w:val="Hyperlink"/>
            <w:sz w:val="24"/>
            <w:szCs w:val="24"/>
            <w:lang w:val="fi-FI"/>
          </w:rPr>
          <w:t>http://data.europa.eu/eli/agree_internation/2009/332/oj</w:t>
        </w:r>
      </w:hyperlink>
      <w:r w:rsidRPr="0014176D">
        <w:rPr>
          <w:sz w:val="24"/>
          <w:szCs w:val="24"/>
          <w:lang w:val="fi-FI"/>
        </w:rPr>
        <w:t>.</w:t>
      </w:r>
    </w:p>
  </w:footnote>
  <w:footnote w:id="3">
    <w:p w:rsidR="005333B6" w:rsidRPr="0014176D" w:rsidP="00F32968" w14:paraId="7C83746E" w14:textId="379E0356">
      <w:pPr>
        <w:pStyle w:val="FootnoteText"/>
        <w:ind w:left="567" w:hanging="567"/>
        <w:rPr>
          <w:sz w:val="24"/>
          <w:szCs w:val="24"/>
          <w:lang w:val="fi-FI"/>
        </w:rPr>
      </w:pPr>
      <w:r w:rsidRPr="0014176D">
        <w:rPr>
          <w:rStyle w:val="FootnoteReference"/>
          <w:sz w:val="24"/>
          <w:szCs w:val="24"/>
          <w:lang w:val="sv-SE"/>
        </w:rPr>
        <w:footnoteRef/>
      </w:r>
      <w:r w:rsidRPr="0014176D" w:rsidR="00F32968">
        <w:rPr>
          <w:sz w:val="24"/>
          <w:szCs w:val="24"/>
          <w:lang w:val="fi-FI"/>
        </w:rPr>
        <w:t xml:space="preserve"> </w:t>
      </w:r>
      <w:r w:rsidRPr="0014176D" w:rsidR="00F32968">
        <w:rPr>
          <w:sz w:val="24"/>
          <w:szCs w:val="24"/>
          <w:lang w:val="fi-FI"/>
        </w:rPr>
        <w:tab/>
      </w:r>
      <w:r w:rsidRPr="0014176D">
        <w:rPr>
          <w:sz w:val="24"/>
          <w:szCs w:val="24"/>
          <w:lang w:val="fi-FI"/>
        </w:rPr>
        <w:t xml:space="preserve">EUT L 330, 20.9.2021, s. 1, ELI: </w:t>
      </w:r>
      <w:hyperlink r:id="rId2" w:tooltip="Ger tillgång till detta dokument via dess ELI-URI-adress." w:history="1">
        <w:r w:rsidRPr="0014176D">
          <w:rPr>
            <w:rStyle w:val="Hyperlink"/>
            <w:sz w:val="24"/>
            <w:szCs w:val="24"/>
            <w:lang w:val="fi-FI"/>
          </w:rPr>
          <w:t>http://data.europa.eu/eli/reg/2021/1529/oj</w:t>
        </w:r>
      </w:hyperlink>
      <w:r w:rsidRPr="0014176D">
        <w:rPr>
          <w:sz w:val="24"/>
          <w:szCs w:val="24"/>
          <w:lang w:val="fi-FI"/>
        </w:rPr>
        <w:t>.</w:t>
      </w:r>
    </w:p>
  </w:footnote>
  <w:footnote w:id="4">
    <w:p w:rsidR="005333B6" w:rsidRPr="0014176D" w:rsidP="00F32968" w14:paraId="5A169A05" w14:textId="522CE46D">
      <w:pPr>
        <w:pStyle w:val="FootnoteText"/>
        <w:ind w:left="567" w:hanging="567"/>
        <w:rPr>
          <w:sz w:val="24"/>
          <w:szCs w:val="24"/>
          <w:lang w:val="fi-FI"/>
        </w:rPr>
      </w:pPr>
      <w:r w:rsidRPr="0014176D">
        <w:rPr>
          <w:rStyle w:val="FootnoteReference"/>
          <w:sz w:val="24"/>
          <w:szCs w:val="24"/>
          <w:lang w:val="sv-SE"/>
        </w:rPr>
        <w:footnoteRef/>
      </w:r>
      <w:r w:rsidRPr="0014176D" w:rsidR="00F32968">
        <w:rPr>
          <w:sz w:val="24"/>
          <w:szCs w:val="24"/>
          <w:lang w:val="fi-FI"/>
        </w:rPr>
        <w:t xml:space="preserve"> </w:t>
      </w:r>
      <w:r w:rsidRPr="0014176D" w:rsidR="00F32968">
        <w:rPr>
          <w:sz w:val="24"/>
          <w:szCs w:val="24"/>
          <w:lang w:val="fi-FI"/>
        </w:rPr>
        <w:tab/>
      </w:r>
      <w:r w:rsidRPr="0014176D">
        <w:rPr>
          <w:sz w:val="24"/>
          <w:szCs w:val="24"/>
          <w:lang w:val="fi-FI"/>
        </w:rPr>
        <w:t xml:space="preserve">EUT L, 2024/1449, 24.5.2024, ELI: </w:t>
      </w:r>
      <w:hyperlink r:id="rId3" w:tgtFrame="_blank" w:tooltip="Ger tillgång till detta dokument via dess ELI-URI-adress." w:history="1">
        <w:r w:rsidRPr="0014176D">
          <w:rPr>
            <w:rStyle w:val="Hyperlink"/>
            <w:sz w:val="24"/>
            <w:szCs w:val="24"/>
            <w:lang w:val="fi-FI"/>
          </w:rPr>
          <w:t>http://data.europa.eu/eli/reg/2024/1449/oj</w:t>
        </w:r>
      </w:hyperlink>
      <w:r w:rsidRPr="0014176D">
        <w:rPr>
          <w:sz w:val="24"/>
          <w:szCs w:val="24"/>
          <w:lang w:val="fi-FI"/>
        </w:rPr>
        <w:t>.</w:t>
      </w:r>
    </w:p>
  </w:footnote>
  <w:footnote w:id="5">
    <w:p w:rsidR="005333B6" w:rsidRPr="0014176D" w:rsidP="00F32968" w14:paraId="301F879C" w14:textId="101F2789">
      <w:pPr>
        <w:pStyle w:val="FootnoteText"/>
        <w:ind w:left="567" w:hanging="567"/>
        <w:rPr>
          <w:sz w:val="24"/>
          <w:szCs w:val="24"/>
          <w:lang w:val="sv-SE"/>
        </w:rPr>
      </w:pPr>
      <w:r w:rsidRPr="0014176D">
        <w:rPr>
          <w:rStyle w:val="FootnoteReference"/>
          <w:sz w:val="24"/>
          <w:szCs w:val="24"/>
          <w:lang w:val="sv-SE"/>
        </w:rPr>
        <w:footnoteRef/>
      </w:r>
      <w:r w:rsidRPr="0014176D" w:rsidR="00F32968">
        <w:rPr>
          <w:sz w:val="24"/>
          <w:szCs w:val="24"/>
          <w:lang w:val="sv-SE"/>
        </w:rPr>
        <w:t xml:space="preserve"> </w:t>
      </w:r>
      <w:r w:rsidRPr="0014176D" w:rsidR="00F32968">
        <w:rPr>
          <w:sz w:val="24"/>
          <w:szCs w:val="24"/>
          <w:lang w:val="sv-SE"/>
        </w:rPr>
        <w:tab/>
      </w:r>
      <w:r w:rsidRPr="0014176D">
        <w:rPr>
          <w:sz w:val="24"/>
          <w:szCs w:val="24"/>
          <w:lang w:val="sv-SE"/>
        </w:rPr>
        <w:t>Antagna texter, P10_TA(2026)0077.</w:t>
      </w:r>
    </w:p>
  </w:footnote>
  <w:footnote w:id="6">
    <w:p w:rsidR="005333B6" w:rsidRPr="0014176D" w:rsidP="00F32968" w14:paraId="44A244B0" w14:textId="25289C33">
      <w:pPr>
        <w:pStyle w:val="FootnoteText"/>
        <w:ind w:left="567" w:hanging="567"/>
        <w:rPr>
          <w:sz w:val="24"/>
          <w:szCs w:val="24"/>
          <w:lang w:val="sv-SE"/>
        </w:rPr>
      </w:pPr>
      <w:r w:rsidRPr="0014176D">
        <w:rPr>
          <w:rStyle w:val="FootnoteReference"/>
          <w:sz w:val="24"/>
          <w:szCs w:val="24"/>
          <w:lang w:val="sv-SE"/>
        </w:rPr>
        <w:footnoteRef/>
      </w:r>
      <w:r w:rsidRPr="0014176D" w:rsidR="00F32968">
        <w:rPr>
          <w:sz w:val="24"/>
          <w:szCs w:val="24"/>
          <w:lang w:val="sv-SE"/>
        </w:rPr>
        <w:t xml:space="preserve"> </w:t>
      </w:r>
      <w:r w:rsidRPr="0014176D" w:rsidR="00F32968">
        <w:rPr>
          <w:sz w:val="24"/>
          <w:szCs w:val="24"/>
          <w:lang w:val="sv-SE"/>
        </w:rPr>
        <w:tab/>
      </w:r>
      <w:r w:rsidRPr="0014176D">
        <w:rPr>
          <w:sz w:val="24"/>
          <w:szCs w:val="24"/>
          <w:lang w:val="sv-SE"/>
        </w:rPr>
        <w:t>Europaparlamentets och rådets direktiv (EU) 2022/2555 av den 14 december 2022 om åtgärder för en hög gemensam cybersäkerhetsnivå i hela unionen, om ändring av förordning (EU) nr 910/2014 och direktiv (EU) 2018/1972 och om upphävande av direktiv (EU) 2016/1148 (NIS 2-direktivet) (EUT L 333, 27.12.2022, s. 80, ELI: </w:t>
      </w:r>
      <w:hyperlink r:id="rId4" w:tooltip="Ger tillgång till detta dokument via dess ELI-URI-adress." w:history="1">
        <w:r w:rsidRPr="0014176D">
          <w:rPr>
            <w:rStyle w:val="Hyperlink"/>
            <w:sz w:val="24"/>
            <w:szCs w:val="24"/>
            <w:lang w:val="sv-SE"/>
          </w:rPr>
          <w:t>http://data.europa.eu/</w:t>
        </w:r>
        <w:r w:rsidRPr="0014176D">
          <w:rPr>
            <w:rStyle w:val="Hyperlink"/>
            <w:sz w:val="24"/>
            <w:szCs w:val="24"/>
            <w:lang w:val="sv-SE"/>
          </w:rPr>
          <w:t>eli</w:t>
        </w:r>
        <w:r w:rsidRPr="0014176D">
          <w:rPr>
            <w:rStyle w:val="Hyperlink"/>
            <w:sz w:val="24"/>
            <w:szCs w:val="24"/>
            <w:lang w:val="sv-SE"/>
          </w:rPr>
          <w:t>/dir/2022/2555/oj</w:t>
        </w:r>
      </w:hyperlink>
      <w:r w:rsidRPr="0014176D">
        <w:rPr>
          <w:sz w:val="24"/>
          <w:szCs w:val="24"/>
          <w:lang w:val="sv-SE"/>
        </w:rPr>
        <w:t>).</w:t>
      </w:r>
    </w:p>
  </w:footnote>
  <w:footnote w:id="7">
    <w:p w:rsidR="000D5157" w:rsidRPr="0027717B" w:rsidP="0027717B" w14:paraId="717C75D1" w14:textId="301EACB1">
      <w:pPr>
        <w:pStyle w:val="FootnoteText"/>
        <w:ind w:left="567" w:hanging="567"/>
        <w:rPr>
          <w:sz w:val="24"/>
          <w:szCs w:val="24"/>
          <w:lang w:val="sv-SE"/>
        </w:rPr>
      </w:pPr>
      <w:r w:rsidRPr="0027717B">
        <w:rPr>
          <w:rStyle w:val="FootnoteReference"/>
          <w:sz w:val="24"/>
          <w:szCs w:val="24"/>
        </w:rPr>
        <w:footnoteRef/>
      </w:r>
      <w:r w:rsidRPr="0027717B">
        <w:rPr>
          <w:sz w:val="24"/>
          <w:szCs w:val="24"/>
          <w:lang w:val="sv-SE"/>
        </w:rPr>
        <w:t xml:space="preserve"> </w:t>
      </w:r>
      <w:r w:rsidRPr="0027717B">
        <w:rPr>
          <w:sz w:val="24"/>
          <w:szCs w:val="24"/>
          <w:lang w:val="sv-SE"/>
        </w:rPr>
        <w:tab/>
      </w:r>
      <w:r w:rsidRPr="0027717B">
        <w:rPr>
          <w:bCs/>
          <w:iCs/>
          <w:sz w:val="24"/>
          <w:szCs w:val="24"/>
          <w:lang w:val="sv-SE"/>
        </w:rPr>
        <w:t>Europaparlamentets och rådets direktiv 2009/147/EG av den 30 november 2009 om bevarande av vilda fåglar (EUT L 20, 26.1.2010, s. 7, ELI: </w:t>
      </w:r>
      <w:hyperlink r:id="rId5" w:tooltip="Ger tillgång till detta dokument via dess ELI-URI-adress." w:history="1">
        <w:r w:rsidRPr="0027717B">
          <w:rPr>
            <w:rStyle w:val="Hyperlink"/>
            <w:bCs/>
            <w:iCs/>
            <w:color w:val="0066FF"/>
            <w:sz w:val="24"/>
            <w:szCs w:val="24"/>
            <w:lang w:val="sv-SE"/>
          </w:rPr>
          <w:t>http://data.europa.eu/</w:t>
        </w:r>
        <w:r w:rsidRPr="0027717B">
          <w:rPr>
            <w:rStyle w:val="Hyperlink"/>
            <w:bCs/>
            <w:iCs/>
            <w:color w:val="0066FF"/>
            <w:sz w:val="24"/>
            <w:szCs w:val="24"/>
            <w:lang w:val="sv-SE"/>
          </w:rPr>
          <w:t>eli</w:t>
        </w:r>
        <w:r w:rsidRPr="0027717B">
          <w:rPr>
            <w:rStyle w:val="Hyperlink"/>
            <w:bCs/>
            <w:iCs/>
            <w:color w:val="0066FF"/>
            <w:sz w:val="24"/>
            <w:szCs w:val="24"/>
            <w:lang w:val="sv-SE"/>
          </w:rPr>
          <w:t>/dir/2009/147/oj</w:t>
        </w:r>
      </w:hyperlink>
      <w:r w:rsidRPr="0027717B">
        <w:rPr>
          <w:bCs/>
          <w:iCs/>
          <w:sz w:val="24"/>
          <w:szCs w:val="24"/>
          <w:lang w:val="sv-SE"/>
        </w:rPr>
        <w:t>).</w:t>
      </w:r>
    </w:p>
  </w:footnote>
  <w:footnote w:id="8">
    <w:p w:rsidR="000D5157" w:rsidRPr="0027717B" w:rsidP="0027717B" w14:paraId="18FA7961" w14:textId="59236CD9">
      <w:pPr>
        <w:pStyle w:val="FootnoteText"/>
        <w:ind w:left="567" w:hanging="567"/>
        <w:rPr>
          <w:sz w:val="24"/>
          <w:szCs w:val="24"/>
          <w:lang w:val="sv-SE"/>
        </w:rPr>
      </w:pPr>
      <w:r w:rsidRPr="0027717B">
        <w:rPr>
          <w:rStyle w:val="FootnoteReference"/>
          <w:sz w:val="24"/>
          <w:szCs w:val="24"/>
        </w:rPr>
        <w:footnoteRef/>
      </w:r>
      <w:r w:rsidRPr="0027717B">
        <w:rPr>
          <w:sz w:val="24"/>
          <w:szCs w:val="24"/>
          <w:lang w:val="sv-SE"/>
        </w:rPr>
        <w:t xml:space="preserve"> </w:t>
      </w:r>
      <w:r w:rsidRPr="0027717B">
        <w:rPr>
          <w:sz w:val="24"/>
          <w:szCs w:val="24"/>
          <w:lang w:val="sv-SE"/>
        </w:rPr>
        <w:tab/>
        <w:t>Rådets direktiv 92/43/EEG av den 21 maj 1992 om bevarande av livsmiljöer samt vilda djur och växter (EGT L 206, 22.7.1992, s. 7, ELI: </w:t>
      </w:r>
      <w:hyperlink r:id="rId6" w:tooltip="Ger tillgång till detta dokument via dess ELI-URI-adress." w:history="1">
        <w:r w:rsidRPr="0027717B">
          <w:rPr>
            <w:rStyle w:val="Hyperlink"/>
            <w:color w:val="0066FF"/>
            <w:sz w:val="24"/>
            <w:szCs w:val="24"/>
            <w:lang w:val="sv-SE"/>
          </w:rPr>
          <w:t>http://data.europa.eu/</w:t>
        </w:r>
        <w:r w:rsidRPr="0027717B">
          <w:rPr>
            <w:rStyle w:val="Hyperlink"/>
            <w:color w:val="0066FF"/>
            <w:sz w:val="24"/>
            <w:szCs w:val="24"/>
            <w:lang w:val="sv-SE"/>
          </w:rPr>
          <w:t>eli</w:t>
        </w:r>
        <w:r w:rsidRPr="0027717B">
          <w:rPr>
            <w:rStyle w:val="Hyperlink"/>
            <w:color w:val="0066FF"/>
            <w:sz w:val="24"/>
            <w:szCs w:val="24"/>
            <w:lang w:val="sv-SE"/>
          </w:rPr>
          <w:t>/dir/1992/43/oj</w:t>
        </w:r>
      </w:hyperlink>
      <w:r w:rsidRPr="0027717B">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968" w14:paraId="4AEE596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968" w14:paraId="656C242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32968" w14:paraId="38A999E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0925646">
    <w:abstractNumId w:val="9"/>
  </w:num>
  <w:num w:numId="2" w16cid:durableId="1483159586">
    <w:abstractNumId w:val="9"/>
  </w:num>
  <w:num w:numId="3" w16cid:durableId="624501501">
    <w:abstractNumId w:val="7"/>
  </w:num>
  <w:num w:numId="4" w16cid:durableId="1215853263">
    <w:abstractNumId w:val="7"/>
  </w:num>
  <w:num w:numId="5" w16cid:durableId="842089654">
    <w:abstractNumId w:val="6"/>
  </w:num>
  <w:num w:numId="6" w16cid:durableId="2126345295">
    <w:abstractNumId w:val="6"/>
  </w:num>
  <w:num w:numId="7" w16cid:durableId="841504080">
    <w:abstractNumId w:val="5"/>
  </w:num>
  <w:num w:numId="8" w16cid:durableId="1090736938">
    <w:abstractNumId w:val="5"/>
  </w:num>
  <w:num w:numId="9" w16cid:durableId="617835803">
    <w:abstractNumId w:val="4"/>
  </w:num>
  <w:num w:numId="10" w16cid:durableId="1064375972">
    <w:abstractNumId w:val="4"/>
  </w:num>
  <w:num w:numId="11" w16cid:durableId="1543861841">
    <w:abstractNumId w:val="8"/>
  </w:num>
  <w:num w:numId="12" w16cid:durableId="1862207981">
    <w:abstractNumId w:val="8"/>
  </w:num>
  <w:num w:numId="13" w16cid:durableId="931665460">
    <w:abstractNumId w:val="3"/>
  </w:num>
  <w:num w:numId="14" w16cid:durableId="8719413">
    <w:abstractNumId w:val="3"/>
  </w:num>
  <w:num w:numId="15" w16cid:durableId="404567983">
    <w:abstractNumId w:val="2"/>
  </w:num>
  <w:num w:numId="16" w16cid:durableId="2030448908">
    <w:abstractNumId w:val="2"/>
  </w:num>
  <w:num w:numId="17" w16cid:durableId="70473842">
    <w:abstractNumId w:val="1"/>
  </w:num>
  <w:num w:numId="18" w16cid:durableId="1889295093">
    <w:abstractNumId w:val="1"/>
  </w:num>
  <w:num w:numId="19" w16cid:durableId="529072971">
    <w:abstractNumId w:val="0"/>
  </w:num>
  <w:num w:numId="20" w16cid:durableId="1543590125">
    <w:abstractNumId w:val="0"/>
  </w:num>
  <w:num w:numId="21" w16cid:durableId="2020228682">
    <w:abstractNumId w:val="9"/>
  </w:num>
  <w:num w:numId="22" w16cid:durableId="827862860">
    <w:abstractNumId w:val="7"/>
  </w:num>
  <w:num w:numId="23" w16cid:durableId="1305887865">
    <w:abstractNumId w:val="6"/>
  </w:num>
  <w:num w:numId="24" w16cid:durableId="1163203019">
    <w:abstractNumId w:val="5"/>
  </w:num>
  <w:num w:numId="25" w16cid:durableId="1681931986">
    <w:abstractNumId w:val="4"/>
  </w:num>
  <w:num w:numId="26" w16cid:durableId="1316838862">
    <w:abstractNumId w:val="8"/>
  </w:num>
  <w:num w:numId="27" w16cid:durableId="1886797042">
    <w:abstractNumId w:val="3"/>
  </w:num>
  <w:num w:numId="28" w16cid:durableId="897517908">
    <w:abstractNumId w:val="2"/>
  </w:num>
  <w:num w:numId="29" w16cid:durableId="383064456">
    <w:abstractNumId w:val="1"/>
  </w:num>
  <w:num w:numId="30" w16cid:durableId="1563981895">
    <w:abstractNumId w:val="0"/>
  </w:num>
  <w:num w:numId="31" w16cid:durableId="1880849605">
    <w:abstractNumId w:val="9"/>
  </w:num>
  <w:num w:numId="32" w16cid:durableId="2134206052">
    <w:abstractNumId w:val="7"/>
  </w:num>
  <w:num w:numId="33" w16cid:durableId="152137526">
    <w:abstractNumId w:val="6"/>
  </w:num>
  <w:num w:numId="34" w16cid:durableId="1120761417">
    <w:abstractNumId w:val="5"/>
  </w:num>
  <w:num w:numId="35" w16cid:durableId="356463880">
    <w:abstractNumId w:val="4"/>
  </w:num>
  <w:num w:numId="36" w16cid:durableId="2042510423">
    <w:abstractNumId w:val="8"/>
  </w:num>
  <w:num w:numId="37" w16cid:durableId="1722286542">
    <w:abstractNumId w:val="3"/>
  </w:num>
  <w:num w:numId="38" w16cid:durableId="893656796">
    <w:abstractNumId w:val="2"/>
  </w:num>
  <w:num w:numId="39" w16cid:durableId="990980755">
    <w:abstractNumId w:val="1"/>
  </w:num>
  <w:num w:numId="40" w16cid:durableId="2037580844">
    <w:abstractNumId w:val="0"/>
  </w:num>
  <w:num w:numId="41" w16cid:durableId="546375612">
    <w:abstractNumId w:val="10"/>
  </w:num>
  <w:num w:numId="42" w16cid:durableId="190655591">
    <w:abstractNumId w:val="10"/>
  </w:num>
  <w:num w:numId="43" w16cid:durableId="1814374387">
    <w:abstractNumId w:val="10"/>
  </w:num>
  <w:num w:numId="44" w16cid:durableId="659426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348"/>
    <w:rsid w:val="00002272"/>
    <w:rsid w:val="00021217"/>
    <w:rsid w:val="00064002"/>
    <w:rsid w:val="000677B9"/>
    <w:rsid w:val="000831BA"/>
    <w:rsid w:val="000A42CC"/>
    <w:rsid w:val="000D5157"/>
    <w:rsid w:val="000E7DD9"/>
    <w:rsid w:val="0010095E"/>
    <w:rsid w:val="00125B37"/>
    <w:rsid w:val="0014176D"/>
    <w:rsid w:val="00187494"/>
    <w:rsid w:val="001F32AE"/>
    <w:rsid w:val="00213A55"/>
    <w:rsid w:val="002767FF"/>
    <w:rsid w:val="0027717B"/>
    <w:rsid w:val="002B18FE"/>
    <w:rsid w:val="002B5493"/>
    <w:rsid w:val="00343214"/>
    <w:rsid w:val="00346A52"/>
    <w:rsid w:val="00361C00"/>
    <w:rsid w:val="00395FA1"/>
    <w:rsid w:val="003E15D4"/>
    <w:rsid w:val="003E4D9D"/>
    <w:rsid w:val="00411CCE"/>
    <w:rsid w:val="0041666E"/>
    <w:rsid w:val="00421060"/>
    <w:rsid w:val="00471C19"/>
    <w:rsid w:val="004867E3"/>
    <w:rsid w:val="00494A28"/>
    <w:rsid w:val="004C0004"/>
    <w:rsid w:val="004C5D52"/>
    <w:rsid w:val="0050519A"/>
    <w:rsid w:val="005072A1"/>
    <w:rsid w:val="00514517"/>
    <w:rsid w:val="005333B6"/>
    <w:rsid w:val="00545827"/>
    <w:rsid w:val="00560270"/>
    <w:rsid w:val="0057578E"/>
    <w:rsid w:val="005C2568"/>
    <w:rsid w:val="005F1B17"/>
    <w:rsid w:val="006037C0"/>
    <w:rsid w:val="006631B6"/>
    <w:rsid w:val="00680577"/>
    <w:rsid w:val="006F74FA"/>
    <w:rsid w:val="00731ADD"/>
    <w:rsid w:val="00734777"/>
    <w:rsid w:val="00747932"/>
    <w:rsid w:val="00751A4A"/>
    <w:rsid w:val="00756632"/>
    <w:rsid w:val="00762C74"/>
    <w:rsid w:val="007779C6"/>
    <w:rsid w:val="00786EC0"/>
    <w:rsid w:val="007D1690"/>
    <w:rsid w:val="007E22AD"/>
    <w:rsid w:val="00817416"/>
    <w:rsid w:val="00842779"/>
    <w:rsid w:val="00865F67"/>
    <w:rsid w:val="00881A7B"/>
    <w:rsid w:val="008840E5"/>
    <w:rsid w:val="00887B3E"/>
    <w:rsid w:val="008C2AC6"/>
    <w:rsid w:val="008D45B6"/>
    <w:rsid w:val="00930C23"/>
    <w:rsid w:val="0093193B"/>
    <w:rsid w:val="0094752F"/>
    <w:rsid w:val="009509D8"/>
    <w:rsid w:val="00950B64"/>
    <w:rsid w:val="00981893"/>
    <w:rsid w:val="009E5823"/>
    <w:rsid w:val="00A1687D"/>
    <w:rsid w:val="00A43E52"/>
    <w:rsid w:val="00A4678D"/>
    <w:rsid w:val="00A56FA2"/>
    <w:rsid w:val="00A778C7"/>
    <w:rsid w:val="00AB441E"/>
    <w:rsid w:val="00AB6293"/>
    <w:rsid w:val="00AE0928"/>
    <w:rsid w:val="00AF3B82"/>
    <w:rsid w:val="00B0609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C71"/>
    <w:rsid w:val="00ED169E"/>
    <w:rsid w:val="00ED4235"/>
    <w:rsid w:val="00F04346"/>
    <w:rsid w:val="00F075DC"/>
    <w:rsid w:val="00F149E9"/>
    <w:rsid w:val="00F32968"/>
    <w:rsid w:val="00F5134D"/>
    <w:rsid w:val="00F74202"/>
    <w:rsid w:val="00F87713"/>
    <w:rsid w:val="00FB4360"/>
    <w:rsid w:val="00FD0C70"/>
    <w:rsid w:val="00FD2348"/>
  </w:rsids>
  <w:docVars>
    <w:docVar w:name="dvdocse" w:val="A10-0141/2026"/>
    <w:docVar w:name="dvlangue" w:val="SV"/>
    <w:docVar w:name="dvnumam" w:val="0"/>
    <w:docVar w:name="dvpe" w:val="784.259"/>
    <w:docVar w:name="dvrapporteur" w:val="Föredragande: "/>
    <w:docVar w:name="dvtitre" w:val="Europaparlamentets resolution av den xx xx 2026 om kommissionens rapport för 2025 om Albanien(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77FC80"/>
  <w15:chartTrackingRefBased/>
  <w15:docId w15:val="{4B56F736-B9F8-473A-B70C-70F54B37D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5333B6"/>
    <w:pPr>
      <w:keepNext/>
      <w:spacing w:after="480"/>
      <w:jc w:val="center"/>
    </w:pPr>
    <w:rPr>
      <w:rFonts w:ascii="Arial" w:hAnsi="Arial" w:cs="Arial"/>
      <w:b/>
    </w:rPr>
  </w:style>
  <w:style w:type="paragraph" w:customStyle="1" w:styleId="NormalBold">
    <w:name w:val="NormalBold"/>
    <w:basedOn w:val="Normal"/>
    <w:rsid w:val="005333B6"/>
    <w:rPr>
      <w:b/>
    </w:rPr>
  </w:style>
  <w:style w:type="paragraph" w:customStyle="1" w:styleId="NormalHanging12a">
    <w:name w:val="NormalHanging12a"/>
    <w:basedOn w:val="Normal"/>
    <w:link w:val="NormalHanging12aChar"/>
    <w:rsid w:val="005333B6"/>
    <w:pPr>
      <w:spacing w:after="240"/>
      <w:ind w:left="567" w:hanging="567"/>
    </w:pPr>
  </w:style>
  <w:style w:type="paragraph" w:customStyle="1" w:styleId="EPComma">
    <w:name w:val="EPComma"/>
    <w:basedOn w:val="Normal"/>
    <w:rsid w:val="005333B6"/>
    <w:pPr>
      <w:spacing w:before="480" w:after="240"/>
    </w:pPr>
  </w:style>
  <w:style w:type="character" w:styleId="Hyperlink">
    <w:name w:val="Hyperlink"/>
    <w:basedOn w:val="DefaultParagraphFont"/>
    <w:unhideWhenUsed/>
    <w:rsid w:val="005333B6"/>
    <w:rPr>
      <w:color w:val="0563C1" w:themeColor="hyperlink"/>
      <w:u w:val="single"/>
    </w:rPr>
  </w:style>
  <w:style w:type="character" w:customStyle="1" w:styleId="NormalHanging12aChar">
    <w:name w:val="NormalHanging12a Char"/>
    <w:basedOn w:val="DefaultParagraphFont"/>
    <w:link w:val="NormalHanging12a"/>
    <w:rsid w:val="005333B6"/>
    <w:rPr>
      <w:sz w:val="24"/>
      <w:lang w:val="sv-SE"/>
    </w:rPr>
  </w:style>
  <w:style w:type="paragraph" w:styleId="Revision">
    <w:name w:val="Revision"/>
    <w:hidden/>
    <w:uiPriority w:val="99"/>
    <w:semiHidden/>
    <w:rsid w:val="00021217"/>
    <w:rPr>
      <w:sz w:val="24"/>
      <w:lang w:val="sv-SE"/>
    </w:rPr>
  </w:style>
  <w:style w:type="character" w:styleId="CommentReference">
    <w:name w:val="annotation reference"/>
    <w:basedOn w:val="DefaultParagraphFont"/>
    <w:rsid w:val="00021217"/>
    <w:rPr>
      <w:sz w:val="16"/>
      <w:szCs w:val="16"/>
    </w:rPr>
  </w:style>
  <w:style w:type="paragraph" w:styleId="CommentText">
    <w:name w:val="annotation text"/>
    <w:basedOn w:val="Normal"/>
    <w:link w:val="CommentTextChar"/>
    <w:rsid w:val="00021217"/>
    <w:rPr>
      <w:sz w:val="20"/>
    </w:rPr>
  </w:style>
  <w:style w:type="character" w:customStyle="1" w:styleId="CommentTextChar">
    <w:name w:val="Comment Text Char"/>
    <w:basedOn w:val="DefaultParagraphFont"/>
    <w:link w:val="CommentText"/>
    <w:rsid w:val="00021217"/>
    <w:rPr>
      <w:lang w:val="sv-SE"/>
    </w:rPr>
  </w:style>
  <w:style w:type="paragraph" w:styleId="CommentSubject">
    <w:name w:val="annotation subject"/>
    <w:basedOn w:val="CommentText"/>
    <w:next w:val="CommentText"/>
    <w:link w:val="CommentSubjectChar"/>
    <w:rsid w:val="00021217"/>
    <w:rPr>
      <w:b/>
      <w:bCs/>
    </w:rPr>
  </w:style>
  <w:style w:type="character" w:customStyle="1" w:styleId="CommentSubjectChar">
    <w:name w:val="Comment Subject Char"/>
    <w:basedOn w:val="CommentTextChar"/>
    <w:link w:val="CommentSubject"/>
    <w:rsid w:val="00021217"/>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4874</Words>
  <Characters>34408</Characters>
  <Application>Microsoft Office Word</Application>
  <DocSecurity>0</DocSecurity>
  <Lines>286</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2026-06-17T15:30:00Z</dcterms:created>
  <dcterms:modified xsi:type="dcterms:W3CDTF">2026-06-17T15:30:00Z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A10-0141/2026</vt:lpwstr>
  </property>
  <property fmtid="{D5CDD505-2E9C-101B-9397-08002B2CF9AE}" pid="4" name="&lt;Type&gt;">
    <vt:lpwstr>RR</vt:lpwstr>
  </property>
</Properties>
</file>