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1F6FBD" w14:textId="77777777" w:rsidTr="0010095E">
        <w:tblPrEx>
          <w:tblW w:w="9072" w:type="dxa"/>
          <w:tblLook w:val="01E0"/>
        </w:tblPrEx>
        <w:trPr>
          <w:trHeight w:hRule="exact" w:val="1418"/>
        </w:trPr>
        <w:tc>
          <w:tcPr>
            <w:tcW w:w="6804" w:type="dxa"/>
            <w:shd w:val="clear" w:color="auto" w:fill="auto"/>
            <w:vAlign w:val="center"/>
          </w:tcPr>
          <w:p w:rsidR="00751A4A" w:rsidRPr="00CB708D" w:rsidP="0010095E" w14:paraId="73530F2E" w14:textId="099354C8">
            <w:pPr>
              <w:pStyle w:val="EPName"/>
            </w:pPr>
            <w:r w:rsidRPr="00CB708D">
              <w:t>Европейски</w:t>
            </w:r>
            <w:r w:rsidRPr="00CB708D" w:rsidR="00E34D5E">
              <w:t xml:space="preserve"> парламент</w:t>
            </w:r>
          </w:p>
          <w:p w:rsidR="00751A4A" w:rsidRPr="00CB708D" w:rsidP="005F1B17" w14:paraId="547A3DB0" w14:textId="12151487">
            <w:pPr>
              <w:pStyle w:val="EPTerm"/>
              <w:rPr>
                <w:rStyle w:val="HideTWBExt"/>
                <w:noProof w:val="0"/>
                <w:vanish w:val="0"/>
                <w:color w:val="auto"/>
              </w:rPr>
            </w:pPr>
            <w:r w:rsidRPr="00CB708D">
              <w:t>2024</w:t>
            </w:r>
            <w:r w:rsidR="00300F2D">
              <w:rPr>
                <w:lang w:val="en-GB"/>
              </w:rPr>
              <w:t> – </w:t>
            </w:r>
            <w:r w:rsidRPr="00CB708D" w:rsidR="00817416">
              <w:t>202</w:t>
            </w:r>
            <w:r w:rsidRPr="00CB708D">
              <w:t>9</w:t>
            </w:r>
          </w:p>
        </w:tc>
        <w:tc>
          <w:tcPr>
            <w:tcW w:w="2268" w:type="dxa"/>
            <w:shd w:val="clear" w:color="auto" w:fill="auto"/>
          </w:tcPr>
          <w:p w:rsidR="00751A4A" w:rsidRPr="00CB708D" w:rsidP="0010095E" w14:paraId="709D6B04" w14:textId="77777777">
            <w:pPr>
              <w:pStyle w:val="EPLogo"/>
            </w:pPr>
            <w:r w:rsidRPr="00CB70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B708D" w:rsidP="004C5D52" w14:paraId="6B0E8617" w14:textId="77777777">
      <w:pPr>
        <w:pStyle w:val="LineTop"/>
      </w:pPr>
    </w:p>
    <w:p w:rsidR="00680577" w:rsidRPr="00CB708D" w:rsidP="00680577" w14:paraId="273B17CB" w14:textId="77777777">
      <w:pPr>
        <w:pStyle w:val="EPBodyTA1"/>
      </w:pPr>
      <w:r w:rsidRPr="00CB708D">
        <w:t>ПРИЕТИ ТЕКСТОВЕ</w:t>
      </w:r>
    </w:p>
    <w:p w:rsidR="00D058B8" w:rsidRPr="00CB708D" w:rsidP="00D058B8" w14:paraId="210C8EE7" w14:textId="77777777">
      <w:pPr>
        <w:pStyle w:val="LineBottom"/>
      </w:pPr>
    </w:p>
    <w:p w:rsidR="00E34D5E" w:rsidRPr="00CB708D" w:rsidP="00E34D5E" w14:paraId="79D30AAF" w14:textId="17815CD1">
      <w:pPr>
        <w:pStyle w:val="ATHeading1"/>
      </w:pPr>
      <w:bookmarkStart w:id="0" w:name="TANumber"/>
      <w:r w:rsidRPr="00CB708D">
        <w:t>P10_TA(2026)0</w:t>
      </w:r>
      <w:r w:rsidR="00DA5EB8">
        <w:t>218</w:t>
      </w:r>
      <w:bookmarkEnd w:id="0"/>
    </w:p>
    <w:p w:rsidR="00E34D5E" w:rsidRPr="00CB708D" w:rsidP="00E34D5E" w14:paraId="304DC274" w14:textId="77777777">
      <w:pPr>
        <w:pStyle w:val="ATHeading2"/>
      </w:pPr>
      <w:bookmarkStart w:id="1" w:name="title"/>
      <w:r w:rsidRPr="00CB708D">
        <w:t>Доклад на Комисията относно Северна Македония за 2025 г.</w:t>
      </w:r>
      <w:bookmarkEnd w:id="1"/>
    </w:p>
    <w:p w:rsidR="00E34D5E" w:rsidRPr="00CB708D" w:rsidP="00E34D5E" w14:paraId="32299EC1" w14:textId="77777777">
      <w:pPr>
        <w:rPr>
          <w:i/>
          <w:vanish/>
        </w:rPr>
      </w:pPr>
      <w:r>
        <w:rPr>
          <w:i/>
        </w:rPr>
        <w:fldChar w:fldCharType="begin"/>
      </w:r>
      <w:r w:rsidRPr="00CB708D">
        <w:rPr>
          <w:i/>
        </w:rPr>
        <w:instrText xml:space="preserve"> TC"(</w:instrText>
      </w:r>
      <w:bookmarkStart w:id="2" w:name="DocNumber"/>
      <w:r w:rsidRPr="00CB708D">
        <w:rPr>
          <w:i/>
        </w:rPr>
        <w:instrText>A10-0162/2026</w:instrText>
      </w:r>
      <w:bookmarkEnd w:id="2"/>
      <w:r w:rsidRPr="00CB708D">
        <w:rPr>
          <w:i/>
        </w:rPr>
        <w:instrText xml:space="preserve"> - Докладчик: Томас </w:instrText>
      </w:r>
      <w:r w:rsidRPr="00CB708D">
        <w:rPr>
          <w:i/>
        </w:rPr>
        <w:instrText>Вайц</w:instrText>
      </w:r>
      <w:r w:rsidRPr="00CB708D">
        <w:rPr>
          <w:i/>
        </w:rPr>
        <w:instrText xml:space="preserve">)"\l3 \n&gt; \* MERGEFORMAT </w:instrText>
      </w:r>
      <w:r>
        <w:rPr>
          <w:i/>
        </w:rPr>
        <w:fldChar w:fldCharType="end"/>
      </w:r>
    </w:p>
    <w:p w:rsidR="00E34D5E" w:rsidRPr="00CB708D" w:rsidP="00E34D5E" w14:paraId="01BC17F3" w14:textId="77777777">
      <w:pPr>
        <w:rPr>
          <w:vanish/>
        </w:rPr>
      </w:pPr>
      <w:bookmarkStart w:id="3" w:name="Commission"/>
      <w:r w:rsidRPr="00CB708D">
        <w:rPr>
          <w:vanish/>
        </w:rPr>
        <w:t>Комисия по външни работи</w:t>
      </w:r>
      <w:bookmarkEnd w:id="3"/>
    </w:p>
    <w:p w:rsidR="00E34D5E" w:rsidRPr="00CB708D" w:rsidP="00E34D5E" w14:paraId="27EF83D8" w14:textId="77777777">
      <w:pPr>
        <w:rPr>
          <w:vanish/>
        </w:rPr>
      </w:pPr>
      <w:bookmarkStart w:id="4" w:name="PE"/>
      <w:r w:rsidRPr="00CB708D">
        <w:rPr>
          <w:vanish/>
        </w:rPr>
        <w:t>PE784.260</w:t>
      </w:r>
      <w:bookmarkEnd w:id="4"/>
    </w:p>
    <w:p w:rsidR="00E34D5E" w:rsidRPr="00CB708D" w:rsidP="00E34D5E" w14:paraId="2AA1C2A6" w14:textId="44E7DB6C">
      <w:pPr>
        <w:pStyle w:val="ATHeading3"/>
      </w:pPr>
      <w:bookmarkStart w:id="5" w:name="Sujet"/>
      <w:r w:rsidRPr="00CB708D">
        <w:t xml:space="preserve">Резолюция на Европейския парламент от </w:t>
      </w:r>
      <w:r w:rsidR="00300F2D">
        <w:rPr>
          <w:lang w:val="en-GB"/>
        </w:rPr>
        <w:t xml:space="preserve">17 </w:t>
      </w:r>
      <w:r w:rsidR="00300F2D">
        <w:t>юни</w:t>
      </w:r>
      <w:r w:rsidRPr="00CB708D">
        <w:t xml:space="preserve"> 2026 г. относно доклада на Комисията за Северна Македония за 2025 г.</w:t>
      </w:r>
      <w:bookmarkEnd w:id="5"/>
      <w:r w:rsidRPr="00CB708D">
        <w:t xml:space="preserve"> </w:t>
      </w:r>
      <w:bookmarkStart w:id="6" w:name="References"/>
      <w:r w:rsidRPr="00CB708D">
        <w:t>(2025/2254(INI))</w:t>
      </w:r>
      <w:bookmarkEnd w:id="6"/>
    </w:p>
    <w:p w:rsidR="00171C6F" w:rsidRPr="00CB708D" w:rsidP="00171C6F" w14:paraId="06620EFC" w14:textId="77777777">
      <w:pPr>
        <w:pStyle w:val="EPComma"/>
      </w:pPr>
      <w:r w:rsidRPr="00CB708D">
        <w:rPr>
          <w:i/>
          <w:iCs/>
        </w:rPr>
        <w:t>Европейският парламент</w:t>
      </w:r>
      <w:r w:rsidRPr="00CB708D">
        <w:t>,</w:t>
      </w:r>
    </w:p>
    <w:p w:rsidR="00171C6F" w:rsidRPr="00CB708D" w:rsidP="00171C6F" w14:paraId="7AE5865A" w14:textId="77777777">
      <w:pPr>
        <w:pStyle w:val="NormalHanging12a"/>
      </w:pPr>
      <w:r w:rsidRPr="00CB708D">
        <w:t>–</w:t>
      </w:r>
      <w:r w:rsidRPr="00CB708D">
        <w:tab/>
        <w:t>като взе предвид Споразумението за стабилизиране и асоцииране между Европейските общности и техните държави членки, от една страна, и Република Северна Македония, от друга страна</w:t>
      </w:r>
      <w:r>
        <w:rPr>
          <w:vertAlign w:val="superscript"/>
        </w:rPr>
        <w:footnoteReference w:id="2"/>
      </w:r>
      <w:r w:rsidRPr="00CB708D">
        <w:t>,</w:t>
      </w:r>
    </w:p>
    <w:p w:rsidR="00171C6F" w:rsidRPr="00CB708D" w:rsidP="00171C6F" w14:paraId="52601C5C" w14:textId="77777777">
      <w:pPr>
        <w:pStyle w:val="NormalHanging12a"/>
      </w:pPr>
      <w:r w:rsidRPr="00CB708D">
        <w:t>–</w:t>
      </w:r>
      <w:r w:rsidRPr="00CB708D">
        <w:tab/>
        <w:t>като взе предвид кандидатурата на Северна Македония за членство в Европейския съюз, внесена на 22 март 2004 г.,</w:t>
      </w:r>
    </w:p>
    <w:p w:rsidR="00171C6F" w:rsidRPr="00CB708D" w:rsidP="00171C6F" w14:paraId="4C2CE464" w14:textId="77777777">
      <w:pPr>
        <w:pStyle w:val="NormalHanging12a"/>
      </w:pPr>
      <w:r w:rsidRPr="00CB708D">
        <w:t>–</w:t>
      </w:r>
      <w:r w:rsidRPr="00CB708D">
        <w:tab/>
        <w:t>като взе предвид решението на Европейския съвет от 16 декември 2005 г. за предоставяне на Северна Македония на статут на държава – кандидатка за членство в ЕС,</w:t>
      </w:r>
    </w:p>
    <w:p w:rsidR="00171C6F" w:rsidRPr="00CB708D" w:rsidP="00171C6F" w14:paraId="7142AA8A" w14:textId="77777777">
      <w:pPr>
        <w:spacing w:after="240"/>
        <w:ind w:left="567" w:hanging="567"/>
        <w:rPr>
          <w:bCs/>
          <w:iCs/>
        </w:rPr>
      </w:pPr>
      <w:r w:rsidRPr="00CB708D">
        <w:t>–</w:t>
      </w:r>
      <w:r w:rsidRPr="00CB708D">
        <w:tab/>
        <w:t>като взе предвид заключенията на Съвета от 18 юли 2022 г. относно разширяването – Северна Македония и Албания, и заключенията на Съвета относно разширяването от 17 декември 2024 г.</w:t>
      </w:r>
    </w:p>
    <w:p w:rsidR="00171C6F" w:rsidRPr="00CB708D" w:rsidP="00171C6F" w14:paraId="259564A6" w14:textId="77777777">
      <w:pPr>
        <w:pStyle w:val="NormalHanging12a"/>
      </w:pPr>
      <w:r w:rsidRPr="00CB708D">
        <w:t>–</w:t>
      </w:r>
      <w:r w:rsidRPr="00CB708D">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Pr>
          <w:vertAlign w:val="superscript"/>
        </w:rPr>
        <w:footnoteReference w:id="3"/>
      </w:r>
      <w:r w:rsidRPr="00CB708D">
        <w:t>,</w:t>
      </w:r>
    </w:p>
    <w:p w:rsidR="00171C6F" w:rsidRPr="00CB708D" w:rsidP="00171C6F" w14:paraId="6F42F929" w14:textId="77777777">
      <w:pPr>
        <w:pStyle w:val="NormalHanging12a"/>
      </w:pPr>
      <w:r w:rsidRPr="00CB708D">
        <w:t>–</w:t>
      </w:r>
      <w:r w:rsidRPr="00CB708D">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Pr>
          <w:vertAlign w:val="superscript"/>
        </w:rPr>
        <w:footnoteReference w:id="4"/>
      </w:r>
      <w:r w:rsidRPr="00CB708D">
        <w:t>,</w:t>
      </w:r>
    </w:p>
    <w:p w:rsidR="00171C6F" w:rsidRPr="00CB708D" w:rsidP="00171C6F" w14:paraId="775D9752" w14:textId="77777777">
      <w:pPr>
        <w:pStyle w:val="NormalHanging12a"/>
      </w:pPr>
      <w:r w:rsidRPr="00CB708D">
        <w:t>–</w:t>
      </w:r>
      <w:r w:rsidRPr="00CB708D">
        <w:tab/>
        <w:t xml:space="preserve">като взе предвид програмата за реформи на Северна Македония, одобрена на 23 октомври 2024 г. от Комисията в рамките на Инструмента за реформи и растеж </w:t>
      </w:r>
      <w:r w:rsidRPr="00CB708D">
        <w:t>за Западните Балкани,</w:t>
      </w:r>
    </w:p>
    <w:p w:rsidR="00171C6F" w:rsidRPr="00CB708D" w:rsidP="00171C6F" w14:paraId="5C8327B0" w14:textId="77777777">
      <w:pPr>
        <w:pStyle w:val="NormalHanging12a"/>
      </w:pPr>
      <w:r w:rsidRPr="00CB708D">
        <w:t>–</w:t>
      </w:r>
      <w:r w:rsidRPr="00CB708D">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rsidR="00171C6F" w:rsidRPr="00CB708D" w:rsidP="00171C6F" w14:paraId="2E96715E" w14:textId="77777777">
      <w:pPr>
        <w:pStyle w:val="NormalHanging12a"/>
      </w:pPr>
      <w:r w:rsidRPr="00CB708D">
        <w:t>–</w:t>
      </w:r>
      <w:r w:rsidRPr="00CB708D">
        <w:tab/>
        <w:t>като взе предвид съобщението на Комисията от 8 ноември 2023 г., озаглавено „Нов план за растеж за Западните Балкани“ (COM(2023)0691),</w:t>
      </w:r>
    </w:p>
    <w:p w:rsidR="00171C6F" w:rsidRPr="00CB708D" w:rsidP="00171C6F" w14:paraId="5C87E23D" w14:textId="77777777">
      <w:pPr>
        <w:pStyle w:val="NormalHanging12a"/>
      </w:pPr>
      <w:r w:rsidRPr="00CB708D">
        <w:t>–</w:t>
      </w:r>
      <w:r w:rsidRPr="00CB708D">
        <w:tab/>
        <w:t>като взе предвид съобщението на Комисията от 20 март 2024 г. относно реформите и прегледите на политиките преди разширяването (COM(2024)0146),</w:t>
      </w:r>
    </w:p>
    <w:p w:rsidR="00171C6F" w:rsidRPr="00CB708D" w:rsidP="00171C6F" w14:paraId="63FF15C0" w14:textId="77777777">
      <w:pPr>
        <w:pStyle w:val="NormalHanging12a"/>
      </w:pPr>
      <w:r w:rsidRPr="00CB708D">
        <w:t>–</w:t>
      </w:r>
      <w:r w:rsidRPr="00CB708D">
        <w:tab/>
        <w:t>като взе предвид съобщението на Комисията от 8 юли 2025 г., озаглавено „Доклад относно върховенството на закона за 2025 г.“ (COM(2025)0900), придружено от работния документ на службите на Комисията, озаглавен „Доклад относно върховенството на закона за 2025 г. – Глави по държави: ситуация в областта на върховенството на закона в Северна Македония“ (SWD(2025)0930),</w:t>
      </w:r>
    </w:p>
    <w:p w:rsidR="00171C6F" w:rsidRPr="00CB708D" w:rsidP="00171C6F" w14:paraId="4BF24D8D" w14:textId="77777777">
      <w:pPr>
        <w:pStyle w:val="NormalHanging12a"/>
      </w:pPr>
      <w:r w:rsidRPr="00CB708D">
        <w:t>–</w:t>
      </w:r>
      <w:r w:rsidRPr="00CB708D">
        <w:tab/>
        <w:t>като взе предвид съобщението на Комисията от 4 ноември 2025 г., озаглавено „Съобщение относно политиката на ЕС за разширяване за 2025 г.“ (COM(2025)0690), придружено от работния документ на службите на Комисията, озаглавен „Доклад за Северна Македония за 2025 г.“ (SWD(2025)0753),</w:t>
      </w:r>
    </w:p>
    <w:p w:rsidR="00171C6F" w:rsidRPr="00CB708D" w:rsidP="00171C6F" w14:paraId="2995FC28" w14:textId="77777777">
      <w:pPr>
        <w:spacing w:after="240"/>
        <w:ind w:left="567" w:hanging="567"/>
        <w:rPr>
          <w:bCs/>
          <w:iCs/>
        </w:rPr>
      </w:pPr>
      <w:r w:rsidRPr="00CB708D">
        <w:t>–</w:t>
      </w:r>
      <w:r w:rsidRPr="00CB708D">
        <w:tab/>
        <w:t xml:space="preserve">като взе предвид Европейската конвенция за правата на човека и съдебната практика на Европейския съд по правата на човека, </w:t>
      </w:r>
    </w:p>
    <w:p w:rsidR="00171C6F" w:rsidRPr="00CB708D" w:rsidP="00171C6F" w14:paraId="79F74D84" w14:textId="77777777">
      <w:pPr>
        <w:spacing w:after="240"/>
        <w:ind w:left="567" w:hanging="567"/>
        <w:rPr>
          <w:bCs/>
          <w:iCs/>
        </w:rPr>
      </w:pPr>
      <w:r w:rsidRPr="00CB708D">
        <w:t>–</w:t>
      </w:r>
      <w:r w:rsidRPr="00CB708D">
        <w:tab/>
        <w:t xml:space="preserve">като взе предвид срещите на върха ЕС – Западни Балкани, проведени в София, Загреб и Бърдо край Кран съответно през 2018 г., 2020 г. и 2021 г., и последващите декларации, </w:t>
      </w:r>
    </w:p>
    <w:p w:rsidR="00171C6F" w:rsidRPr="00CB708D" w:rsidP="00171C6F" w14:paraId="1F65A9A1" w14:textId="77777777">
      <w:pPr>
        <w:pStyle w:val="NormalHanging12a"/>
      </w:pPr>
      <w:r w:rsidRPr="00CB708D">
        <w:t>–</w:t>
      </w:r>
      <w:r w:rsidRPr="00CB708D">
        <w:tab/>
        <w:t>като взе предвид декларацията от срещата на върха ЕС – Западни Балкани, проведена в Брюксел на 17 декември 2025 г.,</w:t>
      </w:r>
    </w:p>
    <w:p w:rsidR="00171C6F" w:rsidRPr="00CB708D" w:rsidP="00171C6F" w14:paraId="1A2955E4" w14:textId="77777777">
      <w:pPr>
        <w:pStyle w:val="NormalHanging12a"/>
      </w:pPr>
      <w:r w:rsidRPr="00CB708D">
        <w:t>–</w:t>
      </w:r>
      <w:r w:rsidRPr="00CB708D">
        <w:tab/>
        <w:t xml:space="preserve">като взе предвид окончателния доклад от 23 септември 2024 г. на мисията за наблюдение на изборите на Бюрото за демократични институции и права на човека (БДИПЧ) към Организацията за сигурност и сътрудничество в Европа (ОССЕ) относно президентските и парламентарните избори в Северна Македония, проведени съответно на 24 април 2024 г. и 8 май 2024 г., </w:t>
      </w:r>
    </w:p>
    <w:p w:rsidR="00171C6F" w:rsidRPr="00CB708D" w:rsidP="00171C6F" w14:paraId="3ED0BB7C" w14:textId="77777777">
      <w:pPr>
        <w:spacing w:after="240"/>
        <w:ind w:left="567" w:hanging="567"/>
        <w:rPr>
          <w:bCs/>
          <w:iCs/>
        </w:rPr>
      </w:pPr>
      <w:r w:rsidRPr="00CB708D">
        <w:t>–</w:t>
      </w:r>
      <w:r w:rsidRPr="00CB708D">
        <w:tab/>
        <w:t xml:space="preserve">като взе предвид деветнадесетата среща на Комитета за стабилизиране и асоцииране между Европейския съюз и Република Северна Македония, </w:t>
      </w:r>
    </w:p>
    <w:p w:rsidR="00171C6F" w:rsidRPr="00CB708D" w:rsidP="00171C6F" w14:paraId="68B54B9A" w14:textId="77777777">
      <w:pPr>
        <w:pStyle w:val="NormalHanging12a"/>
      </w:pPr>
      <w:r w:rsidRPr="00CB708D">
        <w:t>–</w:t>
      </w:r>
      <w:r w:rsidRPr="00CB708D">
        <w:tab/>
        <w:t>като взе предвид съвместните препоръки, приети на 24-тото заседание на Съвместния парламентарен комитет ЕС – Северна Македония, проведено на 26 и 27 ноември 2025 г. в Страсбург,</w:t>
      </w:r>
    </w:p>
    <w:p w:rsidR="00171C6F" w:rsidRPr="00CB708D" w:rsidP="00171C6F" w14:paraId="0E223EB2" w14:textId="77777777">
      <w:pPr>
        <w:pStyle w:val="NormalHanging12a"/>
      </w:pPr>
      <w:r w:rsidRPr="00CB708D">
        <w:t>–</w:t>
      </w:r>
      <w:r w:rsidRPr="00CB708D">
        <w:tab/>
        <w:t xml:space="preserve">като взе предвид предходните си </w:t>
      </w:r>
      <w:bookmarkStart w:id="7" w:name="_Hlk222322460"/>
      <w:r w:rsidRPr="00CB708D">
        <w:t>резолюции относно Северна Македония, и по-специално своята резолюция от 24 октомври 2019 г. относно започването на преговори за присъединяване със Северна Македония и Албания</w:t>
      </w:r>
      <w:r>
        <w:rPr>
          <w:rStyle w:val="FootnoteReference"/>
        </w:rPr>
        <w:footnoteReference w:id="5"/>
      </w:r>
      <w:bookmarkEnd w:id="7"/>
      <w:r w:rsidRPr="00CB708D">
        <w:t>,</w:t>
      </w:r>
    </w:p>
    <w:p w:rsidR="00171C6F" w:rsidRPr="00CB708D" w:rsidP="00171C6F" w14:paraId="52CBEDC8" w14:textId="77777777">
      <w:pPr>
        <w:spacing w:after="240"/>
        <w:ind w:left="567" w:hanging="567"/>
        <w:rPr>
          <w:bCs/>
          <w:iCs/>
        </w:rPr>
      </w:pPr>
      <w:r w:rsidRPr="00CB708D">
        <w:t>–</w:t>
      </w:r>
      <w:r w:rsidRPr="00CB708D">
        <w:tab/>
        <w:t xml:space="preserve">като взе предвид своята резолюция от 29 февруари 2024 г. относно </w:t>
      </w:r>
      <w:r w:rsidRPr="00CB708D">
        <w:t>задълбочаването на европейската интеграция с оглед на бъдещото разширяване</w:t>
      </w:r>
      <w:r>
        <w:rPr>
          <w:rStyle w:val="FootnoteReference"/>
          <w:bCs/>
          <w:iCs/>
        </w:rPr>
        <w:footnoteReference w:id="6"/>
      </w:r>
      <w:r w:rsidRPr="00CB708D">
        <w:t>,</w:t>
      </w:r>
    </w:p>
    <w:p w:rsidR="00171C6F" w:rsidRPr="00CB708D" w:rsidP="00171C6F" w14:paraId="746DF78E" w14:textId="77777777">
      <w:pPr>
        <w:spacing w:after="240"/>
        <w:ind w:left="567" w:hanging="567"/>
        <w:rPr>
          <w:bCs/>
          <w:iCs/>
        </w:rPr>
      </w:pPr>
      <w:r w:rsidRPr="00CB708D">
        <w:t>–</w:t>
      </w:r>
      <w:r w:rsidRPr="00CB708D">
        <w:tab/>
        <w:t>като взе предвид своята резолюция от 11 март 2026 г. относно стратегията на ЕС за разширяване</w:t>
      </w:r>
      <w:r>
        <w:rPr>
          <w:rStyle w:val="FootnoteReference"/>
          <w:bCs/>
          <w:iCs/>
        </w:rPr>
        <w:footnoteReference w:id="7"/>
      </w:r>
      <w:r w:rsidRPr="00CB708D">
        <w:t>,</w:t>
      </w:r>
    </w:p>
    <w:p w:rsidR="00171C6F" w:rsidRPr="00CB708D" w:rsidP="00171C6F" w14:paraId="39BF03FD" w14:textId="77777777">
      <w:pPr>
        <w:spacing w:after="240"/>
        <w:ind w:left="567" w:hanging="567"/>
        <w:rPr>
          <w:bCs/>
          <w:iCs/>
        </w:rPr>
      </w:pPr>
      <w:r w:rsidRPr="00CB708D">
        <w:t>–</w:t>
      </w:r>
      <w:r w:rsidRPr="00CB708D">
        <w:tab/>
        <w:t>като взе предвид Охридското рамково споразумение от 2001 г.,</w:t>
      </w:r>
    </w:p>
    <w:p w:rsidR="00171C6F" w:rsidRPr="00CB708D" w:rsidP="00171C6F" w14:paraId="7008CF0F" w14:textId="77777777">
      <w:pPr>
        <w:pStyle w:val="NormalHanging12a"/>
      </w:pPr>
      <w:r w:rsidRPr="00CB708D">
        <w:t>–</w:t>
      </w:r>
      <w:r w:rsidRPr="00CB708D">
        <w:tab/>
        <w:t>като взе предвид Договора за приятелство, добросъседство и сътрудничество между България и Северна Македония, подписан на 1 август 2017 г. и ратифициран през януари 2018 г.,</w:t>
      </w:r>
    </w:p>
    <w:p w:rsidR="00171C6F" w:rsidRPr="00CB708D" w:rsidP="00171C6F" w14:paraId="1CFC5D99" w14:textId="77777777">
      <w:pPr>
        <w:pStyle w:val="NormalHanging12a"/>
      </w:pPr>
      <w:r w:rsidRPr="00CB708D">
        <w:t>–</w:t>
      </w:r>
      <w:r w:rsidRPr="00CB708D">
        <w:tab/>
        <w:t>като взе предвид Окончателното споразумение за уреждане на различията според описаното в Резолюции № 817 (1993 г.) и № 845 (1993 г.) на Съвета за сигурност на ООН, прекратяването на Временното споразумение от 1995 г. и установяването на стратегическо партньорство между Гърция и Северна Македония от 17 юни 2018 г., известно още като Преспанското споразумение,</w:t>
      </w:r>
    </w:p>
    <w:p w:rsidR="00171C6F" w:rsidRPr="00CB708D" w:rsidP="00171C6F" w14:paraId="189F86D5" w14:textId="77777777">
      <w:pPr>
        <w:pStyle w:val="NormalHanging12a"/>
      </w:pPr>
      <w:r w:rsidRPr="00CB708D">
        <w:t>–</w:t>
      </w:r>
      <w:r w:rsidRPr="00CB708D">
        <w:tab/>
        <w:t>като взе предвид Третата конференция на ООН за стандартизация на географските наименования през 1977 г.,</w:t>
      </w:r>
    </w:p>
    <w:p w:rsidR="00171C6F" w:rsidRPr="00CB708D" w:rsidP="00171C6F" w14:paraId="3B046176" w14:textId="77777777">
      <w:pPr>
        <w:pStyle w:val="NormalHanging12a"/>
      </w:pPr>
      <w:r w:rsidRPr="00CB708D">
        <w:t>–</w:t>
      </w:r>
      <w:r w:rsidRPr="00CB708D">
        <w:tab/>
        <w:t>като взе предвид диалога със Северна Македония след наблюдението и съответния доклад, приет от Парламентарната асамблея на Съвета на Европа (ПАСЕ) на 8 януари 2026 г.,</w:t>
      </w:r>
    </w:p>
    <w:p w:rsidR="00171C6F" w:rsidRPr="00CB708D" w:rsidP="00171C6F" w14:paraId="321BBBAB" w14:textId="77777777">
      <w:pPr>
        <w:spacing w:after="240"/>
        <w:ind w:left="567" w:hanging="567"/>
        <w:rPr>
          <w:bCs/>
          <w:iCs/>
        </w:rPr>
      </w:pPr>
      <w:r w:rsidRPr="00CB708D">
        <w:t>–</w:t>
      </w:r>
      <w:r w:rsidRPr="00CB708D">
        <w:tab/>
        <w:t>като взе предвид шестия доклад на Европейската комисия срещу расизма и нетърпимостта (ЕКРН) относно Северна Македония, приет на 29 юни 2023 г.,</w:t>
      </w:r>
    </w:p>
    <w:p w:rsidR="00171C6F" w:rsidRPr="00CB708D" w:rsidP="00171C6F" w14:paraId="6CFB53C1" w14:textId="77777777">
      <w:pPr>
        <w:spacing w:after="240"/>
        <w:ind w:left="567" w:hanging="567"/>
        <w:rPr>
          <w:bCs/>
          <w:iCs/>
        </w:rPr>
      </w:pPr>
      <w:r w:rsidRPr="00CB708D">
        <w:t>–</w:t>
      </w:r>
      <w:r w:rsidRPr="00CB708D">
        <w:tab/>
        <w:t>като взе предвид съвместния работен документ на службите на Комисията, озаглавен „Цели и показатели за рамка за изпълнението на третия план за действие относно равенството между половете (2021 – 2025 г.)“ (SWD(2020)0284), придружаващ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Визия за амбиции за равенство между половете и овластяване на жените във външната дейност на ЕС“ (JOIN(2020)0017), както и плана за изпълнение на национално равнище за Северна Македония (CLIP),</w:t>
      </w:r>
    </w:p>
    <w:p w:rsidR="00171C6F" w:rsidRPr="00CB708D" w:rsidP="00171C6F" w14:paraId="00C8FBA4" w14:textId="77777777">
      <w:pPr>
        <w:pStyle w:val="NormalHanging12a"/>
      </w:pPr>
      <w:r w:rsidRPr="00CB708D">
        <w:t>–</w:t>
      </w:r>
      <w:r w:rsidRPr="00CB708D">
        <w:tab/>
        <w:t>като взе предвид член 55 от своя Правилник за дейността,</w:t>
      </w:r>
    </w:p>
    <w:p w:rsidR="00171C6F" w:rsidRPr="00CB708D" w:rsidP="00171C6F" w14:paraId="396A850A" w14:textId="77777777">
      <w:pPr>
        <w:pStyle w:val="NormalHanging12a"/>
      </w:pPr>
      <w:r w:rsidRPr="00CB708D">
        <w:t>–</w:t>
      </w:r>
      <w:r w:rsidRPr="00CB708D">
        <w:tab/>
        <w:t>като взе предвид доклада на комисията по външни работи (A10-0162/2026),</w:t>
      </w:r>
    </w:p>
    <w:p w:rsidR="00171C6F" w:rsidRPr="00CB708D" w:rsidP="00171C6F" w14:paraId="467EAEE5" w14:textId="77777777">
      <w:pPr>
        <w:pStyle w:val="NormalHanging12a"/>
      </w:pPr>
      <w:r w:rsidRPr="00CB708D">
        <w:t>А.</w:t>
      </w:r>
      <w:r w:rsidRPr="00CB708D">
        <w:tab/>
        <w:t>като има предвид, че Северна Македония е със статут на държава кандидатка от 2005 г. и успешно завърши процеса на скрининг през декември 2023 г.;</w:t>
      </w:r>
    </w:p>
    <w:p w:rsidR="00171C6F" w:rsidRPr="00CB708D" w:rsidP="00171C6F" w14:paraId="05085977" w14:textId="77777777">
      <w:pPr>
        <w:pStyle w:val="NormalHanging12a"/>
      </w:pPr>
      <w:r w:rsidRPr="00CB708D">
        <w:t>Б.</w:t>
      </w:r>
      <w:r w:rsidRPr="00CB708D">
        <w:tab/>
        <w:t>като има предвид, че стратегическият ангажимент на Северна Македония за присъединяване към ЕС и националният консенсус между политическите партии са непоколебими, а подкрепата сред гражданите за членство в ЕС допълнително се е увеличила с почти 10% спрямо 2024 г. и е достигнала 71%;</w:t>
      </w:r>
    </w:p>
    <w:p w:rsidR="00171C6F" w:rsidRPr="00CB708D" w:rsidP="00171C6F" w14:paraId="2C5CEEA4" w14:textId="77777777">
      <w:pPr>
        <w:spacing w:after="240"/>
        <w:ind w:left="567" w:hanging="567"/>
        <w:rPr>
          <w:bCs/>
        </w:rPr>
      </w:pPr>
      <w:r w:rsidRPr="00CB708D">
        <w:t>В.</w:t>
      </w:r>
      <w:r w:rsidRPr="00CB708D">
        <w:tab/>
        <w:t xml:space="preserve">като има предвид, че политиката на разширяване на ЕС продължава да бъде </w:t>
      </w:r>
      <w:r w:rsidRPr="00CB708D">
        <w:t>стратегическа инвестиция в мира, демокрацията, стабилността и просперитета на европейския континент и че доверието в процеса на присъединяване зависи от строгите условия и справедливото третиране на страните кандидатки; като има предвид, че държавите кандидатки трябва да спазват изцяло критериите от Копенхаген и да се придържат към европейските ценности; като има предвид, че двустранните въпроси следва да се решават двустранно и в съответствие с международното право и че не следва да се използват за блокиране или по-нататъшно политизиране на процеса на разширяване; като има предвид, че доверието в политиката на ЕС на разширяване зависи в еднаква степен от това страните кандидатки да осъществят реформи и Европейският съюз да изпълни ангажиментите си, след като бъдат изпълнени всички условия;</w:t>
      </w:r>
    </w:p>
    <w:p w:rsidR="00171C6F" w:rsidRPr="00CB708D" w:rsidP="00171C6F" w14:paraId="043BDD34" w14:textId="77777777">
      <w:pPr>
        <w:spacing w:after="240"/>
        <w:ind w:left="567" w:hanging="567"/>
      </w:pPr>
      <w:r w:rsidRPr="00CB708D">
        <w:t>Г.</w:t>
      </w:r>
      <w:r w:rsidRPr="00CB708D">
        <w:tab/>
        <w:t>като има предвид, че Европейският парламент последователно подкрепя европейската перспектива на Северна Македония и поддържа непрекъснат диалог с органите на Северна Македония, заинтересованите страни и гражданското общество, като подчертава необходимостта от устойчиви реформи, зачитане на демократичните ценности, принципите на правовата държава, правата на човека и изпълнението на договорените ангажименти;</w:t>
      </w:r>
    </w:p>
    <w:p w:rsidR="00171C6F" w:rsidRPr="00CB708D" w:rsidP="00171C6F" w14:paraId="07A1BC48" w14:textId="77777777">
      <w:pPr>
        <w:spacing w:after="240"/>
        <w:ind w:left="567" w:hanging="567"/>
        <w:rPr>
          <w:bCs/>
          <w:iCs/>
        </w:rPr>
      </w:pPr>
      <w:r w:rsidRPr="00CB708D">
        <w:t>Д.</w:t>
      </w:r>
      <w:r w:rsidRPr="00CB708D">
        <w:tab/>
        <w:t>като има предвид, че Северна Македония продължава да бъде отрицателно засегната от емиграция, която създава дългосрочни рискове за финансовата устойчивост на основните обществени услуги;</w:t>
      </w:r>
    </w:p>
    <w:p w:rsidR="00171C6F" w:rsidRPr="00CB708D" w:rsidP="00171C6F" w14:paraId="62C0C5F5" w14:textId="77777777">
      <w:pPr>
        <w:spacing w:after="240"/>
        <w:ind w:left="567" w:hanging="567"/>
        <w:rPr>
          <w:b/>
          <w:bCs/>
        </w:rPr>
      </w:pPr>
      <w:r w:rsidRPr="00CB708D">
        <w:t>Е.</w:t>
      </w:r>
      <w:r w:rsidRPr="00CB708D">
        <w:tab/>
        <w:t>като има предвид, че политическата поляризация, ограниченото междупартийно сътрудничество и бавното изпълнение на реформите продължават да намаляват общественото доверие и ангажираност;</w:t>
      </w:r>
    </w:p>
    <w:p w:rsidR="00171C6F" w:rsidRPr="00CB708D" w:rsidP="00171C6F" w14:paraId="187743DD" w14:textId="77777777">
      <w:pPr>
        <w:spacing w:after="240"/>
        <w:ind w:left="567" w:hanging="567"/>
        <w:rPr>
          <w:iCs/>
        </w:rPr>
      </w:pPr>
      <w:r w:rsidRPr="00CB708D">
        <w:t>Ж.</w:t>
      </w:r>
      <w:r w:rsidRPr="00CB708D">
        <w:tab/>
        <w:t>като има предвид, че особено в сложен исторически контекст въпросите, свързани с езика, идентичността и културата, са чувствителни по своята същност; като има предвид, че добавянето на подобни въпроси към дискусиите за разширяването крие риск от усложняване и политизиране на процеса на присъединяване на страните кандидатки и поради това към него следва да се подхожда с резерви и по отговорен начин, така че да се запази целостта на политиката на ЕС на разширяване;</w:t>
      </w:r>
    </w:p>
    <w:p w:rsidR="00171C6F" w:rsidRPr="00CB708D" w:rsidP="00171C6F" w14:paraId="3273326E" w14:textId="77777777">
      <w:pPr>
        <w:spacing w:after="240"/>
        <w:ind w:left="567" w:hanging="567"/>
        <w:rPr>
          <w:bCs/>
          <w:iCs/>
        </w:rPr>
      </w:pPr>
      <w:r w:rsidRPr="00CB708D">
        <w:t>З.</w:t>
      </w:r>
      <w:r w:rsidRPr="00CB708D">
        <w:tab/>
        <w:t>като има предвид, че Северна Македония постигна измерим, но бавен напредък по изпълнението на своята програма за реформи, като обхвана главно реформи в области, различни от основните; като има предвид, че изпълнението на програмата за реформи спомага за модернизирането и развитието на обществото, икономиката и институциите на Северна Македония;</w:t>
      </w:r>
    </w:p>
    <w:p w:rsidR="00171C6F" w:rsidRPr="00CB708D" w:rsidP="00171C6F" w14:paraId="086261D5" w14:textId="77777777">
      <w:pPr>
        <w:spacing w:after="240"/>
        <w:ind w:left="567" w:hanging="567"/>
        <w:rPr>
          <w:bCs/>
          <w:iCs/>
        </w:rPr>
      </w:pPr>
      <w:r w:rsidRPr="00CB708D">
        <w:t>И.</w:t>
      </w:r>
      <w:r w:rsidRPr="00CB708D">
        <w:tab/>
        <w:t>като има предвид, че Съветът заключи, че е готов да проведе междуправителствена конференция, без по-нататъшно забавяне или допълнителни политически решения, веднага щом Северна Македония изпълни ангажимента си да завърши необходимите конституционни промени в съответствие с националните си процедури;</w:t>
      </w:r>
    </w:p>
    <w:p w:rsidR="00171C6F" w:rsidP="00171C6F" w14:paraId="414FE0E0" w14:textId="77777777">
      <w:pPr>
        <w:pStyle w:val="NormalHanging12a"/>
      </w:pPr>
      <w:r w:rsidRPr="00CB708D">
        <w:t>Й.</w:t>
      </w:r>
      <w:r w:rsidRPr="00CB708D">
        <w:tab/>
        <w:t>като има предвид, че отделни държави – членки на ЕС, изразиха позициите си относно рамката за преговори със Северна Македония;</w:t>
      </w:r>
    </w:p>
    <w:p w:rsidR="00DA5EB8" w:rsidRPr="00CB708D" w:rsidP="00171C6F" w14:paraId="79F1CDBA" w14:textId="037B42FE">
      <w:pPr>
        <w:pStyle w:val="NormalHanging12a"/>
      </w:pPr>
      <w:r>
        <w:t>К</w:t>
      </w:r>
      <w:r w:rsidRPr="00DA5EB8">
        <w:t>.</w:t>
      </w:r>
      <w:r w:rsidRPr="00DA5EB8">
        <w:tab/>
        <w:t xml:space="preserve">като има предвид, че намирането на общ подход към комуникацията и взаимодействието с миналото и установяването на култура на памет за миналото </w:t>
      </w:r>
      <w:r w:rsidRPr="00DA5EB8">
        <w:t>по взаимно уважителен начин е основата, върху която България и Северна Македония следва да изградят бъдещите си отношения; като има предвид, че отношенията между бъдещите поколения на Република Северна Македония и България ще бъдат отражение на образователните процеси в двете държави;</w:t>
      </w:r>
    </w:p>
    <w:p w:rsidR="00171C6F" w:rsidRPr="00CB708D" w:rsidP="00171C6F" w14:paraId="3072C991" w14:textId="77777777">
      <w:pPr>
        <w:pStyle w:val="NormalHanging12a"/>
        <w:rPr>
          <w:bCs/>
          <w:iCs/>
        </w:rPr>
      </w:pPr>
      <w:r w:rsidRPr="00CB708D">
        <w:t>1.</w:t>
      </w:r>
      <w:r w:rsidRPr="00CB708D">
        <w:tab/>
        <w:t xml:space="preserve">повтаря пълната си подкрепа за ангажимента на Северна Македония за членство в ЕС въз основа на ясен и измерим напредък и строги, но справедливи условия, както и за необходимите </w:t>
      </w:r>
      <w:r w:rsidRPr="00CB708D">
        <w:t>трансофмиращи</w:t>
      </w:r>
      <w:r w:rsidRPr="00CB708D">
        <w:t xml:space="preserve"> промени, които са нужни, за да се изпълнят критериите за присъединяване; приветства ангажимента на страната за европейска интеграция и насърчава непрекъснатите усилия за постигане на напредък в реформите, съобразени с ЕС; припомня обаче, че напредъкът в преговорите за присъединяване продължава да зависи от постоянните и задълбочени реформи и е основан изцяло на заслуги;</w:t>
      </w:r>
    </w:p>
    <w:p w:rsidR="00171C6F" w:rsidRPr="00CB708D" w:rsidP="00171C6F" w14:paraId="3EAB917F" w14:textId="77777777">
      <w:pPr>
        <w:pStyle w:val="NormalHanging12a"/>
      </w:pPr>
      <w:r w:rsidRPr="00CB708D">
        <w:t>2.</w:t>
      </w:r>
      <w:r w:rsidRPr="00CB708D">
        <w:tab/>
        <w:t>отбелязва със съжаление липсата на напредък след последния доклад; подчертава, че импулсът за реформи изисква подновен политически ангажимент и ясни действия, включително необходимите конституционни промени, конструктивно междупартийно сътрудничество и ефективен парламентарен контрол; разбира, че измененията на конституцията са важна, но разединяваща тема в страна, която е преодоляла много предизвикателства по пътя си към превръщането си в независима нация; във връзка с това подчертава, че всички политически заинтересовани страни, ангажирани с европейския път на държавата, следва спешно да обединят силите си, за да осъществят необходимите конституционни промени, които ще позволят отварянето на първия тематичен кръг от преговори; припомня, че междупартийното сътрудничество ще продължи да бъде от съществено значение при привеждането на националното законодателство в съответствие с достиженията на правото на ЕС по време на преговорите;</w:t>
      </w:r>
    </w:p>
    <w:p w:rsidR="00171C6F" w:rsidRPr="00CB708D" w:rsidP="00171C6F" w14:paraId="56F99C76" w14:textId="77777777">
      <w:pPr>
        <w:pStyle w:val="NormalHanging12a"/>
      </w:pPr>
      <w:r w:rsidRPr="00CB708D">
        <w:t>3.</w:t>
      </w:r>
      <w:r w:rsidRPr="00CB708D">
        <w:tab/>
        <w:t>приветства неотдавнашните политически сигнали в Северна Македония за подновен ангажимент за предприемане на реформи; подчертава обаче, че държавата ще бъде оценена единствено въз основа на резултатите от проведените реформи; подчертава, че липсата на междупартийно сътрудничество за постигане на напредък по конституционните промени не е извинение за забавяне на други необходими реформи, които биха били от полза за нея и нейните граждани, независимо от европейския ѝ път;</w:t>
      </w:r>
    </w:p>
    <w:p w:rsidR="00171C6F" w:rsidRPr="00CB708D" w:rsidP="00171C6F" w14:paraId="40F44737" w14:textId="77777777">
      <w:pPr>
        <w:pStyle w:val="NormalHanging12a"/>
        <w:rPr>
          <w:bCs/>
          <w:iCs/>
        </w:rPr>
      </w:pPr>
      <w:r w:rsidRPr="00CB708D">
        <w:t>4.</w:t>
      </w:r>
      <w:r w:rsidRPr="00CB708D">
        <w:tab/>
        <w:t>призовава държавите – членки на ЕС, Съвета и Комисията да гарантират предсказуемостта и надеждността на процеса на присъединяване, също така с оглед на запазването на обществената подкрепа за присъединяването в държавите, обхванати от процеса на разширяване; настоятелно призовава във връзка с това Европейския съвет и държавите – членки на ЕС, да покажат публично и недвусмислено, че Съветът възнамерява бързо и безусловно да вземе положителното решение за започване на следващия етап от преговорите за присъединяване със Северна Македония, след като бъдат изпълнени условията, съдържащи се в неговите заключения от 18 юли 2022 г.; отбелязва, че Северна Македония е една от държавите, която най-отдавна е страна кандидатка, като тя е получила статут на страна кандидатка преди повече от две десетилетия; подчертава, че многократното отлагане от страна на Европейския съвет на началото на преговорите със Северна Македония за присъединяване допринесе политическите заинтересовани страни и обществеността в страната да имат отрицателното възприятие за перспективите за присъединяване към ЕС;</w:t>
      </w:r>
    </w:p>
    <w:p w:rsidR="00171C6F" w:rsidRPr="00CB708D" w:rsidP="00171C6F" w14:paraId="765CD57B" w14:textId="77777777">
      <w:pPr>
        <w:pStyle w:val="NormalHanging12a"/>
        <w:rPr>
          <w:bCs/>
          <w:iCs/>
        </w:rPr>
      </w:pPr>
      <w:r w:rsidRPr="00CB708D">
        <w:t>5.</w:t>
      </w:r>
      <w:r w:rsidRPr="00CB708D">
        <w:tab/>
        <w:t>повтаря призива на Европейския съвет от неговите заключения от 2024 г. относно Северна Македония да се ускори завършването на конституционните промени; припомня, че Съветът потвърди отново готовността си да свика друга междуправителствена конференция без по-нататъшно забавяне или допълнителни политически решения, веднага щом Северна Македония изпълни ангажимента си, в съответствие с нейните национални процедури, и че след това Съветът е готов да отвори първия тематичен кръг от преговори възможно най-скоро, в съответствие с преговорната рамка;</w:t>
      </w:r>
    </w:p>
    <w:p w:rsidR="00171C6F" w:rsidRPr="00CB708D" w:rsidP="00171C6F" w14:paraId="6276BAFB" w14:textId="77777777">
      <w:pPr>
        <w:pStyle w:val="NormalHanging12a"/>
      </w:pPr>
      <w:r w:rsidRPr="00CB708D">
        <w:t>6.</w:t>
      </w:r>
      <w:r w:rsidRPr="00CB708D">
        <w:tab/>
        <w:t>приветства ангажимента на гражданите на Северна Македония за интеграция в ЕС и подкрепата им за този проект две десетилетия след началото на процеса; призовава Комисията да представи ясни предложения за това как да се изпълняват инструментите за постепенна интеграция и да се гарантира ефективното им прилагане, включително тези в рамките на плана за растеж за Западните Балкани, като допълнение, а не като заместител на пълноправното членство, във възможно най-много области, за да се даде възможност на гражданите на Северна Македония да се възползват от интеграцията в ЕС преди присъединяването;</w:t>
      </w:r>
    </w:p>
    <w:p w:rsidR="00171C6F" w:rsidRPr="00CB708D" w:rsidP="00171C6F" w14:paraId="7FF00D37" w14:textId="77777777">
      <w:pPr>
        <w:pStyle w:val="NormalHanging12a"/>
      </w:pPr>
      <w:bookmarkStart w:id="8" w:name="_Hlk221624932"/>
      <w:r w:rsidRPr="00CB708D">
        <w:t>7.</w:t>
      </w:r>
      <w:r w:rsidRPr="00CB708D">
        <w:tab/>
        <w:t>припомня необходимостта от единодушно вземане на решения относно започването и приключването на преговорите за присъединяване като основни политически етапи в процеса на разширяване; призовава отново да се повиши капацитетът на ЕС за действие чрез опростени процеси, като използването на гласуване с квалифицирано мнозинство на междинните етапи от процеса на разширяване, в пълно съответствие с Договорите;</w:t>
      </w:r>
    </w:p>
    <w:p w:rsidR="00171C6F" w:rsidRPr="00CB708D" w:rsidP="00171C6F" w14:paraId="3737F59C" w14:textId="77777777">
      <w:pPr>
        <w:pStyle w:val="NormalHanging12a"/>
      </w:pPr>
      <w:r w:rsidRPr="00CB708D">
        <w:t>8.</w:t>
      </w:r>
      <w:r w:rsidRPr="00CB708D">
        <w:tab/>
        <w:t xml:space="preserve">припомня, че двустранните спорове между държавите следва да се решават чрез открит диалог с участието на гражданското общество и експерти и чрез истинско сътрудничество, добросъвестно и в съответствие с международното право, и не следва да бъдат </w:t>
      </w:r>
      <w:r w:rsidRPr="00CB708D">
        <w:t>инструментализирани</w:t>
      </w:r>
      <w:r w:rsidRPr="00CB708D">
        <w:t xml:space="preserve"> в рамките на процеса на присъединяване;</w:t>
      </w:r>
      <w:bookmarkEnd w:id="8"/>
    </w:p>
    <w:p w:rsidR="00171C6F" w:rsidRPr="00CB708D" w:rsidP="00171C6F" w14:paraId="78D63A9C" w14:textId="77777777">
      <w:pPr>
        <w:pStyle w:val="NormalHanging12a"/>
        <w:rPr>
          <w:bCs/>
          <w:iCs/>
        </w:rPr>
      </w:pPr>
      <w:r w:rsidRPr="00CB708D">
        <w:t>9.</w:t>
      </w:r>
      <w:r w:rsidRPr="00CB708D">
        <w:tab/>
        <w:t>подчертава, че езиковата, културната и националната идентичност са истинска основа на всяка държава и не следва да бъдат поставяни под въпрос от трети страни; отбелязва освен това, че тези въпроси не следва да оказват влияние върху процеса на присъединяване към ЕС, който е съсредоточен върху прилагането на достиженията на правото на ЕС и привеждането в съответствие с ценностите и принципите на ЕС, определени в критериите от Копенхаген и принципите на добросъседските отношения, и който следва да се ръководи от обективни критерии и да се основава единствено на заслуги; отхвърля категорично етнонационалистическата реторика, включително от страна на политически участници, която подклажда разделението, и подкопава добросъседските отношения и отношенията между етническите групи и общности; призовава ЕС да увеличи усилията за ограничаване на тази реторика и нейното въздействие;</w:t>
      </w:r>
    </w:p>
    <w:p w:rsidR="00171C6F" w:rsidRPr="00CB708D" w:rsidP="00171C6F" w14:paraId="4D9363D0" w14:textId="77777777">
      <w:pPr>
        <w:pStyle w:val="NormalHanging12a"/>
      </w:pPr>
      <w:r w:rsidRPr="00CB708D">
        <w:t>10.</w:t>
      </w:r>
      <w:r w:rsidRPr="00CB708D">
        <w:tab/>
        <w:t>приветства стабилността на междуетническите отношения в Северна Македония и прилагането на Охридското рамково споразумение, включително чрез механизми за справедливо представителство; призовава всички участници да запазят основите на стабилността и целостта на страната, да постигнат напредък в отношенията, сътрудничеството и обмена между етническите и малцинствените групи и други общности и да избягват разединяваща реторика;</w:t>
      </w:r>
    </w:p>
    <w:p w:rsidR="00171C6F" w:rsidRPr="00CB708D" w:rsidP="00171C6F" w14:paraId="2A690731" w14:textId="574820B6">
      <w:pPr>
        <w:pStyle w:val="NormalHanging12a"/>
        <w:rPr>
          <w:bCs/>
          <w:iCs/>
        </w:rPr>
      </w:pPr>
      <w:r w:rsidRPr="00CB708D">
        <w:t>11.</w:t>
      </w:r>
      <w:r w:rsidRPr="00CB708D">
        <w:tab/>
        <w:t xml:space="preserve">отбелязва решението на Конституционния съд на Северна Македония от 18 септември 2024 г. относно отмяната на някои разпоредби относно квотите за </w:t>
      </w:r>
      <w:r w:rsidRPr="00CB708D">
        <w:t>представители на албанските и други общности в публичните институции; подчертава, че администрацията на държавата следва да отразява многоетническия ѝ състав; призовава органите да гарантират подходящо и справедливо представителство на всички общности в съответствие с Охридското рамково споразумение и да изменят и прилагат съответния проектозакон, така че да е в пълно съответствие със становището на Венецианската комисия и стандартите на ЕС;</w:t>
      </w:r>
      <w:r w:rsidR="00DA5EB8">
        <w:t xml:space="preserve"> </w:t>
      </w:r>
      <w:r w:rsidRPr="00DA5EB8" w:rsidR="00DA5EB8">
        <w:t>настоятелно призовава органите на Северна Македония бързо да решат въпроса с използването на албанския език при полагането на държавни изпити, за да се гарантира практическото прилагане на буквата и духа на Охридското рамково споразумение, и да не представят студентските протести по подвеждащ начин като политически мотивирани или като дестабилизиращ фактор;</w:t>
      </w:r>
    </w:p>
    <w:p w:rsidR="00171C6F" w:rsidRPr="00CB708D" w:rsidP="00171C6F" w14:paraId="1A45BA78" w14:textId="77777777">
      <w:pPr>
        <w:pStyle w:val="NormalHanging12a"/>
        <w:rPr>
          <w:bCs/>
          <w:iCs/>
        </w:rPr>
      </w:pPr>
      <w:r w:rsidRPr="00CB708D">
        <w:t>12.</w:t>
      </w:r>
      <w:r w:rsidRPr="00CB708D">
        <w:tab/>
      </w:r>
      <w:bookmarkStart w:id="9" w:name="_Hlk228954086"/>
      <w:r w:rsidRPr="00CB708D">
        <w:t>отбелязва, че Комитетът за стабилизиране и асоцииране наскоро приветства напредъка в постигането на критериите за отваряне на тематичния кръг за основополагащите въпроси чрез пътни карти за реформа на публичната администрация и за главите относно принципите на правовата държава; </w:t>
      </w:r>
      <w:bookmarkEnd w:id="9"/>
      <w:r w:rsidRPr="00CB708D">
        <w:t>насърчава Северна Македония да подготви и приключи цялата работа, свързана с критериите за отваряне на тематичния кръг за основополагащите въпроси чрез прозрачен и съдържателен процес на консултации с всички съответни заинтересовани страни, включително гражданското общество;</w:t>
      </w:r>
    </w:p>
    <w:p w:rsidR="00171C6F" w:rsidRPr="00CB708D" w:rsidP="00171C6F" w14:paraId="000F5501" w14:textId="77777777">
      <w:pPr>
        <w:pStyle w:val="NormalHanging12a"/>
        <w:rPr>
          <w:b/>
          <w:i/>
          <w:iCs/>
        </w:rPr>
      </w:pPr>
      <w:r w:rsidRPr="00CB708D">
        <w:rPr>
          <w:b/>
          <w:i/>
        </w:rPr>
        <w:t>Функциониране на демократичните институции</w:t>
      </w:r>
    </w:p>
    <w:p w:rsidR="00171C6F" w:rsidRPr="00CB708D" w:rsidP="00171C6F" w14:paraId="673CBECF" w14:textId="77777777">
      <w:pPr>
        <w:pStyle w:val="NormalHanging12a"/>
      </w:pPr>
      <w:r w:rsidRPr="00CB708D">
        <w:t>13.</w:t>
      </w:r>
      <w:r w:rsidRPr="00CB708D">
        <w:tab/>
        <w:t>отбелязва, че макар демократичните институции в Северна Македония да функционират задоволително, продължава да се наблюдава политическа поляризация, която забавя така необходимите реформи и назначения; изразява съжаление, че не са направени опити за приемане на конституционните промени, за които държавата е поела ангажимент, и които са необходими, за да се отвори тематичният кръг за основополагащите въпроси; настоятелно призовава всички политически партии, представени в Събранието на Република Северна Македония, да преодолеят разгорещената реторика на кампанията и да работят заедно по двупартиен начин за постигане на споразумение относно необходимите реформи; призовава институциите на ЕС и държавите членки да увеличат усилията, за да улеснят разрешаването на този въпрос, включително чрез техническа помощ и благоприятстване на диалога;</w:t>
      </w:r>
    </w:p>
    <w:p w:rsidR="00171C6F" w:rsidRPr="00CB708D" w:rsidP="00171C6F" w14:paraId="2070F4ED" w14:textId="77777777">
      <w:pPr>
        <w:pStyle w:val="NormalHanging12a"/>
      </w:pPr>
      <w:r w:rsidRPr="00CB708D">
        <w:t>14.</w:t>
      </w:r>
      <w:r w:rsidRPr="00CB708D">
        <w:tab/>
        <w:t>подчертава, че парламентарният контрол върху изпълнителната власт следва да бъде допълнително укрепен, и призовава за подобрени механизми за контрол, включително засилено участие на опозиционните партии и участниците от гражданското общество;</w:t>
      </w:r>
    </w:p>
    <w:p w:rsidR="00171C6F" w:rsidRPr="00CB708D" w:rsidP="00171C6F" w14:paraId="2870F487" w14:textId="77777777">
      <w:pPr>
        <w:pStyle w:val="NormalHanging12a"/>
        <w:rPr>
          <w:bCs/>
          <w:iCs/>
        </w:rPr>
      </w:pPr>
      <w:r w:rsidRPr="00CB708D">
        <w:t>15.</w:t>
      </w:r>
      <w:r w:rsidRPr="00CB708D">
        <w:tab/>
        <w:t xml:space="preserve">изразява задоволство, че местните избори, проведени през октомври и ноември 2025 г., като цяло бяха конкурентни и че изборната администрация управляваше подготовката на изборите до голяма степен ефективно въпреки някои процедурни недостатъци; отбелязва, че всеобхватната избирателна реформа все още е закъсняла; отново отправя призив за изпълнение на неизпълнените препоръки, отправени от БДИПЧ и Венецианската комисия по прозрачен начин, като се включат всички съответни заинтересовани страни; освен това призовава за по-голяма прозрачност по отношение на финансирането и разходите на политическите партии и политическата реклама както в традиционните медии, така и онлайн, особено в социалните медии; призовава Северна Македония да </w:t>
      </w:r>
      <w:r w:rsidRPr="00CB708D">
        <w:t>отстрани регулаторните пропуски, които дават възможност за скрито влияние върху изборите, по-специално като регулира политическата реклама онлайн, включително чрез задължително посочване на спонсорите, прозрачност на разходите и съдържателно разгласяване на критериите за таргетиране, както и като преодолее финансирането от трети страни и каналите за разходване на средства, свързани с кампаниите; призовава за справедливо държавно финансиране и за равен достъп до медиите за всички политически партии и независими кандидати;</w:t>
      </w:r>
    </w:p>
    <w:p w:rsidR="00171C6F" w:rsidRPr="00CB708D" w:rsidP="00171C6F" w14:paraId="10619D03" w14:textId="77777777">
      <w:pPr>
        <w:pStyle w:val="NormalHanging12a"/>
        <w:rPr>
          <w:bCs/>
          <w:iCs/>
        </w:rPr>
      </w:pPr>
      <w:r w:rsidRPr="00CB708D">
        <w:t>16.</w:t>
      </w:r>
      <w:r w:rsidRPr="00CB708D">
        <w:tab/>
        <w:t>призовава за истинско и съдържателно политическо овластяване на жените на местно, регионално и национално равнище, за да се засили тяхното участие в изборния процес и вземането на политически решения; препоръчва и въвеждането на квоти по пол, където все още не са въведени такива, за да се гарантира спазването на ангажимента за баланс между половете, определен в националната стратегия за равенство между половете;</w:t>
      </w:r>
    </w:p>
    <w:p w:rsidR="00171C6F" w:rsidRPr="00CB708D" w:rsidP="00171C6F" w14:paraId="0BD137E3" w14:textId="77777777">
      <w:pPr>
        <w:pStyle w:val="NormalHanging12a"/>
      </w:pPr>
      <w:r w:rsidRPr="00CB708D">
        <w:t>17.</w:t>
      </w:r>
      <w:r w:rsidRPr="00CB708D">
        <w:tab/>
        <w:t>признава, че е постигнат умерен напредък в реформата на публичната администрация и цифровата трансформация, като са се повишили прозрачността и ефективността в публичния сектор, включително чрез наскоро приетото законодателство относно електронната идентификация в съответствие с регламентите на ЕС; отбелязва обаче, че са необходими допълнителни усилия, включително реформи на местното самоуправление и по-стриктно прилагане на стратегията за публичната администрация за периода 2023 – 2030 г., които биха позволили на местните администрации да предоставят по-добри услуги на гражданите, да разработват и прилагат стратегии за местно и регионално развитие и да гарантират наличието на необходимия административен капацитет;</w:t>
      </w:r>
    </w:p>
    <w:p w:rsidR="00171C6F" w:rsidRPr="00CB708D" w:rsidP="00171C6F" w14:paraId="7459B0FD" w14:textId="77777777">
      <w:pPr>
        <w:pStyle w:val="NormalHanging12a"/>
        <w:rPr>
          <w:bCs/>
        </w:rPr>
      </w:pPr>
      <w:r w:rsidRPr="00CB708D">
        <w:t>18.</w:t>
      </w:r>
      <w:r w:rsidRPr="00CB708D">
        <w:tab/>
        <w:t>настоятелно призовава за по-нататъшно деполитизиране на публичната администрация и за пълно прилагане на основани на заслуги процедури за набиране на персонал и подбор на висши ръководни кадри в съответствие със стандартите на ЕС;</w:t>
      </w:r>
    </w:p>
    <w:p w:rsidR="00171C6F" w:rsidRPr="00CB708D" w:rsidP="00171C6F" w14:paraId="2FE7DC96" w14:textId="77777777">
      <w:pPr>
        <w:pStyle w:val="NormalHanging12a"/>
        <w:rPr>
          <w:bCs/>
        </w:rPr>
      </w:pPr>
      <w:r w:rsidRPr="00CB708D">
        <w:t>19.</w:t>
      </w:r>
      <w:r w:rsidRPr="00CB708D">
        <w:tab/>
        <w:t xml:space="preserve">приветства неотдавнашното назначаване на новия омбудсман; отбелязва като положителен факт </w:t>
      </w:r>
      <w:r w:rsidRPr="00CB708D">
        <w:t>формáта</w:t>
      </w:r>
      <w:r w:rsidRPr="00CB708D">
        <w:t xml:space="preserve"> на публичните изслушвания за назначаване на публични длъжности, с които се повишават прозрачността и общественият контрол; изразява обаче загриженост във връзка с признаците за политически </w:t>
      </w:r>
      <w:r w:rsidRPr="00CB708D">
        <w:t>фаворитизъм</w:t>
      </w:r>
      <w:r w:rsidRPr="00CB708D">
        <w:t xml:space="preserve"> в процеса на назначаване на членове на Комисията за предотвратяване и защита от дискриминация; подчертава, че органите по въпросите на равенството трябва да работят независимо и без политическа намеса;</w:t>
      </w:r>
    </w:p>
    <w:p w:rsidR="00171C6F" w:rsidRPr="00CB708D" w:rsidP="00171C6F" w14:paraId="6D0637F0" w14:textId="77777777">
      <w:pPr>
        <w:pStyle w:val="NormalHanging12a"/>
        <w:rPr>
          <w:b/>
        </w:rPr>
      </w:pPr>
      <w:r w:rsidRPr="00CB708D">
        <w:rPr>
          <w:b/>
          <w:i/>
        </w:rPr>
        <w:t>Медии и гражданско общество</w:t>
      </w:r>
    </w:p>
    <w:p w:rsidR="00171C6F" w:rsidRPr="00CB708D" w:rsidP="00171C6F" w14:paraId="229CDD0A" w14:textId="77777777">
      <w:pPr>
        <w:pStyle w:val="NormalHanging12a"/>
        <w:rPr>
          <w:bCs/>
          <w:iCs/>
        </w:rPr>
      </w:pPr>
      <w:r w:rsidRPr="00CB708D">
        <w:t>20.</w:t>
      </w:r>
      <w:r w:rsidRPr="00CB708D">
        <w:tab/>
        <w:t>приветства факта, че Северна Македония предоставя подходящи правни гаранции относно свободата на изразяване; отбелязва обаче необходимостта от по-нататъшно подобряване към действително благоприятна среда за свободните и независими медии; призовава медиите да се въздържат от публикуване на реторика, която може да подкопае отношенията между етническите групи и общности; подчертава необходимостта платформите на социалните медии да засилят модерирането на съдържание, особено във връзка с изказвания, проповядващи вражда и омраза на етническа основа; освен това насърчава развитието на местни и регионални частни медии;</w:t>
      </w:r>
    </w:p>
    <w:p w:rsidR="00171C6F" w:rsidRPr="00CB708D" w:rsidP="00171C6F" w14:paraId="76D87D01" w14:textId="77777777">
      <w:pPr>
        <w:pStyle w:val="NormalHanging12a"/>
        <w:rPr>
          <w:bCs/>
          <w:iCs/>
        </w:rPr>
      </w:pPr>
      <w:r w:rsidRPr="00CB708D">
        <w:t>21.</w:t>
      </w:r>
      <w:r w:rsidRPr="00CB708D">
        <w:tab/>
        <w:t>отбелязва, че ефективното прилагане на правните разпоредби за защита на журналистите продължава да бъде предизвикателство, особено в случаите на онлайн тормоз и основано на пола насилие, насочено срещу жени журналисти; изразява загриженост, че липсата на специално законодателство за борба със стратегически съдебни производства, насочени срещу публично участие, и ограничената осведоменост по този въпрос сред съдиите, адвокатите и журналистите продължават да бъдат пречки за ефективната защита на журналистите и обществената критика от такива производства; подчертава необходимостта от приемане на национално законодателство, приведено в съответствие с Директивата за борба със стратегическите съдебни производства, насочени срещу публично участие</w:t>
      </w:r>
      <w:r>
        <w:rPr>
          <w:rStyle w:val="FootnoteReference"/>
          <w:bCs/>
          <w:iCs/>
        </w:rPr>
        <w:footnoteReference w:id="8"/>
      </w:r>
      <w:r w:rsidRPr="00CB708D">
        <w:t>; изразява опасения относно социално-икономическата несигурност на работещите в медиите и особена загриженост за жените, работещи в медиите; призовава правоприлагащите органи и съдебните служители да гарантират ефективни разследвания и санкции за нападения, заплахи, тормоз и натиск срещу журналисти, със специален акцент върху жените журналисти; настоятелно приканва съответните органи проактивно да предотвратяват и системно да подлагат на наказателно преследване всички виновни за реч на омразата, престъпления от омраза и сплашване, да разследват щателно свързаните с такива случаи нападения и да гарантират безопасността и сигурността на лицата, срещу които те са насочени, като журналисти, лица, принадлежащи към малцинства, общности и други уязвими групи;</w:t>
      </w:r>
    </w:p>
    <w:p w:rsidR="00171C6F" w:rsidRPr="00CB708D" w:rsidP="00171C6F" w14:paraId="6A408E4A" w14:textId="77777777">
      <w:pPr>
        <w:pStyle w:val="NormalHanging12a"/>
        <w:rPr>
          <w:bCs/>
          <w:iCs/>
        </w:rPr>
      </w:pPr>
      <w:r w:rsidRPr="00CB708D">
        <w:t>22.</w:t>
      </w:r>
      <w:r w:rsidRPr="00CB708D">
        <w:tab/>
        <w:t>отбелязва със загриженост нарастващата концентрация на собствеността върху медиите и рисковете от скрит контрол чрез посредници; призовава за по-строги гаранции за редакционна независимост, прозрачни практики за държавна реклама и защита на журналистите; подчертава неотложната необходимост от ефективна медийна реформа и приемане на ефективни мерки за борба с концентрацията, включително пълна прозрачност на собствеността върху медиите и на разпределянето на публични средства за държавна реклама, както и спазване на правилата относно конкуренцията, държавната помощ и правата върху интелектуалната собственост; подчертава, че медийният плурализъм е от съществено значение за демократичната устойчивост; подчертава необходимостта от укрепване на независимостта и капацитета на медийния регулатор, обществения радио- и телевизионен оператор и регулатора на електронните комуникации;</w:t>
      </w:r>
    </w:p>
    <w:p w:rsidR="00171C6F" w:rsidRPr="00CB708D" w:rsidP="00171C6F" w14:paraId="499FA1B2" w14:textId="77777777">
      <w:pPr>
        <w:pStyle w:val="NormalHanging12a"/>
        <w:rPr>
          <w:bCs/>
          <w:iCs/>
        </w:rPr>
      </w:pPr>
      <w:r w:rsidRPr="00CB708D">
        <w:t>23.</w:t>
      </w:r>
      <w:r w:rsidRPr="00CB708D">
        <w:tab/>
        <w:t>изразява загриженост относно стратегическото придобиване на ключови телевизионни канали и новинарски портали от ръководители на унгарски медии, което позволява на антиевропейски послания да проникват в обществения дебат в Северна Македония;</w:t>
      </w:r>
    </w:p>
    <w:p w:rsidR="00171C6F" w:rsidRPr="00CB708D" w:rsidP="00171C6F" w14:paraId="0C0B0A53" w14:textId="77777777">
      <w:pPr>
        <w:pStyle w:val="NormalHanging12a"/>
        <w:rPr>
          <w:bCs/>
          <w:iCs/>
        </w:rPr>
      </w:pPr>
      <w:r w:rsidRPr="00CB708D">
        <w:t>24.</w:t>
      </w:r>
      <w:r w:rsidRPr="00CB708D">
        <w:tab/>
        <w:t xml:space="preserve">изразява сериозна загриженост относно продължаващите опити за изкривяване на обществения дебат и подкопаване на доверието в демократичните институции и европейския път на държавата чрез координирано манипулиране на информационната среда, включително тайни операции за влияние и злонамерени послания; призовава ЕС и неговите държави членки да положат допълнителни </w:t>
      </w:r>
      <w:r w:rsidRPr="00CB708D">
        <w:t>усилия в подкрепа на Северна Македония в борбата със злонамерената външна намеса в страната, включително чрез техническа помощ; подчертава, че злонамереното чуждестранно влияние отслабва доверието в институциите и поляризира обществото; призовава органите да създадат всеобхватна и институционализирана рамка за демократична устойчивост с ясно определени отговорности, редовни оценки на риска и публично докладване в съответствие с променящите се стандарти на ЕС за защита на демократичните процеси; освен това призовава за повишаване на медийната и цифровата грамотност, насърчаване на проверката на фактите, борба с речта на омразата във всичките ѝ форми и укрепване на устойчивостта срещу хибридни заплахи, които застрашават демократичните ценности и целта на страната за членство в ЕС;</w:t>
      </w:r>
    </w:p>
    <w:p w:rsidR="00171C6F" w:rsidRPr="00CB708D" w:rsidP="00171C6F" w14:paraId="1E97D1C5" w14:textId="77777777">
      <w:pPr>
        <w:pStyle w:val="NormalHanging12a"/>
        <w:rPr>
          <w:bCs/>
          <w:iCs/>
        </w:rPr>
      </w:pPr>
      <w:r w:rsidRPr="00CB708D">
        <w:t>25.</w:t>
      </w:r>
      <w:r w:rsidRPr="00CB708D">
        <w:tab/>
        <w:t>отбелязва, че през последните години липсата на перспективи за присъединяване към ЕС е дала възможност на авторитарни участници да засилят влиянието си в страната; поради това насърчава прозрачната и основана на факти публична комуникация относно свързаните с ЕС реформи и процеса на присъединяване, за да се поддържа широка обществена подкрепа и да се противодейства на дезинформацията; във връзка с това настоятелно призовава Комисията да комуникира по-ефективно с македонската общественост относно продължаващата липса на политическа воля за постигане на напредък в реформите, които биха решили проблемите, засягащи всички граждани на Северна Македония;</w:t>
      </w:r>
    </w:p>
    <w:p w:rsidR="00171C6F" w:rsidRPr="00CB708D" w:rsidP="00171C6F" w14:paraId="41572E36" w14:textId="77777777">
      <w:pPr>
        <w:pStyle w:val="NormalHanging12a"/>
        <w:rPr>
          <w:b/>
          <w:i/>
        </w:rPr>
      </w:pPr>
      <w:r w:rsidRPr="00CB708D">
        <w:t>26.</w:t>
      </w:r>
      <w:r w:rsidRPr="00CB708D">
        <w:tab/>
        <w:t>приветства като цяло благоприятната среда за организациите на гражданското общество, като същевременно подчертава необходимостта от по-активно участие на гражданското общество в приоритетните области и обществените консултации; отбелязва възобновяването на дейността на Съвета за сътрудничество между правителството и гражданското общество; призовава за прозрачно публично финансиране за организациите на гражданското общество, подобряване на законодателството и привеждането му в съответствие с международните стандарти, например препоръките на Венецианската комисия и на Европейската комисия срещу расизма и нетърпимостта; подчертава, че е важно да се гарантират приобщаващи консултации и прозрачност с организациите на гражданското общество; призовава Комисията да подкрепя организациите на гражданското общество, които извършват задълбочен мониторинг и при необходимост критикуват изпълнението на свързаните с ЕС реформи;</w:t>
      </w:r>
    </w:p>
    <w:p w:rsidR="00171C6F" w:rsidRPr="00CB708D" w:rsidP="00171C6F" w14:paraId="48949792" w14:textId="77777777">
      <w:pPr>
        <w:pStyle w:val="NormalHanging12a"/>
        <w:rPr>
          <w:b/>
          <w:i/>
          <w:iCs/>
        </w:rPr>
      </w:pPr>
      <w:r w:rsidRPr="00CB708D">
        <w:rPr>
          <w:b/>
          <w:i/>
        </w:rPr>
        <w:t>Основни права</w:t>
      </w:r>
    </w:p>
    <w:p w:rsidR="00171C6F" w:rsidRPr="00CB708D" w:rsidP="00171C6F" w14:paraId="0787A099" w14:textId="77777777">
      <w:pPr>
        <w:pStyle w:val="NormalHanging12a"/>
        <w:rPr>
          <w:bCs/>
          <w:iCs/>
        </w:rPr>
      </w:pPr>
      <w:r w:rsidRPr="00CB708D">
        <w:t>27.</w:t>
      </w:r>
      <w:r w:rsidRPr="00CB708D">
        <w:tab/>
        <w:t>подчертава задължението на всички държави – членки на Съвета на Европа, да изпълнят своевременно висящите решения на Европейския съд по правата на човека; подчертава, че всички законодателни промени следва да са в съответствие с международните стандарти и с препоръките на Венецианската комисия и да са съобразени с препоръката на Европейската комисия срещу расизма и нетолерантността, включително Законът за сдруженията и фондациите и изпълнението на съдебните решения относно регистрацията на сдруженията;</w:t>
      </w:r>
    </w:p>
    <w:p w:rsidR="00171C6F" w:rsidRPr="00CB708D" w:rsidP="00171C6F" w14:paraId="7928B7EA" w14:textId="77777777">
      <w:pPr>
        <w:pStyle w:val="NormalHanging12a"/>
        <w:rPr>
          <w:bCs/>
          <w:iCs/>
        </w:rPr>
      </w:pPr>
      <w:r w:rsidRPr="00CB708D">
        <w:t>28.</w:t>
      </w:r>
      <w:r w:rsidRPr="00CB708D">
        <w:tab/>
        <w:t xml:space="preserve">отбелязва, че общата правна рамка за основните права до голяма степен съответства на европейските стандарти; призовава обаче правителството на Северна Македония да засили прилагането му на практика, по-специално чрез подобряване на институционалната рамка за равенство между половете и гарантиране на ефективни механизми за защита срещу основано на пола насилие и домашно насилие, достъп до здравни услуги и разпределяне на достатъчно </w:t>
      </w:r>
      <w:r w:rsidRPr="00CB708D">
        <w:t>ресурси за службите за подкрепа на жертвите; призовава за окончателно приемане на Закона за равенството между половете, Закона за трудовите отношения и Закона за предотвратяване и защита от тормоз на работното място, в съответствие с международните стандарти и с достиженията на правото на ЕС, с оглед подобряване на качеството на живот на жените чрез решаване на ключови въпроси, свързани с равенството между половете, особено по отношение на достъпа до политически, икономически и социален живот;</w:t>
      </w:r>
    </w:p>
    <w:p w:rsidR="00171C6F" w:rsidRPr="00CB708D" w:rsidP="00171C6F" w14:paraId="2A247DE7" w14:textId="77777777">
      <w:pPr>
        <w:pStyle w:val="NormalHanging12a"/>
        <w:rPr>
          <w:bCs/>
          <w:iCs/>
        </w:rPr>
      </w:pPr>
      <w:r w:rsidRPr="00CB708D">
        <w:t>29.</w:t>
      </w:r>
      <w:bookmarkStart w:id="10" w:name="_Hlk228277705"/>
      <w:r w:rsidRPr="00CB708D">
        <w:tab/>
        <w:t>приветства измененията от 2023 г. на Наказателния кодекс, с които националното законодателство е приведено в съответствие с Конвенцията от Истанбул</w:t>
      </w:r>
      <w:bookmarkEnd w:id="10"/>
      <w:r w:rsidRPr="00CB708D">
        <w:t>; отбелязва по-специално преминаването към основано на съгласие определение за изнасилване и изричното признаване на насилието, основано на пола; приветства също така измененията от 2026 г., с които се подобрява наказателното преследване на домашното насилие и насилието, основано на пола, и се криминализира разпространението на интимни изображения без съгласие; счита, че тези реформи са значително привеждане в съответствие с европейските стандарти;</w:t>
      </w:r>
    </w:p>
    <w:p w:rsidR="00171C6F" w:rsidRPr="00CB708D" w:rsidP="00171C6F" w14:paraId="54FEBDFD" w14:textId="77777777">
      <w:pPr>
        <w:pStyle w:val="NormalHanging12a"/>
        <w:rPr>
          <w:bCs/>
          <w:iCs/>
        </w:rPr>
      </w:pPr>
      <w:r w:rsidRPr="00CB708D">
        <w:t>30.</w:t>
      </w:r>
      <w:r w:rsidRPr="00CB708D">
        <w:tab/>
        <w:t>подчертава, че е необходимо да продължи работата за подобряване на положението на малцинствените общности, включително по отношение на използването на езици, както и за борба с дискриминацията и за насърчаване на многообразието; приветства напредъка по плана за действие относно защитата на правата на лицата, принадлежащи към малцинства или общности, и насърчава Северна Македония да го финализира по приобщаващ начин, като установи ясни критерии, измерими показатели и специален механизъм за наблюдение с цел гарантиране на ефективна защита срещу дискриминация и подобряване на основните права на всички граждани на Северна Македония; настоятелно призовава съответните политически заинтересовани страни да се въздържат от използване на поляризиращ и ескалиращ език, който може да засегне отношенията между общностите и малцинствата;</w:t>
      </w:r>
      <w:bookmarkStart w:id="11" w:name="_Hlk224741163"/>
    </w:p>
    <w:p w:rsidR="00171C6F" w:rsidRPr="00CB708D" w:rsidP="00171C6F" w14:paraId="4BCB8028" w14:textId="77777777">
      <w:pPr>
        <w:pStyle w:val="NormalHanging12a"/>
        <w:rPr>
          <w:bCs/>
          <w:iCs/>
        </w:rPr>
      </w:pPr>
      <w:r w:rsidRPr="00CB708D">
        <w:t>31.</w:t>
      </w:r>
      <w:r w:rsidRPr="00CB708D">
        <w:tab/>
        <w:t>подчертава, че етническото и културно многообразие на Северна Македония представлява безценен актив и следва да се превърне в източник на сила за по-нататъшно укрепване на демократичното и приобщаващото управление и ускоряване на напредъка на страната по пътя към присъединяване към ЕС; насърчава Северна Македония да включи всички свои етнически общности в конституцията си, да насърчава приобщаването, да защитава многообразието, да се бори с дискриминацията и да укрепва социалното сближаване в съответствие с европейските ценности и демократичните принципи, както и да гарантира изцяло равни права и възможности за всички;</w:t>
      </w:r>
    </w:p>
    <w:bookmarkEnd w:id="11"/>
    <w:p w:rsidR="00171C6F" w:rsidRPr="00CB708D" w:rsidP="00171C6F" w14:paraId="590051ED" w14:textId="77777777">
      <w:pPr>
        <w:pStyle w:val="NormalHanging12a"/>
        <w:rPr>
          <w:bCs/>
          <w:iCs/>
        </w:rPr>
      </w:pPr>
      <w:r w:rsidRPr="00CB708D">
        <w:t>32.</w:t>
      </w:r>
      <w:r w:rsidRPr="00CB708D">
        <w:tab/>
        <w:t>призовава за увеличаване на усилията за справяне с продължаващото социално-икономическо изключване на ромите; настоятелно призовава органите да гарантират ефективното прилагане на стратегията за приобщаване на ромите с измерими показатели, подходящ институционален мониторинг и адекватно разпределение на бюджета; изразява загриженост във връзка с продължаващата практика на училищна сегрегация в някои общини и призовава за проактивни мерки за премахване на сегрегацията;</w:t>
      </w:r>
    </w:p>
    <w:p w:rsidR="00171C6F" w:rsidRPr="00CB708D" w:rsidP="00171C6F" w14:paraId="7C53D14D" w14:textId="77777777">
      <w:pPr>
        <w:pStyle w:val="NormalHanging12a"/>
        <w:tabs>
          <w:tab w:val="left" w:pos="1977"/>
        </w:tabs>
        <w:rPr>
          <w:bCs/>
          <w:iCs/>
        </w:rPr>
      </w:pPr>
      <w:r w:rsidRPr="00CB708D">
        <w:t>33.</w:t>
      </w:r>
      <w:r w:rsidRPr="00CB708D">
        <w:tab/>
        <w:t xml:space="preserve">отбелязва със загриженост, че почти не е постигнат напредък по отношение на намаляването на пречките, пред които са изправени хората с увреждания в повечето аспекти на живота; насърчава полагането на повече усилия за </w:t>
      </w:r>
      <w:r w:rsidRPr="00CB708D">
        <w:t>завършване на правната и институционалната рамка относно правата на хората с увреждания и за подобряване на изпълнението и прилагането; отбелязва продължаващите структурни предизвикателства в работата на северномакедонската Комисия за предотвратяване и защита от дискриминация поради липса на ресурси;</w:t>
      </w:r>
    </w:p>
    <w:p w:rsidR="00171C6F" w:rsidRPr="00CB708D" w:rsidP="00171C6F" w14:paraId="36917FDE" w14:textId="77777777">
      <w:pPr>
        <w:pStyle w:val="NormalHanging12a"/>
        <w:rPr>
          <w:bCs/>
          <w:iCs/>
        </w:rPr>
      </w:pPr>
      <w:r w:rsidRPr="00CB708D">
        <w:t>34.</w:t>
      </w:r>
      <w:r w:rsidRPr="00CB708D">
        <w:tab/>
        <w:t>призовава за подобряване на правната защита на правата на ЛГБТИК+ лицата и за справяне с речта на омразата срещу тяхната общност, включително онлайн; изразява дълбока тревога във връзка с ескалацията на омразата срещу ЛГБТИК+ лицата и организациите на гражданското общество в Северна Македония;</w:t>
      </w:r>
    </w:p>
    <w:p w:rsidR="00171C6F" w:rsidRPr="00CB708D" w:rsidP="00171C6F" w14:paraId="06E33C19" w14:textId="77777777">
      <w:pPr>
        <w:pStyle w:val="NormalHanging12a"/>
        <w:rPr>
          <w:bCs/>
          <w:iCs/>
        </w:rPr>
      </w:pPr>
      <w:r w:rsidRPr="00CB708D">
        <w:t>35.</w:t>
      </w:r>
      <w:r w:rsidRPr="00CB708D">
        <w:tab/>
        <w:t>настоятелно призовава всички политически участници да изменят Закона за гражданския регистър, да гарантират бързо, достъпно и безпрепятствено правно признаване на пола и да установят прозрачна правна процедура в съответствие с международните стандарти и съответното решение на Европейския съд по правата на човека от 2019 г.;</w:t>
      </w:r>
    </w:p>
    <w:p w:rsidR="00171C6F" w:rsidRPr="00CB708D" w:rsidP="00171C6F" w14:paraId="56853364" w14:textId="77777777">
      <w:pPr>
        <w:pStyle w:val="NormalHanging12a"/>
        <w:rPr>
          <w:bCs/>
          <w:iCs/>
        </w:rPr>
      </w:pPr>
      <w:r w:rsidRPr="00CB708D">
        <w:t>36.</w:t>
      </w:r>
      <w:r w:rsidRPr="00CB708D">
        <w:tab/>
        <w:t>настоятелно призовава органите да възстановят ключовата антидискриминационна терминология в Закона за началното образование и призовава за повторно въвеждане на разпоредби относно задължителното докладване на училищно насилие с цел защита на уязвимите групи;</w:t>
      </w:r>
    </w:p>
    <w:p w:rsidR="00171C6F" w:rsidRPr="00CB708D" w:rsidP="00171C6F" w14:paraId="4F1178E4" w14:textId="77777777">
      <w:pPr>
        <w:pStyle w:val="NormalHanging12a"/>
        <w:rPr>
          <w:bCs/>
          <w:iCs/>
        </w:rPr>
      </w:pPr>
      <w:r w:rsidRPr="00CB708D">
        <w:t>37.</w:t>
      </w:r>
      <w:r w:rsidRPr="00CB708D">
        <w:tab/>
        <w:t>отбелязва със загриженост условията на живот в затворите в Северна Македония, на които трябва спешно да се обърне внимание;</w:t>
      </w:r>
    </w:p>
    <w:p w:rsidR="00171C6F" w:rsidP="00171C6F" w14:paraId="6C579C71" w14:textId="77777777">
      <w:pPr>
        <w:pStyle w:val="NormalHanging12a"/>
      </w:pPr>
      <w:r w:rsidRPr="00CB708D">
        <w:t>38.</w:t>
      </w:r>
      <w:r w:rsidRPr="00CB708D">
        <w:tab/>
        <w:t>приветства засиленото сътрудничество в областта на управлението на границите и призовава Северна Македония да укрепи управлението на миграцията, да се бори срещу престъпните мрежи на контрабандистите на мигранти, трафикантите на хора и други видове организирана престъпност, да подобри привеждането в съответствие с достиженията на правото на ЕС и да преодолее продължаващите предизвикателства при справянето със законната и незаконната миграция при пълно зачитане на правата на човека и международното право; подчертава, че незаконните отблъсквания на мигранти по границите на Северна Македония трябва да бъдат предотвратени;</w:t>
      </w:r>
    </w:p>
    <w:p w:rsidR="00DA5EB8" w:rsidRPr="00CB708D" w:rsidP="00171C6F" w14:paraId="0FF95021" w14:textId="2F3A7631">
      <w:pPr>
        <w:pStyle w:val="NormalHanging12a"/>
        <w:rPr>
          <w:bCs/>
          <w:iCs/>
        </w:rPr>
      </w:pPr>
      <w:r w:rsidRPr="00DA5EB8">
        <w:rPr>
          <w:bCs/>
          <w:iCs/>
        </w:rPr>
        <w:t>3</w:t>
      </w:r>
      <w:r>
        <w:rPr>
          <w:bCs/>
          <w:iCs/>
        </w:rPr>
        <w:t>9</w:t>
      </w:r>
      <w:r w:rsidRPr="00DA5EB8">
        <w:rPr>
          <w:bCs/>
          <w:iCs/>
        </w:rPr>
        <w:t>.</w:t>
      </w:r>
      <w:r w:rsidRPr="00DA5EB8">
        <w:rPr>
          <w:bCs/>
          <w:iCs/>
        </w:rPr>
        <w:tab/>
        <w:t xml:space="preserve">поздравява правителството на Северна Македония за бързата му реакция на антисемитския палеж, насочен срещу сграда на еврейската общност в Скопие на 12 април 2026 г.; </w:t>
      </w:r>
    </w:p>
    <w:p w:rsidR="00171C6F" w:rsidRPr="00CB708D" w:rsidP="00171C6F" w14:paraId="78197E2E" w14:textId="77777777">
      <w:pPr>
        <w:pStyle w:val="NormalHanging12a"/>
        <w:rPr>
          <w:b/>
          <w:i/>
          <w:iCs/>
        </w:rPr>
      </w:pPr>
      <w:r w:rsidRPr="00CB708D">
        <w:rPr>
          <w:b/>
          <w:i/>
        </w:rPr>
        <w:t>Върховенство на закона</w:t>
      </w:r>
    </w:p>
    <w:p w:rsidR="00171C6F" w:rsidRPr="00CB708D" w:rsidP="00171C6F" w14:paraId="050A908B" w14:textId="70D507C5">
      <w:pPr>
        <w:pStyle w:val="NormalHanging12a"/>
        <w:rPr>
          <w:bCs/>
          <w:iCs/>
        </w:rPr>
      </w:pPr>
      <w:r>
        <w:t>40</w:t>
      </w:r>
      <w:r w:rsidRPr="00CB708D">
        <w:t>.</w:t>
      </w:r>
      <w:r w:rsidRPr="00CB708D">
        <w:tab/>
        <w:t>изразява загриженост, че съдебната система, независимостта на съдилищата и прокуратурата, както и усилията за укрепване на принципите на правовата държава и рамките за борба с корупцията не са напреднали в достатъчна степен; призовава политическите заинтересовани страни спешно да се въздържат от политическа намеса в съдебната система; отбелязва със загриженост дълбоките структурни слабости и отрицателните тенденции във функционирането на съдебната система, включително недостатъчното финансиране и персонал на съдебните институции, което подкопава нейната независимост; поради това призовава Северна Македония да ускори изпълнението на стратегията за съдебна реформа за периода 2024 – 2028 г.;</w:t>
      </w:r>
    </w:p>
    <w:p w:rsidR="00171C6F" w:rsidRPr="00CB708D" w:rsidP="00171C6F" w14:paraId="0157D248" w14:textId="379805D4">
      <w:pPr>
        <w:pStyle w:val="NormalHanging12a"/>
        <w:rPr>
          <w:bCs/>
          <w:iCs/>
        </w:rPr>
      </w:pPr>
      <w:r>
        <w:t>41</w:t>
      </w:r>
      <w:r w:rsidRPr="00CB708D">
        <w:t>.</w:t>
      </w:r>
      <w:r w:rsidRPr="00CB708D">
        <w:tab/>
        <w:t>подчертава значението на запазването на почтеността и независимостта на съдебната система, включително чрез укрепване на Съдебния съвет в съответствие с препоръката и становището на мисията за партньорска проверка на Венецианската комисия от 2023 г.;</w:t>
      </w:r>
    </w:p>
    <w:p w:rsidR="00171C6F" w:rsidRPr="00CB708D" w:rsidP="00171C6F" w14:paraId="212AC6F6" w14:textId="5E247A31">
      <w:pPr>
        <w:pStyle w:val="NormalHanging12a"/>
        <w:rPr>
          <w:bCs/>
          <w:iCs/>
        </w:rPr>
      </w:pPr>
      <w:r>
        <w:t>42</w:t>
      </w:r>
      <w:r w:rsidRPr="00CB708D">
        <w:t>.</w:t>
      </w:r>
      <w:r w:rsidRPr="00CB708D">
        <w:tab/>
        <w:t>изразява загриженост, че измененията на Наказателния кодекс в Северна Македония, с които се съкратиха давностните срокове и се намалиха санкциите за корупция по високите етажи на властта и за злоупотреба със служебно положение, подкопаха текущите съдебни производства, включително знакови дела, като създадоха усещане за безнаказаност по отношение на видни политически участници и допълнително отслабиха общественото доверие в съдебната система;</w:t>
      </w:r>
    </w:p>
    <w:p w:rsidR="00171C6F" w:rsidRPr="00CB708D" w:rsidP="00171C6F" w14:paraId="011F84B1" w14:textId="3870A462">
      <w:pPr>
        <w:pStyle w:val="NormalHanging12a"/>
      </w:pPr>
      <w:r>
        <w:t>43</w:t>
      </w:r>
      <w:r w:rsidRPr="00CB708D">
        <w:t>.</w:t>
      </w:r>
      <w:r w:rsidRPr="00CB708D">
        <w:tab/>
        <w:t>призовава компетентните органи да гарантират подходящи последващи действия във връзка със случаи на потенциални престъпления от омраза, включително такива, които засягат етнически групи и общности;</w:t>
      </w:r>
    </w:p>
    <w:p w:rsidR="00171C6F" w:rsidRPr="00CB708D" w:rsidP="00171C6F" w14:paraId="3132378E" w14:textId="545F23BC">
      <w:pPr>
        <w:pStyle w:val="NormalHanging12a"/>
      </w:pPr>
      <w:r>
        <w:t>44</w:t>
      </w:r>
      <w:r w:rsidRPr="00CB708D">
        <w:t>.</w:t>
      </w:r>
      <w:r w:rsidRPr="00CB708D">
        <w:tab/>
        <w:t>отбелязва със загриженост, че не е постигнат напредък в предотвратяването и борбата с корупцията и че корупцията продължава да бъде широко разпространена в редица области; подчертава, че продължава да съществува значителна и необяснима разлика между официално обявените разследвания за корупция и съдебните констатации за вина по дела за корупция по високите етажи на властта; призовава правителството на Северна Македония да подобри прилагането на националната си стратегия за предотвратяване на корупцията и конфликтите на интереси и да приеме нов наказателен кодекс в съответствие с достиженията на правото на ЕС и международните стандарти; освен това призовава за засилена защита на лицата, сигнализиращи за нередности, тъй като тя продължава да бъде слаба и по този начин лицата се обезкуражават да докладват за случаи на корупция; приветства обаче активното участие на Северна Македония в Международния договор за обмен на данни за проверка на декларациите за имуществено състояние, което позиционира страната като регионална отправна точка в този механизъм;</w:t>
      </w:r>
    </w:p>
    <w:p w:rsidR="00171C6F" w:rsidRPr="00CB708D" w:rsidP="00171C6F" w14:paraId="6E8A1C16" w14:textId="60EABEDC">
      <w:pPr>
        <w:pStyle w:val="NormalHanging12a"/>
        <w:rPr>
          <w:bCs/>
          <w:iCs/>
        </w:rPr>
      </w:pPr>
      <w:r>
        <w:t>45</w:t>
      </w:r>
      <w:r w:rsidRPr="00CB708D">
        <w:t>.</w:t>
      </w:r>
      <w:r w:rsidRPr="00CB708D">
        <w:tab/>
        <w:t>настоятелно призовава за своевременно приемане на всеобхватна стратегия за борба с корупцията за периода 2026 – 2030 г. с ясни отговорности и измерими цели и призовава за прилагане на неизпълнените препоръки на Групата държави срещу корупцията (GRECO);</w:t>
      </w:r>
    </w:p>
    <w:p w:rsidR="00171C6F" w:rsidRPr="00CB708D" w:rsidP="00171C6F" w14:paraId="43646F5A" w14:textId="28A8D66A">
      <w:pPr>
        <w:pStyle w:val="NormalHanging12a"/>
      </w:pPr>
      <w:r>
        <w:t>46</w:t>
      </w:r>
      <w:r w:rsidRPr="00CB708D">
        <w:t>.</w:t>
      </w:r>
      <w:r w:rsidRPr="00CB708D">
        <w:tab/>
        <w:t>отбелязва със загриженост, че забавянията в съдебните производства и ограничените ресурси продължават да възпрепятстват постигането на солидни резултати по делата за корупция по високите етажи на властта; призовава по-специално за разследвания и окончателни присъди по дела за корупция на високо равнище, които биха могли да послужат като пример, че корупцията се разглежда на всички равнища и че няма да има безнаказаност;</w:t>
      </w:r>
    </w:p>
    <w:p w:rsidR="00171C6F" w:rsidRPr="00CB708D" w:rsidP="00171C6F" w14:paraId="7F10B72B" w14:textId="703667D6">
      <w:pPr>
        <w:pStyle w:val="NormalHanging12a"/>
        <w:rPr>
          <w:bCs/>
        </w:rPr>
      </w:pPr>
      <w:r>
        <w:t>47</w:t>
      </w:r>
      <w:r w:rsidRPr="00CB708D">
        <w:t>.</w:t>
      </w:r>
      <w:r w:rsidRPr="00CB708D">
        <w:tab/>
        <w:t>отбелязва, че възприеманото равнище на доверие в съдебната система продължава да бъде много ниско и че са необходими допълнителни усилия за предотвратяване на неправомерно влияние и сплашване;</w:t>
      </w:r>
    </w:p>
    <w:p w:rsidR="00171C6F" w:rsidRPr="00CB708D" w:rsidP="00171C6F" w14:paraId="3F4FE6E8" w14:textId="723A79F2">
      <w:pPr>
        <w:pStyle w:val="NormalHanging12a"/>
        <w:rPr>
          <w:bCs/>
        </w:rPr>
      </w:pPr>
      <w:r>
        <w:t>48</w:t>
      </w:r>
      <w:r w:rsidRPr="00CB708D">
        <w:t>.</w:t>
      </w:r>
      <w:r w:rsidRPr="00CB708D">
        <w:tab/>
        <w:t>призовава Северна Македония да увеличи усилията си за борба с изпирането на пари;</w:t>
      </w:r>
    </w:p>
    <w:p w:rsidR="00171C6F" w:rsidRPr="00CB708D" w:rsidP="00171C6F" w14:paraId="775A168A" w14:textId="486526D5">
      <w:pPr>
        <w:pStyle w:val="NormalHanging12a"/>
        <w:rPr>
          <w:bCs/>
        </w:rPr>
      </w:pPr>
      <w:r>
        <w:t>49</w:t>
      </w:r>
      <w:r w:rsidRPr="00CB708D">
        <w:t>.</w:t>
      </w:r>
      <w:r w:rsidRPr="00CB708D">
        <w:tab/>
        <w:t>призовава за по-съгласувани усилия за ефективна борба с организираната престъпност; призовава правителството на Северна Македония да приведе националното законодателство в областта на оръжията, упойващите и психотропните вещества в съответствие с достиженията на правото на ЕС;</w:t>
      </w:r>
    </w:p>
    <w:p w:rsidR="00171C6F" w:rsidRPr="00CB708D" w:rsidP="00171C6F" w14:paraId="561F982E" w14:textId="6B8FA533">
      <w:pPr>
        <w:pStyle w:val="NormalHanging12a"/>
        <w:rPr>
          <w:bCs/>
        </w:rPr>
      </w:pPr>
      <w:r>
        <w:t>50</w:t>
      </w:r>
      <w:r w:rsidRPr="00CB708D">
        <w:t>.</w:t>
      </w:r>
      <w:r w:rsidRPr="00CB708D">
        <w:tab/>
        <w:t>насърчава националните органи да създадат всеобхватна рамка за подкрепа на жените, преживели насилие, основано на пола, включително чрез предоставяне на правно гарантирана финансова помощ, гарантиране на безплатна правна помощ и освобождаване от съдебни разходи, създаване на държавен фонд за покриване на неизплатена издръжка за дете и увеличаване на инвестициите в икономическото овластяване на жените чрез целенасочено обучение, социални предприятия и местни инициативи за заетост;</w:t>
      </w:r>
    </w:p>
    <w:p w:rsidR="00171C6F" w:rsidRPr="00CB708D" w:rsidP="00171C6F" w14:paraId="151DF3DB" w14:textId="77777777">
      <w:pPr>
        <w:pStyle w:val="NormalHanging12a"/>
        <w:rPr>
          <w:b/>
          <w:i/>
          <w:iCs/>
        </w:rPr>
      </w:pPr>
      <w:r w:rsidRPr="00CB708D">
        <w:rPr>
          <w:b/>
          <w:i/>
        </w:rPr>
        <w:t>Социално-икономически реформи</w:t>
      </w:r>
    </w:p>
    <w:p w:rsidR="00171C6F" w:rsidRPr="00CB708D" w:rsidP="00171C6F" w14:paraId="3920D58D" w14:textId="00C17DFB">
      <w:pPr>
        <w:pStyle w:val="NormalHanging12a"/>
        <w:rPr>
          <w:bCs/>
          <w:iCs/>
        </w:rPr>
      </w:pPr>
      <w:r>
        <w:t>51</w:t>
      </w:r>
      <w:r w:rsidRPr="00CB708D">
        <w:t>.</w:t>
      </w:r>
      <w:r w:rsidRPr="00CB708D">
        <w:tab/>
        <w:t>подкрепя продължаващите усилия за модернизиране на икономиката, преодоляване на несъответствията между търсените и предлаганите умения, укрепване на цифровата икономика и подобряване на бизнес средата, които са в съответствие с необходимостта от отговор на конкурентния натиск на вътрешния пазар на ЕС; подчертава, че устойчивият икономически растеж зависи от принципите на правовата държава, предвидимостта на съдебната система и ефективните действия срещу корупцията; призовава за прилагането на закона за устройството на държавния бюджет за 2023 г., като се въведат фискални правила и фискален съвет и се укрепи средносрочната бюджетна процедура;</w:t>
      </w:r>
    </w:p>
    <w:p w:rsidR="00171C6F" w:rsidRPr="00CB708D" w:rsidP="00171C6F" w14:paraId="3BAD5684" w14:textId="1A0AC1C1">
      <w:pPr>
        <w:pStyle w:val="NormalHanging12a"/>
        <w:rPr>
          <w:bCs/>
          <w:iCs/>
        </w:rPr>
      </w:pPr>
      <w:r>
        <w:t>52</w:t>
      </w:r>
      <w:r w:rsidRPr="00CB708D">
        <w:t>.</w:t>
      </w:r>
      <w:r w:rsidRPr="00CB708D">
        <w:tab/>
        <w:t>подчертава необходимостта от справяне със социалните предизвикателства, гарантиране на политики за висококачествена заетост, насърчаване на социалното сближаване по посока стандартите на ЕС и постигане на напредък по отношение на Европейския стълб на социалните права;</w:t>
      </w:r>
    </w:p>
    <w:p w:rsidR="00171C6F" w:rsidRPr="00CB708D" w:rsidP="00171C6F" w14:paraId="03DCED0F" w14:textId="29B7CC1A">
      <w:pPr>
        <w:pStyle w:val="NormalHanging12a"/>
      </w:pPr>
      <w:r>
        <w:t>53</w:t>
      </w:r>
      <w:r w:rsidRPr="00CB708D">
        <w:t>.</w:t>
      </w:r>
      <w:r w:rsidRPr="00CB708D">
        <w:tab/>
        <w:t>приветства първите стъпки по посока към изпълнение на програмата за реформи и на многогодишната работна програма по линия на Инструмента за реформи и растеж за Западните Балкани, която е на път да доведе до конкретни ползи за гражданите; насърчава Северна Македония да продължи да изпява своята програма за реформи; подчертава необходимостта от значително ускоряване и изпълнение на програмата за реформи, по-специално по отношение на клъстера „Основополагащи въпроси“; подчертава, че отпускането на средства трябва да остане строго обвързано с изпълнението на договорените цели на реформите и етапите; приветства приемането на всеобхватната рамка за киберсигурност и актуализирания Закон за електронните документи, електронната идентификация и удостоверителните услуги; приветства обективния и основан на факти начин, по който Комисията е оценила изпълнението на стъпките за реформи досега;</w:t>
      </w:r>
      <w:r w:rsidR="00DA5EB8">
        <w:t xml:space="preserve"> </w:t>
      </w:r>
      <w:r w:rsidRPr="00DA5EB8" w:rsidR="00DA5EB8">
        <w:t>горещо приветства неотдавнашното отпускане на 65,7 милиона евро на Северна Македония по линия на Инструмента за реформи и растеж след положителна оценка на изпълнението на реформите, а именно в областта на цифровизацията и образованието;</w:t>
      </w:r>
    </w:p>
    <w:p w:rsidR="00171C6F" w:rsidRPr="00CB708D" w:rsidP="00171C6F" w14:paraId="4D7F0987" w14:textId="0B1DCF43">
      <w:pPr>
        <w:pStyle w:val="NormalHanging12a"/>
      </w:pPr>
      <w:r>
        <w:t>54</w:t>
      </w:r>
      <w:r w:rsidRPr="00CB708D">
        <w:t>.</w:t>
      </w:r>
      <w:r w:rsidRPr="00CB708D">
        <w:tab/>
        <w:t xml:space="preserve">призовава ЕС и Северна Македония да се стремят към засилен надзор и пълноценно участие на организациите на гражданското общество, стопанските асоциации и социалните партньори на всички етапи от Инструмента за реформи и растеж за Западните Балкани, включително разработване на мерки за реформи, изпълнение на проекти и мониторинг на резултатите; признава необходимостта от </w:t>
      </w:r>
      <w:r w:rsidRPr="00CB708D">
        <w:t>подобряване на бизнес климата и функционирането на пазарната икономика; призовава за поставяне на по-голям акцент върху мерките за коригиране на нарушенията на пазара и върху социална закрила; призовава да се обърне по-голямо внимание на отрицателните демографски тенденции и на справянето с неформалната икономика и нейното отрицателно социално и фискално въздействие;</w:t>
      </w:r>
    </w:p>
    <w:p w:rsidR="00171C6F" w:rsidRPr="00CB708D" w:rsidP="00171C6F" w14:paraId="1D9D58E9" w14:textId="11A4F5F4">
      <w:pPr>
        <w:pStyle w:val="NormalHanging12a"/>
      </w:pPr>
      <w:r>
        <w:t>55</w:t>
      </w:r>
      <w:r w:rsidRPr="00CB708D">
        <w:t>.</w:t>
      </w:r>
      <w:r w:rsidRPr="00CB708D">
        <w:tab/>
        <w:t>призовава органите да гарантират независимостта и легитимната роля на представителните профсъюзи и осигурят спазването на основните трудови права, включително колективното договаряне, в законодателството и практиката; освен това призовава органите да гарантират конструктивен и пълноценен диалог с профсъюзните организации за справяне с неотложни въпроси като работните заплати, условията на труд и социалната закрила, включително по отношение на работата през платформа;</w:t>
      </w:r>
    </w:p>
    <w:p w:rsidR="00171C6F" w:rsidRPr="00CB708D" w:rsidP="00171C6F" w14:paraId="3868A675" w14:textId="007C3ABE">
      <w:pPr>
        <w:pStyle w:val="NormalHanging12a"/>
      </w:pPr>
      <w:r>
        <w:t>56</w:t>
      </w:r>
      <w:r w:rsidRPr="00CB708D">
        <w:t>.</w:t>
      </w:r>
      <w:r w:rsidRPr="00CB708D">
        <w:tab/>
        <w:t>признава стратегическото значение на секторите на културата и творчеството и необходимостта от стабилна, съобразена с ЕС рамка за авторското право; призовава Северна Македония да гарантира справедливо възнаграждение за авторите и изпълнителите, да приведе колективното управление на правата в съответствие с достиженията на правото на ЕС и да укрепи правоприлагането срещу пиратството; подчертава, че слабата защита на носителите на авторски права подкопава устойчивостта на медиите и разработването на висококачествено аудио-визуално съдържание.</w:t>
      </w:r>
    </w:p>
    <w:p w:rsidR="00171C6F" w:rsidRPr="00CB708D" w:rsidP="00171C6F" w14:paraId="21C698BE" w14:textId="38E6437C">
      <w:pPr>
        <w:pStyle w:val="NormalHanging12a"/>
      </w:pPr>
      <w:r>
        <w:t>57</w:t>
      </w:r>
      <w:r w:rsidRPr="00CB708D">
        <w:t>.</w:t>
      </w:r>
      <w:r w:rsidRPr="00CB708D">
        <w:tab/>
        <w:t xml:space="preserve">призовава за продължаване на изпълнението на стратегиите за активизиране на пазара на труда за младите хора, дългосрочно безработните, нискоквалифицираните лица и групите в неравностойно положение, като например жените, хората с увреждания, ромите и </w:t>
      </w:r>
      <w:r w:rsidRPr="00CB708D">
        <w:t>гюптите</w:t>
      </w:r>
      <w:r w:rsidRPr="00CB708D">
        <w:t>;</w:t>
      </w:r>
    </w:p>
    <w:p w:rsidR="00171C6F" w:rsidRPr="00CB708D" w:rsidP="00171C6F" w14:paraId="5ADE7A60" w14:textId="74B7AD92">
      <w:pPr>
        <w:pStyle w:val="NormalHanging12a"/>
        <w:rPr>
          <w:bCs/>
          <w:iCs/>
        </w:rPr>
      </w:pPr>
      <w:r>
        <w:t>58</w:t>
      </w:r>
      <w:r w:rsidRPr="00CB708D">
        <w:t>.</w:t>
      </w:r>
      <w:r w:rsidRPr="00CB708D">
        <w:tab/>
        <w:t>насърчава укрепването на политиката за младежта чрез изменение на Закона за участието на младите хора и политиките за младежта, установяване на ефективен мониторинг и специален бюджетен код и подобряване на местните младежки структури;</w:t>
      </w:r>
    </w:p>
    <w:p w:rsidR="00171C6F" w:rsidRPr="00CB708D" w:rsidP="00171C6F" w14:paraId="2409AE69" w14:textId="458AAC9B">
      <w:pPr>
        <w:pStyle w:val="NormalHanging12a"/>
      </w:pPr>
      <w:r>
        <w:t>59</w:t>
      </w:r>
      <w:r w:rsidRPr="00CB708D">
        <w:t>.</w:t>
      </w:r>
      <w:r w:rsidRPr="00CB708D">
        <w:tab/>
        <w:t>приветства интеграцията на Северна Македония в географския обхват на единната зона за плащания в евро (SEPA);</w:t>
      </w:r>
    </w:p>
    <w:p w:rsidR="00171C6F" w:rsidRPr="00CB708D" w:rsidP="00171C6F" w14:paraId="2274BD73" w14:textId="1282B3CD">
      <w:pPr>
        <w:pStyle w:val="NormalHanging12a"/>
        <w:rPr>
          <w:bCs/>
        </w:rPr>
      </w:pPr>
      <w:r>
        <w:t>60</w:t>
      </w:r>
      <w:r w:rsidRPr="00CB708D">
        <w:t>.</w:t>
      </w:r>
      <w:r w:rsidRPr="00CB708D">
        <w:tab/>
        <w:t xml:space="preserve">горещо приветства предложението на Комисията </w:t>
      </w:r>
      <w:r w:rsidRPr="00DA5EB8" w:rsidR="00DA5EB8">
        <w:t xml:space="preserve">и разрешението на Съвета </w:t>
      </w:r>
      <w:r w:rsidRPr="00CB708D">
        <w:t>за започване на преговори за разширяване на режима на ЕС за „роуминг като у дома“, така че да обхване Албания, Босна и Херцеговина, Косово, Черна гора, Северна Македония и Сърбия</w:t>
      </w:r>
      <w:r w:rsidR="00DA5EB8">
        <w:t>,</w:t>
      </w:r>
      <w:r w:rsidRPr="00CB708D">
        <w:t xml:space="preserve"> </w:t>
      </w:r>
      <w:r w:rsidRPr="00DA5EB8" w:rsidR="00DA5EB8">
        <w:t xml:space="preserve">и призовава Комисията и партньорите от Западните Балкани бързо да предприемат необходимите стъпки за реципрочно отваряне на пазарите на роуминг на ЕС и </w:t>
      </w:r>
      <w:r w:rsidRPr="00CB708D">
        <w:t xml:space="preserve"> партньорите от Западните Балкани; подчертава, че разширяването на зоната „роуминг като у дома“, така че да обхване Западните Балкани, би донесло осезаеми ползи както за гражданите, така и за предприятията, като насърчи контактите между хората, засили икономическите връзки, подкрепи образователния обмен и улесни туризма;</w:t>
      </w:r>
    </w:p>
    <w:p w:rsidR="00171C6F" w:rsidRPr="00CB708D" w:rsidP="00171C6F" w14:paraId="7394AD4E" w14:textId="3B38805C">
      <w:pPr>
        <w:pStyle w:val="NormalHanging12a"/>
        <w:rPr>
          <w:bCs/>
        </w:rPr>
      </w:pPr>
      <w:r>
        <w:t>61</w:t>
      </w:r>
      <w:r w:rsidRPr="00CB708D">
        <w:t>.</w:t>
      </w:r>
      <w:r w:rsidRPr="00CB708D">
        <w:tab/>
        <w:t>призовава Северна Македония да приведе законодателството си в съответствие с достиженията на правото на ЕС в областта на скрининга на преките чуждестранни инвестиции;</w:t>
      </w:r>
    </w:p>
    <w:p w:rsidR="00171C6F" w:rsidRPr="00CB708D" w:rsidP="00171C6F" w14:paraId="29C982F2" w14:textId="77777777">
      <w:pPr>
        <w:pStyle w:val="NormalHanging12a"/>
        <w:rPr>
          <w:b/>
        </w:rPr>
      </w:pPr>
      <w:r w:rsidRPr="00CB708D">
        <w:rPr>
          <w:b/>
          <w:i/>
        </w:rPr>
        <w:t>Околна среда, биологично разнообразие, енергетика и транспорт</w:t>
      </w:r>
    </w:p>
    <w:p w:rsidR="00171C6F" w:rsidRPr="00CB708D" w:rsidP="00171C6F" w14:paraId="32B15043" w14:textId="01A12ECE">
      <w:pPr>
        <w:pStyle w:val="NormalHanging12a"/>
      </w:pPr>
      <w:bookmarkStart w:id="12" w:name="_f5cyx5lfgtpa"/>
      <w:bookmarkEnd w:id="12"/>
      <w:r>
        <w:t>62</w:t>
      </w:r>
      <w:r w:rsidRPr="00CB708D">
        <w:t>.</w:t>
      </w:r>
      <w:r w:rsidRPr="00CB708D">
        <w:tab/>
        <w:t>призовава за увеличаване на инвестициите в транспортната и енергийната инфраструктура и за постигане на напредък на усилията за сближаване на законодателството в областта на транспорта, енергетиката и околната среда със стандартите на ЕС; призовава националното законодателство да бъде приведено в съответствие с правилата на ЕС за правата на пътниците; подчертава необходимостта от укрепване на свързаността и гарантиране на безпрепятствени търговски потоци, по-специално в пътното движение; призовава за прилагането на Системата на ЕС за влизане/излизане, като се има предвид нейното въздействие върху професионалните водачи и веригите на доставка;</w:t>
      </w:r>
    </w:p>
    <w:p w:rsidR="00171C6F" w:rsidRPr="00CB708D" w:rsidP="00171C6F" w14:paraId="5760E5B7" w14:textId="1F8D3F19">
      <w:pPr>
        <w:pStyle w:val="NormalHanging12a"/>
        <w:rPr>
          <w:bCs/>
          <w:iCs/>
        </w:rPr>
      </w:pPr>
      <w:r>
        <w:t>63</w:t>
      </w:r>
      <w:r w:rsidRPr="00CB708D">
        <w:t>.</w:t>
      </w:r>
      <w:r w:rsidRPr="00CB708D">
        <w:tab/>
        <w:t>подчертава значението на трансграничните връзки, като например коридори VIII и X на трансевропейската транспортна мрежа (TEN-T), тъй като те са жизненоважни за засилване на икономическо сътрудничество със съседните държави и на контактите между хората; разчита на ефективното изпълнение на поетите ангажименти; приветства споразумението между България и Северна Македония относно изграждането на трансграничен железопътен тунел, което бележи решителна стъпка към завършването на железопътната връзка по коридор VIII; отбелязва стратегическото значение на коридор VIII за геостратегическата автономност на ЕС и НАТО, който служи като ключов логистичен маршрут по южния фланг на НАТО;</w:t>
      </w:r>
    </w:p>
    <w:p w:rsidR="00171C6F" w:rsidRPr="00CB708D" w:rsidP="00171C6F" w14:paraId="3B599358" w14:textId="08BA66A5">
      <w:pPr>
        <w:pStyle w:val="NormalHanging12a"/>
      </w:pPr>
      <w:r>
        <w:t>64</w:t>
      </w:r>
      <w:r w:rsidRPr="00CB708D">
        <w:t>.</w:t>
      </w:r>
      <w:r w:rsidRPr="00CB708D">
        <w:tab/>
        <w:t>приветства приемането на Закона за енергетиката през май 2025 г., но подчертава, че страната все още е силно зависима от въглищата; призовава за бързо навлизане на енергията от възобновяеми източници и за поставяне на по-силен акцент върху енергийната ефективност, по-специално за сградите;</w:t>
      </w:r>
    </w:p>
    <w:p w:rsidR="00171C6F" w:rsidRPr="00CB708D" w:rsidP="00171C6F" w14:paraId="76766617" w14:textId="72008EA2">
      <w:pPr>
        <w:pStyle w:val="NormalHanging12a"/>
        <w:rPr>
          <w:bCs/>
          <w:iCs/>
        </w:rPr>
      </w:pPr>
      <w:r>
        <w:t>65</w:t>
      </w:r>
      <w:r w:rsidRPr="00CB708D">
        <w:t>.</w:t>
      </w:r>
      <w:r w:rsidRPr="00CB708D">
        <w:tab/>
        <w:t>изразява съжаление, че е постигнат слаб напредък в законодателството в областта на околната среда; призовава по-специално за предприемане на спешни действия, с цел да се обърне внимание на качеството на въздуха и водата и управлението на отпадъчните води, включително чрез увеличено и изрично заделено национално финансиране за водоснабдителна и канализационна инфраструктура в градските и селските райони, интегриране на водоснабдителните системи в селата в комуналните услуги, когато това е осъществимо, с ясно определени институционални отговорности, осигуряване на редовен санитарен и лабораторен контрол с публично оповестяване на резултатите и засилване на надзора на инспекциите, включително въвеждане на санкции за нерегулирани, лошо поддържани или замърсяващи системи;</w:t>
      </w:r>
    </w:p>
    <w:p w:rsidR="00171C6F" w:rsidRPr="00CB708D" w:rsidP="00171C6F" w14:paraId="3737795E" w14:textId="1A6CD860">
      <w:pPr>
        <w:pStyle w:val="NormalHanging12a"/>
        <w:rPr>
          <w:bCs/>
          <w:iCs/>
        </w:rPr>
      </w:pPr>
      <w:r>
        <w:t>66</w:t>
      </w:r>
      <w:r w:rsidRPr="00CB708D">
        <w:t>.</w:t>
      </w:r>
      <w:r w:rsidRPr="00CB708D">
        <w:tab/>
        <w:t>отбелязва със загриженост постоянните високи равнища на замърсяване на въздуха, по-специално в градските райони, които са тясно свързани с изгарянето на въглища и производството на цимент; изразява сериозна загриженост в този контекст относно новия Закон относно контрола на емисиите от промишлеността и настоятелно призовава органите да го изменят чрез прозрачна и приобщаваща публична процедура с участието на всички съответни заинтересовани страни, по-специално експерти в областта на околната среда и организации на гражданското общество; подчертава спешната необходимост от подобряване на качеството на въздуха в градовете, включително чрез мерки, като въвеждането на зони с ниски емисии и придобиването на модерни, по-малко замърсяващи превозни средства в обществения транспорт;</w:t>
      </w:r>
    </w:p>
    <w:p w:rsidR="00171C6F" w:rsidRPr="00CB708D" w:rsidP="00171C6F" w14:paraId="6637CC1C" w14:textId="5CB58BF4">
      <w:pPr>
        <w:pStyle w:val="NormalHanging12a"/>
        <w:rPr>
          <w:bCs/>
          <w:iCs/>
        </w:rPr>
      </w:pPr>
      <w:r>
        <w:t>67</w:t>
      </w:r>
      <w:r w:rsidRPr="00CB708D">
        <w:t>.</w:t>
      </w:r>
      <w:r w:rsidRPr="00CB708D">
        <w:tab/>
        <w:t>отбелязва със загриженост ограничения напредък в прилагането на хоризонталното законодателство в областта на околната среда и настоятелно призовава Северна Македония да приведе изцяло в съответствие и ефективно да прилага директивите за оценка на въздействието върху околната среда</w:t>
      </w:r>
      <w:r>
        <w:rPr>
          <w:rStyle w:val="FootnoteReference"/>
          <w:bCs/>
          <w:iCs/>
        </w:rPr>
        <w:footnoteReference w:id="9"/>
      </w:r>
      <w:r w:rsidRPr="00CB708D">
        <w:t xml:space="preserve"> и за стратегическа екологична оценка</w:t>
      </w:r>
      <w:r>
        <w:rPr>
          <w:rStyle w:val="FootnoteReference"/>
          <w:bCs/>
          <w:iCs/>
        </w:rPr>
        <w:footnoteReference w:id="10"/>
      </w:r>
      <w:r w:rsidRPr="00CB708D">
        <w:t>, включително вторичното законодателство, свързано с малките водноелектрически проекти;</w:t>
      </w:r>
    </w:p>
    <w:p w:rsidR="00171C6F" w:rsidRPr="00CB708D" w:rsidP="00171C6F" w14:paraId="059E3A86" w14:textId="3BC6E882">
      <w:pPr>
        <w:pStyle w:val="NormalHanging12a"/>
        <w:rPr>
          <w:bCs/>
          <w:iCs/>
        </w:rPr>
      </w:pPr>
      <w:r>
        <w:t>68</w:t>
      </w:r>
      <w:r w:rsidRPr="00CB708D">
        <w:t>.</w:t>
      </w:r>
      <w:r w:rsidRPr="00CB708D">
        <w:tab/>
        <w:t>призовава правителството на Северна Македония и местните органи да засилят мерките в областта на биологичното разнообразие, да въведат ефективна правна защита за защитените зони по „Емералд“, определени съгласно Бернската конвенция, и да ускорят идентифицирането и определянето на бъдещи защитени зони по „Натура 2000“; настоятелно призовава правителството на Северна Македония да изведе като приоритет и да ускори приемането на нов закон за опазване на природата, който да замени остарялата правна рамка и да гарантира пълно съответствие с директивите на ЕС за местообитанията</w:t>
      </w:r>
      <w:r>
        <w:rPr>
          <w:rStyle w:val="FootnoteReference"/>
          <w:bCs/>
          <w:iCs/>
        </w:rPr>
        <w:footnoteReference w:id="11"/>
      </w:r>
      <w:r w:rsidRPr="00CB708D">
        <w:t xml:space="preserve"> и птиците</w:t>
      </w:r>
      <w:r>
        <w:rPr>
          <w:rStyle w:val="FootnoteReference"/>
          <w:bCs/>
          <w:iCs/>
        </w:rPr>
        <w:footnoteReference w:id="12"/>
      </w:r>
      <w:r w:rsidRPr="00CB708D">
        <w:t>;</w:t>
      </w:r>
    </w:p>
    <w:p w:rsidR="00171C6F" w:rsidRPr="00CB708D" w:rsidP="00171C6F" w14:paraId="2237CCD2" w14:textId="58D28709">
      <w:pPr>
        <w:pStyle w:val="NormalHanging12a"/>
        <w:rPr>
          <w:bCs/>
          <w:iCs/>
        </w:rPr>
      </w:pPr>
      <w:r>
        <w:t>69</w:t>
      </w:r>
      <w:r w:rsidRPr="00CB708D">
        <w:t>.</w:t>
      </w:r>
      <w:r w:rsidRPr="00CB708D">
        <w:tab/>
        <w:t>приветства продължаващото сътрудничество на Северна Македония с Косово и Албания по отношение на трансграничния национален парк „Шар планина“; отново заявява неотложната необходимост от приемане на Закона за повторното провъзгласяване на национален парк „Маврово“, за да се гарантира окончателното изготвяне и ефективното изпълнение на неговия план за управление; насърчава включването на Ябланица в националния списък на защитените зони; настоятелно призовава Северна Македония да разработи и приложи национален план за действие и управление за опазването на балканския рис, приведен в съответствие с регионалната стратегия и в сътрудничество със съседните държави, включително с оглед на поддържането на екологична свързаност между ключови местообитания, включително Маврово и Ябланица, и трансгранични зони;</w:t>
      </w:r>
    </w:p>
    <w:p w:rsidR="00171C6F" w:rsidRPr="00CB708D" w:rsidP="00171C6F" w14:paraId="51B95939" w14:textId="77777777">
      <w:pPr>
        <w:pStyle w:val="NormalHanging12a"/>
        <w:rPr>
          <w:b/>
        </w:rPr>
      </w:pPr>
      <w:r w:rsidRPr="00CB708D">
        <w:rPr>
          <w:b/>
          <w:i/>
        </w:rPr>
        <w:t>Регионално сътрудничество и външна политика</w:t>
      </w:r>
    </w:p>
    <w:p w:rsidR="00171C6F" w:rsidRPr="00CB708D" w:rsidP="00171C6F" w14:paraId="4EA0BDBE" w14:textId="1F934CDF">
      <w:pPr>
        <w:pStyle w:val="NormalHanging12a"/>
      </w:pPr>
      <w:r>
        <w:t>70</w:t>
      </w:r>
      <w:r w:rsidRPr="00CB708D">
        <w:t>.</w:t>
      </w:r>
      <w:r w:rsidRPr="00CB708D">
        <w:tab/>
        <w:t>приветства ценния и значителен принос на Северна Македония за регионалното сътрудничество и стабилност чрез участието ѝ в регионални икономически и дипломатически инициативи, като Берлинския процес, Плана за растеж за Западните Балкани и прилагането на споразуменията за общ регионален пазар;</w:t>
      </w:r>
    </w:p>
    <w:p w:rsidR="00171C6F" w:rsidRPr="00CB708D" w:rsidP="00171C6F" w14:paraId="079BFA4B" w14:textId="70F8D05D">
      <w:pPr>
        <w:pStyle w:val="NormalHanging12a"/>
        <w:rPr>
          <w:bCs/>
          <w:iCs/>
        </w:rPr>
      </w:pPr>
      <w:r>
        <w:t>71</w:t>
      </w:r>
      <w:r w:rsidRPr="00CB708D">
        <w:t>.</w:t>
      </w:r>
      <w:r w:rsidRPr="00CB708D">
        <w:tab/>
        <w:t xml:space="preserve">призовава за последователен ангажимент за диалог и сътрудничество със съседните държави с цел укрепване на регионалната стабилност и насърчаване на </w:t>
      </w:r>
      <w:r w:rsidRPr="00CB708D">
        <w:t xml:space="preserve">взаимното доверие; призовава за допълнително насърчаване на контактите между хората в целия регион на Югоизточна Европа; </w:t>
      </w:r>
      <w:bookmarkStart w:id="13" w:name="_Hlk229472357"/>
      <w:r w:rsidRPr="00CB708D">
        <w:t>подчертава значението на добросъвестното прилагане на международните споразумения като Преспанското споразумение и Договора за приятелство, добросъседство и сътрудничество с България;</w:t>
      </w:r>
      <w:bookmarkEnd w:id="13"/>
    </w:p>
    <w:p w:rsidR="00171C6F" w:rsidRPr="00CB708D" w:rsidP="00171C6F" w14:paraId="05DDC1AD" w14:textId="145E7952">
      <w:pPr>
        <w:pStyle w:val="NormalHanging12a"/>
        <w:rPr>
          <w:bCs/>
          <w:iCs/>
        </w:rPr>
      </w:pPr>
      <w:r>
        <w:t>72</w:t>
      </w:r>
      <w:r w:rsidRPr="00CB708D">
        <w:t>.</w:t>
      </w:r>
      <w:r w:rsidRPr="00CB708D">
        <w:tab/>
        <w:t>признава съществуването на различни тълкувания относно историческите характеристики на македонското общество; подчертава, че неговият доклад няма за цел да предопределя или ограничава научния дискурс по тези въпроси, нито тези тълкувания оказват влияние върху оценката му на напредъка на Северна Македония към членство в ЕС, която оценка продължава да се основава на критериите от Копенхаген и принципите на добросъседските отношения; настоятелно призовава всички страни да възобновят работата на Съвместната мултидисциплинарна експертна комисия по исторически и образователни въпроси на България и Северна Македония и да изпълняват работата си добросъвестно, като по този начин сближат обществата; осъжда всички опити за замяна на исторически паметници и/или артефакти, включително унищожаването на автентично културно наследство; изразява съжаление относно унищожаването и фалшифицирането на български надписи;</w:t>
      </w:r>
    </w:p>
    <w:p w:rsidR="00171C6F" w:rsidRPr="00CB708D" w:rsidP="00171C6F" w14:paraId="275BC6B1" w14:textId="07610A3F">
      <w:pPr>
        <w:pStyle w:val="NormalHanging12a"/>
        <w:rPr>
          <w:bCs/>
          <w:iCs/>
        </w:rPr>
      </w:pPr>
      <w:r>
        <w:t>73</w:t>
      </w:r>
      <w:r w:rsidRPr="00CB708D">
        <w:t>.</w:t>
      </w:r>
      <w:r w:rsidRPr="00CB708D">
        <w:tab/>
        <w:t>изразява силна загриженост, че най-скорошната сесия на Съвместната междуправителствена комисия, създадена съгласно член 12 от Договора за приятелство, добросъседство и сътрудничество, се е състояла на 17 юли 2022 г. и че оттогава не е провеждана нова сесия; настоятелно призовава правителствата на България и Северна Македония бързо да организират третата сесия на Съвместната междуправителствена комисия, за да се напредне с прилагането на Договора и неговите протоколи;</w:t>
      </w:r>
    </w:p>
    <w:p w:rsidR="00171C6F" w:rsidRPr="00CB708D" w:rsidP="00171C6F" w14:paraId="06E23AAA" w14:textId="30D2C2FE">
      <w:pPr>
        <w:pStyle w:val="NormalHanging12a"/>
        <w:rPr>
          <w:bCs/>
          <w:iCs/>
        </w:rPr>
      </w:pPr>
      <w:r>
        <w:t>74</w:t>
      </w:r>
      <w:r w:rsidRPr="00CB708D">
        <w:t>.</w:t>
      </w:r>
      <w:r w:rsidRPr="00CB708D">
        <w:tab/>
        <w:t>настоятелно призовава Съвместната мултидисциплинарна експертна комисия по исторически и образователни въпроси на България и Северна Македония, създадена в резултат на Договора за приятелство, добросъседство с България, да постигне ясни и осезаеми резултати; подчертава, че текстовете следва да отразяват тълкуването на исторически факти и данни от общата история на двата народа въз основа на обективни, автентични и основани на доказателства исторически източници и документи, научна интерпретация и исторически събития, както е предвидено във втория протокол към Договора с България;</w:t>
      </w:r>
    </w:p>
    <w:p w:rsidR="00171C6F" w:rsidRPr="00CB708D" w:rsidP="00171C6F" w14:paraId="2FF12E60" w14:textId="208F5547">
      <w:pPr>
        <w:pStyle w:val="NormalHanging12a"/>
        <w:rPr>
          <w:bCs/>
          <w:iCs/>
        </w:rPr>
      </w:pPr>
      <w:r>
        <w:t>75</w:t>
      </w:r>
      <w:r w:rsidRPr="00CB708D">
        <w:t>.</w:t>
      </w:r>
      <w:r w:rsidRPr="00CB708D">
        <w:tab/>
        <w:t>отбелязва със загриженост все по-силните връзки между Северна Македония и правителството на Сърбия, което следва нелиберална програма; предупреждава освен това за нарастващото китайско икономическо и политическо влияние в региона, по-специално чрез инфраструктурни проекти и отпускане на заеми; отбелязва със същата загриженост съобщенията за руски усилия за оказване на влияние в Северна Македония; призовава ЕС да подкрепи Северна Македония в укрепването на устойчивостта срещу външно влияние, което се осъществява чрез религиозни мрежи; изразява загриженост относно популяризираните в региона послания, които поставят под въпрос суверенитета и териториалната цялост на държавите, включително т.нар. „Сръбски свят“;</w:t>
      </w:r>
    </w:p>
    <w:p w:rsidR="00171C6F" w:rsidRPr="00CB708D" w:rsidP="00171C6F" w14:paraId="528CEF91" w14:textId="35C757D1">
      <w:pPr>
        <w:pStyle w:val="NormalHanging12a"/>
        <w:rPr>
          <w:bCs/>
          <w:iCs/>
        </w:rPr>
      </w:pPr>
      <w:r>
        <w:t>76</w:t>
      </w:r>
      <w:r w:rsidRPr="00CB708D">
        <w:t>.</w:t>
      </w:r>
      <w:r w:rsidRPr="00CB708D">
        <w:tab/>
        <w:t xml:space="preserve">припомня необходимостта от отваряне на архивите на югославските тайни служби (UDBA и KOS), съхранявани както в Северна Македония, така и в Сърбия; подчертава необходимостта от отваряне на тези архиви в целия регион за справяне с тоталитарното минало по прозрачен начин с цел укрепване на </w:t>
      </w:r>
      <w:r w:rsidRPr="00CB708D">
        <w:t>демокрацията, отчетността и институциите в Западните Балкани;</w:t>
      </w:r>
    </w:p>
    <w:p w:rsidR="00171C6F" w:rsidRPr="00CB708D" w:rsidP="00171C6F" w14:paraId="03CF6D97" w14:textId="3B80AA4B">
      <w:pPr>
        <w:pStyle w:val="NormalHanging12a"/>
        <w:rPr>
          <w:bCs/>
          <w:iCs/>
        </w:rPr>
      </w:pPr>
      <w:r>
        <w:t>77</w:t>
      </w:r>
      <w:r w:rsidRPr="00CB708D">
        <w:t>.</w:t>
      </w:r>
      <w:r w:rsidRPr="00CB708D">
        <w:tab/>
        <w:t>приветства непоколебимото и дългогодишно привеждане на Северна Македония в съответствие с външната политика и политиката на сигурност и отбрана на ЕС, включително по отношение на ограничителните мерки; изразява съжаление обаче във връзка с увеличаването на броя на гласовете „въздържал се“ при важни гласувания в международни органи, вместо да се следва позицията на мнозинството в ЕС; поради това призовава правителството на Северна Македония, в случай на съмнение, да се съобразява с позицията на мнозинството в рамките на ЕС;</w:t>
      </w:r>
      <w:r w:rsidRPr="00CB708D">
        <w:rPr>
          <w:b/>
          <w:i/>
        </w:rPr>
        <w:t xml:space="preserve"> </w:t>
      </w:r>
      <w:r w:rsidRPr="00CB708D">
        <w:t>подчертава геостратегическото значение на Северна Македония и нейната важна роля като член на НАТО; приветства активното участие на Северна Македония в мисиите и операциите на ЕС по линия на общата политика на сигурност и отбрана и нейния принос към водещата роля на ЕС в опазването на мира, предотвратяването на конфликти и международното управление на кризи; приветства готовността на Северна Македония да засили сътрудничеството с ЕС в рамките на партньорството в областта на сигурността и отбраната;</w:t>
      </w:r>
    </w:p>
    <w:p w:rsidR="00171C6F" w:rsidRPr="00CB708D" w:rsidP="00171C6F" w14:paraId="47ABDA26" w14:textId="77777777">
      <w:pPr>
        <w:pStyle w:val="NormalHanging12a"/>
        <w:jc w:val="center"/>
      </w:pPr>
      <w:r w:rsidRPr="00CB708D">
        <w:t>°</w:t>
      </w:r>
    </w:p>
    <w:p w:rsidR="00171C6F" w:rsidRPr="00CB708D" w:rsidP="00171C6F" w14:paraId="26DCC8A9" w14:textId="77777777">
      <w:pPr>
        <w:pStyle w:val="NormalHanging12a"/>
        <w:jc w:val="center"/>
      </w:pPr>
      <w:r w:rsidRPr="00CB708D">
        <w:t>°</w:t>
      </w:r>
      <w:r w:rsidRPr="00CB708D">
        <w:tab/>
        <w:t>°</w:t>
      </w:r>
    </w:p>
    <w:p w:rsidR="00CB708D" w:rsidRPr="00CB708D" w:rsidP="00CB708D" w14:paraId="7F0AC199" w14:textId="5211D005">
      <w:pPr>
        <w:pStyle w:val="NormalHanging12a"/>
      </w:pPr>
      <w:r>
        <w:t>78</w:t>
      </w:r>
      <w:r w:rsidRPr="00CB708D" w:rsidR="00171C6F">
        <w:t>.</w:t>
      </w:r>
      <w:r w:rsidRPr="00CB708D" w:rsidR="00171C6F">
        <w:tab/>
        <w:t>възлага на своя председател да предаде настоящата резолюция на председателя на Европейския съвет, на Съвета, на Комисията, на заместник-председателя на Комисията/върховен представител на Европейския съюз по въпросите на външните работи и политиката на сигурност, на правителствата и парламентите на държавите членки, както и на президента, правителството и Събранието на Република Северна Македония.</w:t>
      </w:r>
    </w:p>
    <w:p w:rsidR="00E365E1" w:rsidRPr="00CB708D" w:rsidP="00E34D5E" w14:paraId="38790A4F" w14:textId="668D0FA0"/>
    <w:sectPr w:rsidSect="00CB70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4D5E" w:rsidRPr="00CB708D" w14:paraId="286ADA06" w14:textId="77777777">
      <w:r w:rsidRPr="00CB708D">
        <w:separator/>
      </w:r>
    </w:p>
  </w:footnote>
  <w:footnote w:type="continuationSeparator" w:id="1">
    <w:p w:rsidR="00E34D5E" w:rsidRPr="00CB708D" w14:paraId="3D582784" w14:textId="77777777">
      <w:r w:rsidRPr="00CB708D">
        <w:continuationSeparator/>
      </w:r>
    </w:p>
  </w:footnote>
  <w:footnote w:id="2">
    <w:p w:rsidR="00171C6F" w:rsidRPr="00CB708D" w:rsidP="00CB708D" w14:paraId="7C76E5A0" w14:textId="02D4BF3E">
      <w:pPr>
        <w:pStyle w:val="FootnoteText"/>
        <w:ind w:left="567" w:hanging="567"/>
        <w:rPr>
          <w:color w:val="000000"/>
          <w:sz w:val="24"/>
          <w:lang w:val="bg-BG"/>
        </w:rPr>
      </w:pPr>
      <w:r w:rsidRPr="00CB708D">
        <w:rPr>
          <w:rStyle w:val="FootnoteReference"/>
          <w:sz w:val="24"/>
          <w:lang w:val="bg-BG"/>
        </w:rPr>
        <w:footnoteRef/>
      </w:r>
      <w:r w:rsidRPr="00CB708D" w:rsidR="00CB708D">
        <w:rPr>
          <w:color w:val="000000"/>
          <w:sz w:val="24"/>
          <w:lang w:val="bg-BG"/>
        </w:rPr>
        <w:t xml:space="preserve"> </w:t>
      </w:r>
      <w:r w:rsidRPr="00CB708D" w:rsidR="00CB708D">
        <w:rPr>
          <w:color w:val="000000"/>
          <w:sz w:val="24"/>
          <w:lang w:val="bg-BG"/>
        </w:rPr>
        <w:tab/>
      </w:r>
      <w:r w:rsidRPr="00CB708D">
        <w:rPr>
          <w:color w:val="000000"/>
          <w:sz w:val="24"/>
          <w:lang w:val="bg-BG"/>
        </w:rPr>
        <w:t xml:space="preserve">ОВ L 84, 20.3.2004 г., стр. 13., ELI: </w:t>
      </w:r>
      <w:hyperlink r:id="rId1" w:history="1">
        <w:r w:rsidRPr="00CB708D">
          <w:rPr>
            <w:rStyle w:val="Hyperlink"/>
            <w:color w:val="0563C1"/>
            <w:sz w:val="24"/>
            <w:lang w:val="bg-BG"/>
          </w:rPr>
          <w:t>http://data.europa.eu/eli/agree_internation/2004/239(2)/oj</w:t>
        </w:r>
      </w:hyperlink>
      <w:r w:rsidRPr="00CB708D">
        <w:rPr>
          <w:color w:val="000000"/>
          <w:sz w:val="24"/>
          <w:lang w:val="bg-BG"/>
        </w:rPr>
        <w:t>.</w:t>
      </w:r>
    </w:p>
  </w:footnote>
  <w:footnote w:id="3">
    <w:p w:rsidR="00171C6F" w:rsidRPr="00CB708D" w:rsidP="00CB708D" w14:paraId="785430A5" w14:textId="033512E0">
      <w:pPr>
        <w:pStyle w:val="FootnoteText"/>
        <w:ind w:left="567" w:hanging="567"/>
        <w:rPr>
          <w:color w:val="000000"/>
          <w:sz w:val="24"/>
          <w:lang w:val="bg-BG"/>
        </w:rPr>
      </w:pPr>
      <w:r w:rsidRPr="00CB708D">
        <w:rPr>
          <w:rStyle w:val="FootnoteReference"/>
          <w:sz w:val="24"/>
          <w:lang w:val="bg-BG"/>
        </w:rPr>
        <w:footnoteRef/>
      </w:r>
      <w:r w:rsidRPr="00CB708D" w:rsidR="00CB708D">
        <w:rPr>
          <w:color w:val="000000"/>
          <w:sz w:val="24"/>
          <w:lang w:val="bg-BG"/>
        </w:rPr>
        <w:t xml:space="preserve"> </w:t>
      </w:r>
      <w:r w:rsidRPr="00CB708D" w:rsidR="00CB708D">
        <w:rPr>
          <w:color w:val="000000"/>
          <w:sz w:val="24"/>
          <w:lang w:val="bg-BG"/>
        </w:rPr>
        <w:tab/>
      </w:r>
      <w:r w:rsidRPr="00CB708D">
        <w:rPr>
          <w:color w:val="000000"/>
          <w:sz w:val="24"/>
          <w:lang w:val="bg-BG"/>
        </w:rPr>
        <w:t xml:space="preserve">OВ L 330, 20.9.2021 г., стр. 1, ELI: </w:t>
      </w:r>
      <w:hyperlink r:id="rId2" w:history="1">
        <w:r w:rsidRPr="00CB708D">
          <w:rPr>
            <w:rStyle w:val="Hyperlink"/>
            <w:color w:val="0563C1"/>
            <w:sz w:val="24"/>
            <w:lang w:val="bg-BG"/>
          </w:rPr>
          <w:t>http://data.europa.eu/eli/reg/2021/1529/oj</w:t>
        </w:r>
      </w:hyperlink>
      <w:r w:rsidRPr="00CB708D">
        <w:rPr>
          <w:color w:val="000000"/>
          <w:sz w:val="24"/>
          <w:lang w:val="bg-BG"/>
        </w:rPr>
        <w:t>.</w:t>
      </w:r>
    </w:p>
  </w:footnote>
  <w:footnote w:id="4">
    <w:p w:rsidR="00171C6F" w:rsidRPr="00CB708D" w:rsidP="00CB708D" w14:paraId="50DB1E28" w14:textId="771DF47E">
      <w:pPr>
        <w:pStyle w:val="FootnoteText"/>
        <w:ind w:left="567" w:hanging="567"/>
        <w:rPr>
          <w:color w:val="000000"/>
          <w:sz w:val="24"/>
          <w:lang w:val="bg-BG"/>
        </w:rPr>
      </w:pPr>
      <w:r w:rsidRPr="00CB708D">
        <w:rPr>
          <w:rStyle w:val="FootnoteReference"/>
          <w:sz w:val="24"/>
          <w:lang w:val="bg-BG"/>
        </w:rPr>
        <w:footnoteRef/>
      </w:r>
      <w:r w:rsidRPr="00CB708D" w:rsidR="00CB708D">
        <w:rPr>
          <w:color w:val="000000"/>
          <w:sz w:val="24"/>
          <w:lang w:val="bg-BG"/>
        </w:rPr>
        <w:t xml:space="preserve"> </w:t>
      </w:r>
      <w:r w:rsidRPr="00CB708D" w:rsidR="00CB708D">
        <w:rPr>
          <w:color w:val="000000"/>
          <w:sz w:val="24"/>
          <w:lang w:val="bg-BG"/>
        </w:rPr>
        <w:tab/>
      </w:r>
      <w:r w:rsidRPr="00CB708D">
        <w:rPr>
          <w:color w:val="000000"/>
          <w:sz w:val="24"/>
          <w:lang w:val="bg-BG"/>
        </w:rPr>
        <w:t xml:space="preserve">OВ L, 2024/1449, 24.5.2024 г., ELI: </w:t>
      </w:r>
      <w:hyperlink r:id="rId3" w:history="1">
        <w:r w:rsidRPr="00CB708D">
          <w:rPr>
            <w:rStyle w:val="Hyperlink"/>
            <w:color w:val="0563C1"/>
            <w:sz w:val="24"/>
            <w:lang w:val="bg-BG"/>
          </w:rPr>
          <w:t>http://data.europa.eu/eli/reg/2024/1449/oj</w:t>
        </w:r>
      </w:hyperlink>
      <w:r w:rsidRPr="00CB708D">
        <w:rPr>
          <w:color w:val="000000"/>
          <w:sz w:val="24"/>
          <w:lang w:val="bg-BG"/>
        </w:rPr>
        <w:t>.</w:t>
      </w:r>
    </w:p>
  </w:footnote>
  <w:footnote w:id="5">
    <w:p w:rsidR="00171C6F" w:rsidRPr="00CB708D" w:rsidP="00CB708D" w14:paraId="0120B3E2" w14:textId="5E0F996F">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OВ C 202, 28.5.2021 г., стр. 86.</w:t>
      </w:r>
    </w:p>
  </w:footnote>
  <w:footnote w:id="6">
    <w:p w:rsidR="00171C6F" w:rsidRPr="00CB708D" w:rsidP="00CB708D" w14:paraId="5EA1A64A" w14:textId="5D64C766">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 xml:space="preserve">ОВ C, C/2024/6746, 26.11.2024 г., ELI: </w:t>
      </w:r>
      <w:hyperlink r:id="rId4" w:history="1">
        <w:r w:rsidRPr="00CB708D">
          <w:rPr>
            <w:rStyle w:val="Hyperlink"/>
            <w:sz w:val="24"/>
            <w:lang w:val="bg-BG"/>
          </w:rPr>
          <w:t>http://data.europa.eu/eli/C/2024/6746/oj</w:t>
        </w:r>
      </w:hyperlink>
      <w:r w:rsidRPr="00CB708D">
        <w:rPr>
          <w:sz w:val="24"/>
          <w:lang w:val="bg-BG"/>
        </w:rPr>
        <w:t xml:space="preserve">. </w:t>
      </w:r>
    </w:p>
  </w:footnote>
  <w:footnote w:id="7">
    <w:p w:rsidR="00171C6F" w:rsidRPr="00CB708D" w:rsidP="00CB708D" w14:paraId="7A753FC5" w14:textId="5742078F">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Приети текстове, P10_TA(2026)0077.</w:t>
      </w:r>
    </w:p>
  </w:footnote>
  <w:footnote w:id="8">
    <w:p w:rsidR="00171C6F" w:rsidRPr="00CB708D" w:rsidP="00CB708D" w14:paraId="7F1C5A87" w14:textId="08E358C8">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 xml:space="preserve">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5" w:history="1">
        <w:r w:rsidRPr="00CB708D">
          <w:rPr>
            <w:rStyle w:val="Hyperlink"/>
            <w:sz w:val="24"/>
            <w:lang w:val="bg-BG"/>
          </w:rPr>
          <w:t>http://data.europa.eu/eli/dir/2024/1069/oj</w:t>
        </w:r>
      </w:hyperlink>
      <w:r w:rsidRPr="00CB708D">
        <w:rPr>
          <w:sz w:val="24"/>
          <w:lang w:val="bg-BG"/>
        </w:rPr>
        <w:t xml:space="preserve">). </w:t>
      </w:r>
    </w:p>
  </w:footnote>
  <w:footnote w:id="9">
    <w:p w:rsidR="00171C6F" w:rsidRPr="00CB708D" w:rsidP="00CB708D" w14:paraId="7DC9F7E2" w14:textId="4A393686">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 xml:space="preserve">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(ОВ L 26, 28.1.2012 г., стр. 1, ELI: </w:t>
      </w:r>
      <w:hyperlink r:id="rId6" w:history="1">
        <w:r w:rsidRPr="00CB708D">
          <w:rPr>
            <w:rStyle w:val="Hyperlink"/>
            <w:sz w:val="24"/>
            <w:lang w:val="bg-BG"/>
          </w:rPr>
          <w:t>http://data.europa.eu/eli/dir/2011/92/oj</w:t>
        </w:r>
      </w:hyperlink>
      <w:r w:rsidRPr="00CB708D">
        <w:rPr>
          <w:sz w:val="24"/>
          <w:lang w:val="bg-BG"/>
        </w:rPr>
        <w:t>).</w:t>
      </w:r>
    </w:p>
  </w:footnote>
  <w:footnote w:id="10">
    <w:p w:rsidR="00171C6F" w:rsidRPr="00CB708D" w:rsidP="00CB708D" w14:paraId="48378945" w14:textId="25D02C07">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 xml:space="preserve">Директива 2001/42/ЕО на Европейския парламент и на Съвета от 27 юни 2001 г. относно оценката на последиците на някои планове и програми върху околната среда (OB L 197, 21.7.2001 г., стр. 30, ELI: http://data.europa.eu/eli/dir/2001/42/oj). </w:t>
      </w:r>
      <w:hyperlink r:id="rId7" w:history="1">
        <w:r w:rsidRPr="00CB708D">
          <w:rPr>
            <w:rStyle w:val="Hyperlink"/>
            <w:sz w:val="24"/>
            <w:lang w:val="bg-BG"/>
          </w:rPr>
          <w:t>http://data.europa.eu/eli/dir/2001/42/oj</w:t>
        </w:r>
      </w:hyperlink>
      <w:r w:rsidRPr="00CB708D">
        <w:rPr>
          <w:sz w:val="24"/>
          <w:lang w:val="bg-BG"/>
        </w:rPr>
        <w:t xml:space="preserve">). </w:t>
      </w:r>
    </w:p>
  </w:footnote>
  <w:footnote w:id="11">
    <w:p w:rsidR="00171C6F" w:rsidRPr="00CB708D" w:rsidP="00CB708D" w14:paraId="1599F2C3" w14:textId="3041090E">
      <w:pPr>
        <w:ind w:left="567" w:hanging="567"/>
      </w:pPr>
      <w:r w:rsidRPr="00CB708D">
        <w:rPr>
          <w:rStyle w:val="FootnoteReference"/>
        </w:rPr>
        <w:footnoteRef/>
      </w:r>
      <w:r w:rsidRPr="00CB708D" w:rsidR="00CB708D">
        <w:t xml:space="preserve"> </w:t>
      </w:r>
      <w:r w:rsidRPr="00CB708D" w:rsidR="00CB708D">
        <w:tab/>
      </w:r>
      <w:r w:rsidRPr="00CB708D">
        <w:t xml:space="preserve">Директива 92/43/ЕИО на Съвета от 21 май 1992 г. за опазване на естествените местообитания и на дивата флора и фауна (ОВ L 206, 22.7.1992 г., стр. 7, ELI: </w:t>
      </w:r>
      <w:hyperlink r:id="rId8" w:history="1">
        <w:r w:rsidRPr="00CB708D">
          <w:rPr>
            <w:rStyle w:val="Hyperlink"/>
          </w:rPr>
          <w:t>http://data.europa.eu/eli/dir/1992/43/oj</w:t>
        </w:r>
      </w:hyperlink>
      <w:r w:rsidRPr="00CB708D">
        <w:t xml:space="preserve">). </w:t>
      </w:r>
    </w:p>
  </w:footnote>
  <w:footnote w:id="12">
    <w:p w:rsidR="00171C6F" w:rsidRPr="00CB708D" w:rsidP="00CB708D" w14:paraId="4E02DC62" w14:textId="45564FBC">
      <w:pPr>
        <w:pStyle w:val="FootnoteText"/>
        <w:ind w:left="567" w:hanging="567"/>
        <w:rPr>
          <w:sz w:val="24"/>
          <w:lang w:val="bg-BG"/>
        </w:rPr>
      </w:pPr>
      <w:r w:rsidRPr="00CB708D">
        <w:rPr>
          <w:rStyle w:val="FootnoteReference"/>
          <w:sz w:val="24"/>
          <w:lang w:val="bg-BG"/>
        </w:rPr>
        <w:footnoteRef/>
      </w:r>
      <w:r w:rsidRPr="00CB708D" w:rsidR="00CB708D">
        <w:rPr>
          <w:sz w:val="24"/>
          <w:lang w:val="bg-BG"/>
        </w:rPr>
        <w:t xml:space="preserve"> </w:t>
      </w:r>
      <w:r w:rsidRPr="00CB708D" w:rsidR="00CB708D">
        <w:rPr>
          <w:sz w:val="24"/>
          <w:lang w:val="bg-BG"/>
        </w:rPr>
        <w:tab/>
      </w:r>
      <w:r w:rsidRPr="00CB708D">
        <w:rPr>
          <w:sz w:val="24"/>
          <w:lang w:val="bg-BG"/>
        </w:rPr>
        <w:t xml:space="preserve">Директива 2009/147/ЕО на Европейския парламент и на Съвета от 30 ноември 2009 г. относно опазването на дивите птици (ОВ L 20, 26.1.2010 г., стр. 7, ELI: </w:t>
      </w:r>
      <w:hyperlink r:id="rId9" w:history="1">
        <w:r w:rsidRPr="00CB708D">
          <w:rPr>
            <w:rStyle w:val="Hyperlink"/>
            <w:sz w:val="24"/>
            <w:lang w:val="bg-BG"/>
          </w:rPr>
          <w:t>http://data.europa.eu/eli/dir/2009/147/oj</w:t>
        </w:r>
      </w:hyperlink>
      <w:r w:rsidRPr="00CB708D">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600629">
    <w:abstractNumId w:val="9"/>
  </w:num>
  <w:num w:numId="2" w16cid:durableId="1079523644">
    <w:abstractNumId w:val="9"/>
  </w:num>
  <w:num w:numId="3" w16cid:durableId="2028019813">
    <w:abstractNumId w:val="7"/>
  </w:num>
  <w:num w:numId="4" w16cid:durableId="405422271">
    <w:abstractNumId w:val="7"/>
  </w:num>
  <w:num w:numId="5" w16cid:durableId="608122214">
    <w:abstractNumId w:val="6"/>
  </w:num>
  <w:num w:numId="6" w16cid:durableId="1021737302">
    <w:abstractNumId w:val="6"/>
  </w:num>
  <w:num w:numId="7" w16cid:durableId="611716261">
    <w:abstractNumId w:val="5"/>
  </w:num>
  <w:num w:numId="8" w16cid:durableId="1771974747">
    <w:abstractNumId w:val="5"/>
  </w:num>
  <w:num w:numId="9" w16cid:durableId="414665091">
    <w:abstractNumId w:val="4"/>
  </w:num>
  <w:num w:numId="10" w16cid:durableId="910852016">
    <w:abstractNumId w:val="4"/>
  </w:num>
  <w:num w:numId="11" w16cid:durableId="436025084">
    <w:abstractNumId w:val="8"/>
  </w:num>
  <w:num w:numId="12" w16cid:durableId="1445659887">
    <w:abstractNumId w:val="8"/>
  </w:num>
  <w:num w:numId="13" w16cid:durableId="1281760999">
    <w:abstractNumId w:val="3"/>
  </w:num>
  <w:num w:numId="14" w16cid:durableId="744961318">
    <w:abstractNumId w:val="3"/>
  </w:num>
  <w:num w:numId="15" w16cid:durableId="203176914">
    <w:abstractNumId w:val="2"/>
  </w:num>
  <w:num w:numId="16" w16cid:durableId="778185408">
    <w:abstractNumId w:val="2"/>
  </w:num>
  <w:num w:numId="17" w16cid:durableId="1969580384">
    <w:abstractNumId w:val="1"/>
  </w:num>
  <w:num w:numId="18" w16cid:durableId="719206368">
    <w:abstractNumId w:val="1"/>
  </w:num>
  <w:num w:numId="19" w16cid:durableId="1988972126">
    <w:abstractNumId w:val="0"/>
  </w:num>
  <w:num w:numId="20" w16cid:durableId="1375502049">
    <w:abstractNumId w:val="0"/>
  </w:num>
  <w:num w:numId="21" w16cid:durableId="58595767">
    <w:abstractNumId w:val="9"/>
  </w:num>
  <w:num w:numId="22" w16cid:durableId="600796955">
    <w:abstractNumId w:val="7"/>
  </w:num>
  <w:num w:numId="23" w16cid:durableId="2090342469">
    <w:abstractNumId w:val="6"/>
  </w:num>
  <w:num w:numId="24" w16cid:durableId="1821968478">
    <w:abstractNumId w:val="5"/>
  </w:num>
  <w:num w:numId="25" w16cid:durableId="1396318927">
    <w:abstractNumId w:val="4"/>
  </w:num>
  <w:num w:numId="26" w16cid:durableId="81411845">
    <w:abstractNumId w:val="8"/>
  </w:num>
  <w:num w:numId="27" w16cid:durableId="823818484">
    <w:abstractNumId w:val="3"/>
  </w:num>
  <w:num w:numId="28" w16cid:durableId="1013219092">
    <w:abstractNumId w:val="2"/>
  </w:num>
  <w:num w:numId="29" w16cid:durableId="266814144">
    <w:abstractNumId w:val="1"/>
  </w:num>
  <w:num w:numId="30" w16cid:durableId="2030524500">
    <w:abstractNumId w:val="0"/>
  </w:num>
  <w:num w:numId="31" w16cid:durableId="1788817936">
    <w:abstractNumId w:val="9"/>
  </w:num>
  <w:num w:numId="32" w16cid:durableId="877667666">
    <w:abstractNumId w:val="7"/>
  </w:num>
  <w:num w:numId="33" w16cid:durableId="1605260998">
    <w:abstractNumId w:val="6"/>
  </w:num>
  <w:num w:numId="34" w16cid:durableId="959382695">
    <w:abstractNumId w:val="5"/>
  </w:num>
  <w:num w:numId="35" w16cid:durableId="1241326358">
    <w:abstractNumId w:val="4"/>
  </w:num>
  <w:num w:numId="36" w16cid:durableId="1747801237">
    <w:abstractNumId w:val="8"/>
  </w:num>
  <w:num w:numId="37" w16cid:durableId="1665936246">
    <w:abstractNumId w:val="3"/>
  </w:num>
  <w:num w:numId="38" w16cid:durableId="89938089">
    <w:abstractNumId w:val="2"/>
  </w:num>
  <w:num w:numId="39" w16cid:durableId="705981772">
    <w:abstractNumId w:val="1"/>
  </w:num>
  <w:num w:numId="40" w16cid:durableId="792213307">
    <w:abstractNumId w:val="0"/>
  </w:num>
  <w:num w:numId="41" w16cid:durableId="982850341">
    <w:abstractNumId w:val="10"/>
  </w:num>
  <w:num w:numId="42" w16cid:durableId="977959442">
    <w:abstractNumId w:val="10"/>
  </w:num>
  <w:num w:numId="43" w16cid:durableId="371539739">
    <w:abstractNumId w:val="10"/>
  </w:num>
  <w:num w:numId="44" w16cid:durableId="280305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5E"/>
    <w:rsid w:val="00002272"/>
    <w:rsid w:val="00064002"/>
    <w:rsid w:val="000677B9"/>
    <w:rsid w:val="000831BA"/>
    <w:rsid w:val="000A42CC"/>
    <w:rsid w:val="000D506E"/>
    <w:rsid w:val="000E7DD9"/>
    <w:rsid w:val="0010095E"/>
    <w:rsid w:val="00125B37"/>
    <w:rsid w:val="00171C6F"/>
    <w:rsid w:val="00187494"/>
    <w:rsid w:val="001F32AE"/>
    <w:rsid w:val="002767FF"/>
    <w:rsid w:val="002B18FE"/>
    <w:rsid w:val="002B5493"/>
    <w:rsid w:val="002D4F6B"/>
    <w:rsid w:val="00300F2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797"/>
    <w:rsid w:val="00BD48FE"/>
    <w:rsid w:val="00BD7BD8"/>
    <w:rsid w:val="00BE6ADC"/>
    <w:rsid w:val="00C05BFE"/>
    <w:rsid w:val="00C23CD4"/>
    <w:rsid w:val="00C26643"/>
    <w:rsid w:val="00C52323"/>
    <w:rsid w:val="00C61C0C"/>
    <w:rsid w:val="00C941CB"/>
    <w:rsid w:val="00CB708D"/>
    <w:rsid w:val="00CC108F"/>
    <w:rsid w:val="00CC2357"/>
    <w:rsid w:val="00CF071A"/>
    <w:rsid w:val="00D058B8"/>
    <w:rsid w:val="00D56C11"/>
    <w:rsid w:val="00D834A0"/>
    <w:rsid w:val="00D872DF"/>
    <w:rsid w:val="00D91E21"/>
    <w:rsid w:val="00DA5EB8"/>
    <w:rsid w:val="00DA7FCD"/>
    <w:rsid w:val="00E01BC2"/>
    <w:rsid w:val="00E34D5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BG"/>
    <w:docVar w:name="dvnumam" w:val="0"/>
    <w:docVar w:name="dvpe" w:val="784.260"/>
    <w:docVar w:name="dvrapporteur" w:val="Докладчик: "/>
    <w:docVar w:name="dvtitre" w:val="Резолюция на Европейския парламент от ... 2026 г. относно доклада на Комисията за Северна Македония за 2025 г.(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1AB17D"/>
  <w15:chartTrackingRefBased/>
  <w15:docId w15:val="{FDD5C15D-2FDC-4FF5-A5BB-E6C853734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1C6F"/>
    <w:pPr>
      <w:spacing w:after="240"/>
      <w:ind w:left="567" w:hanging="567"/>
    </w:pPr>
  </w:style>
  <w:style w:type="paragraph" w:customStyle="1" w:styleId="EPComma">
    <w:name w:val="EPComma"/>
    <w:basedOn w:val="Normal"/>
    <w:rsid w:val="00171C6F"/>
    <w:pPr>
      <w:spacing w:before="480" w:after="240"/>
    </w:pPr>
  </w:style>
  <w:style w:type="character" w:styleId="Hyperlink">
    <w:name w:val="Hyperlink"/>
    <w:basedOn w:val="DefaultParagraphFont"/>
    <w:rsid w:val="00171C6F"/>
    <w:rPr>
      <w:color w:val="0563C1" w:themeColor="hyperlink"/>
      <w:u w:val="single"/>
    </w:rPr>
  </w:style>
  <w:style w:type="character" w:customStyle="1" w:styleId="NormalHanging12aChar">
    <w:name w:val="NormalHanging12a Char"/>
    <w:basedOn w:val="DefaultParagraphFont"/>
    <w:link w:val="NormalHanging12a"/>
    <w:rsid w:val="00171C6F"/>
    <w:rPr>
      <w:sz w:val="24"/>
      <w:lang w:val="bg-BG"/>
    </w:rPr>
  </w:style>
  <w:style w:type="paragraph" w:styleId="Revision">
    <w:name w:val="Revision"/>
    <w:hidden/>
    <w:uiPriority w:val="99"/>
    <w:semiHidden/>
    <w:rsid w:val="00300F2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7486</Words>
  <Characters>47063</Characters>
  <Application>Microsoft Office Word</Application>
  <DocSecurity>0</DocSecurity>
  <Lines>392</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2026-06-17T14:38:00Z</dcterms:created>
  <dcterms:modified xsi:type="dcterms:W3CDTF">2026-06-17T14:38:00Z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A10-0162/2026</vt:lpwstr>
  </property>
  <property fmtid="{D5CDD505-2E9C-101B-9397-08002B2CF9AE}" pid="4" name="&lt;Type&gt;">
    <vt:lpwstr>RR</vt:lpwstr>
  </property>
</Properties>
</file>