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10ED23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27CBD" w:rsidP="0010095E" w14:paraId="6664BB8A" w14:textId="77777777">
            <w:pPr>
              <w:pStyle w:val="EPName"/>
            </w:pPr>
            <w:r w:rsidRPr="00B27CBD">
              <w:t>Evropský parlament</w:t>
            </w:r>
          </w:p>
          <w:p w:rsidR="00751A4A" w:rsidRPr="00B27CBD" w:rsidP="005F1B17" w14:paraId="417B9B6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7CBD">
              <w:t>2024</w:t>
            </w:r>
            <w:r w:rsidRPr="00B27CBD" w:rsidR="00817416">
              <w:t>-202</w:t>
            </w:r>
            <w:r w:rsidRPr="00B27CB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27CBD" w:rsidP="0010095E" w14:paraId="3E050147" w14:textId="77777777">
            <w:pPr>
              <w:pStyle w:val="EPLogo"/>
            </w:pPr>
            <w:r w:rsidRPr="00B27CB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27CBD" w:rsidP="004C5D52" w14:paraId="10A45903" w14:textId="77777777">
      <w:pPr>
        <w:pStyle w:val="LineTop"/>
      </w:pPr>
    </w:p>
    <w:p w:rsidR="00680577" w:rsidRPr="00B27CBD" w:rsidP="00680577" w14:paraId="0BF77C52" w14:textId="77777777">
      <w:pPr>
        <w:pStyle w:val="EPBodyTA1"/>
      </w:pPr>
      <w:r w:rsidRPr="00B27CBD">
        <w:t>PŘIJATÉ TEXTY</w:t>
      </w:r>
    </w:p>
    <w:p w:rsidR="00D058B8" w:rsidRPr="00B27CBD" w:rsidP="00D058B8" w14:paraId="3068FA0E" w14:textId="77777777">
      <w:pPr>
        <w:pStyle w:val="LineBottom"/>
      </w:pPr>
    </w:p>
    <w:p w:rsidR="005A748E" w:rsidRPr="0093147A" w:rsidP="005A748E" w14:paraId="464DC1A1" w14:textId="6B0D479A">
      <w:pPr>
        <w:pStyle w:val="ATHeading1"/>
      </w:pPr>
      <w:bookmarkStart w:id="0" w:name="TANumber"/>
      <w:r w:rsidRPr="0093147A">
        <w:t>P10_</w:t>
      </w:r>
      <w:r w:rsidRPr="0093147A">
        <w:t>TA(</w:t>
      </w:r>
      <w:r w:rsidRPr="0093147A">
        <w:t>2026)0</w:t>
      </w:r>
      <w:r w:rsidR="00B37274">
        <w:t>218</w:t>
      </w:r>
      <w:bookmarkEnd w:id="0"/>
    </w:p>
    <w:p w:rsidR="005A748E" w:rsidRPr="0093147A" w:rsidP="005A748E" w14:paraId="300A0F76" w14:textId="77777777">
      <w:pPr>
        <w:pStyle w:val="ATHeading2"/>
      </w:pPr>
      <w:bookmarkStart w:id="1" w:name="title"/>
      <w:r w:rsidRPr="0093147A">
        <w:t>Zpráva Komise o Severní Makedonii za rok 2025</w:t>
      </w:r>
      <w:bookmarkEnd w:id="1"/>
    </w:p>
    <w:p w:rsidR="005A748E" w:rsidRPr="00B27CBD" w:rsidP="005A748E" w14:paraId="0CFFF0C5" w14:textId="77777777">
      <w:pPr>
        <w:rPr>
          <w:i/>
          <w:vanish/>
        </w:rPr>
      </w:pPr>
      <w:r>
        <w:rPr>
          <w:i/>
        </w:rPr>
        <w:fldChar w:fldCharType="begin"/>
      </w:r>
      <w:r w:rsidRPr="00B27CBD">
        <w:rPr>
          <w:i/>
        </w:rPr>
        <w:instrText xml:space="preserve"> TC"(</w:instrText>
      </w:r>
      <w:bookmarkStart w:id="2" w:name="DocNumber"/>
      <w:r w:rsidRPr="00B27CBD">
        <w:rPr>
          <w:i/>
        </w:rPr>
        <w:instrText>A10-0162/2026</w:instrText>
      </w:r>
      <w:bookmarkEnd w:id="2"/>
      <w:r w:rsidRPr="00B27CBD">
        <w:rPr>
          <w:i/>
        </w:rPr>
        <w:instrText xml:space="preserve"> - Zpravodaj: Thomas </w:instrText>
      </w:r>
      <w:r w:rsidRPr="00B27CBD">
        <w:rPr>
          <w:i/>
        </w:rPr>
        <w:instrText>Waitz</w:instrText>
      </w:r>
      <w:r w:rsidRPr="00B27CB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A748E" w:rsidRPr="00B27CBD" w:rsidP="005A748E" w14:paraId="51C4734E" w14:textId="77777777">
      <w:pPr>
        <w:rPr>
          <w:vanish/>
        </w:rPr>
      </w:pPr>
      <w:bookmarkStart w:id="3" w:name="Commission"/>
      <w:r w:rsidRPr="00B27CBD">
        <w:rPr>
          <w:vanish/>
        </w:rPr>
        <w:t>Výbor pro zahraniční věci</w:t>
      </w:r>
      <w:bookmarkEnd w:id="3"/>
    </w:p>
    <w:p w:rsidR="005A748E" w:rsidRPr="00B27CBD" w:rsidP="005A748E" w14:paraId="78886AF2" w14:textId="77777777">
      <w:pPr>
        <w:rPr>
          <w:vanish/>
        </w:rPr>
      </w:pPr>
      <w:bookmarkStart w:id="4" w:name="PE"/>
      <w:r w:rsidRPr="00B27CBD">
        <w:rPr>
          <w:vanish/>
        </w:rPr>
        <w:t>PE784.260</w:t>
      </w:r>
      <w:bookmarkEnd w:id="4"/>
    </w:p>
    <w:p w:rsidR="005A748E" w:rsidRPr="0093147A" w:rsidP="005A748E" w14:paraId="247BD089" w14:textId="77777777">
      <w:pPr>
        <w:pStyle w:val="ATHeading3"/>
      </w:pPr>
      <w:bookmarkStart w:id="5" w:name="Sujet"/>
      <w:r w:rsidRPr="0093147A">
        <w:t>Usnesení Evropského parlamentu ze dne 17. června 2026 o zprávě Komise o Severní Makedonii za rok 2025</w:t>
      </w:r>
      <w:bookmarkEnd w:id="5"/>
      <w:r w:rsidRPr="0093147A">
        <w:t xml:space="preserve"> </w:t>
      </w:r>
      <w:bookmarkStart w:id="6" w:name="References"/>
      <w:r w:rsidRPr="0093147A">
        <w:t>(2025/2254(INI))</w:t>
      </w:r>
      <w:bookmarkEnd w:id="6"/>
    </w:p>
    <w:p w:rsidR="00CE2652" w:rsidRPr="00B27CBD" w:rsidP="00CE2652" w14:paraId="11FC6CD0" w14:textId="77777777">
      <w:pPr>
        <w:pStyle w:val="EPComma"/>
      </w:pPr>
      <w:r w:rsidRPr="00B27CBD">
        <w:rPr>
          <w:i/>
        </w:rPr>
        <w:t>Evropský parlament</w:t>
      </w:r>
      <w:r w:rsidRPr="00B27CBD">
        <w:t>,</w:t>
      </w:r>
    </w:p>
    <w:p w:rsidR="00CE2652" w:rsidRPr="00B27CBD" w:rsidP="00F219B4" w14:paraId="1BE72289" w14:textId="77777777">
      <w:pPr>
        <w:pStyle w:val="NormalHanging12a"/>
        <w:rPr>
          <w:szCs w:val="24"/>
        </w:rPr>
      </w:pPr>
      <w:r w:rsidRPr="00B27CBD">
        <w:t>–</w:t>
      </w:r>
      <w:r w:rsidRPr="00B27CBD">
        <w:tab/>
        <w:t xml:space="preserve">s ohledem na </w:t>
      </w:r>
      <w:r w:rsidRPr="00B27CBD">
        <w:rPr>
          <w:szCs w:val="24"/>
        </w:rPr>
        <w:t>Dohodu o stabilizaci a přidružení mezi Evropskými společenstvími a jejich členskými státy na jedné straně a Republikou Severní Makedonie na straně druhé</w:t>
      </w:r>
      <w:r>
        <w:rPr>
          <w:szCs w:val="24"/>
          <w:vertAlign w:val="superscript"/>
        </w:rPr>
        <w:footnoteReference w:id="2"/>
      </w:r>
      <w:r w:rsidRPr="00B27CBD">
        <w:rPr>
          <w:szCs w:val="24"/>
        </w:rPr>
        <w:t>,</w:t>
      </w:r>
    </w:p>
    <w:p w:rsidR="00CE2652" w:rsidRPr="00B27CBD" w:rsidP="00F219B4" w14:paraId="0D249360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žádost Severní Makedonie o členství v Evropské unii, předloženou dne 22. března 2004,</w:t>
      </w:r>
    </w:p>
    <w:p w:rsidR="00CE2652" w:rsidRPr="00B27CBD" w:rsidP="00F219B4" w14:paraId="4F3686CB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rozhodnutí Evropské rady ze dne 16. prosince 2005 udělit Severní Makedonii status kandidátské země EU,</w:t>
      </w:r>
    </w:p>
    <w:p w:rsidR="00CE2652" w:rsidRPr="00B27CBD" w:rsidP="00F219B4" w14:paraId="79DDE712" w14:textId="7BF2C509">
      <w:pPr>
        <w:spacing w:after="240"/>
        <w:ind w:left="567" w:hanging="567"/>
        <w:rPr>
          <w:bCs/>
          <w:iCs/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závěry Rady o rozšíření – Severní Makedonie a Albánie ze dne 18.</w:t>
      </w:r>
      <w:r w:rsidRPr="00B27CBD" w:rsidR="00F219B4">
        <w:rPr>
          <w:szCs w:val="24"/>
        </w:rPr>
        <w:t> </w:t>
      </w:r>
      <w:r w:rsidRPr="00B27CBD">
        <w:rPr>
          <w:szCs w:val="24"/>
        </w:rPr>
        <w:t>července 2022 a na závěry Rady o rozšíření ze dne 17. prosince 2024,</w:t>
      </w:r>
    </w:p>
    <w:p w:rsidR="00CE2652" w:rsidRPr="00B27CBD" w:rsidP="00F219B4" w14:paraId="50F688C3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nařízení Evropského parlamentu a Rady (EU) 2021/1529 ze dne 15. září 2021, kterým se zřizuje Nástroj předvstupní pomoci (NPP III)</w:t>
      </w:r>
      <w:r>
        <w:rPr>
          <w:szCs w:val="24"/>
          <w:vertAlign w:val="superscript"/>
        </w:rPr>
        <w:footnoteReference w:id="3"/>
      </w:r>
      <w:r w:rsidRPr="00B27CBD">
        <w:rPr>
          <w:szCs w:val="24"/>
        </w:rPr>
        <w:t>,</w:t>
      </w:r>
    </w:p>
    <w:p w:rsidR="00CE2652" w:rsidRPr="00B27CBD" w:rsidP="00F219B4" w14:paraId="1CE977FC" w14:textId="159C581B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nařízení Evropského parlamentu a Rady (EU) 2024/1449 ze dne 14.</w:t>
      </w:r>
      <w:r w:rsidRPr="00B27CBD" w:rsidR="00F219B4">
        <w:rPr>
          <w:szCs w:val="24"/>
        </w:rPr>
        <w:t> </w:t>
      </w:r>
      <w:r w:rsidRPr="00B27CBD">
        <w:rPr>
          <w:szCs w:val="24"/>
        </w:rPr>
        <w:t>května 2024 o zřízení nástroje pro reformy a růst pro země západního Balkánu</w:t>
      </w:r>
      <w:r>
        <w:rPr>
          <w:szCs w:val="24"/>
          <w:vertAlign w:val="superscript"/>
        </w:rPr>
        <w:footnoteReference w:id="4"/>
      </w:r>
      <w:r w:rsidRPr="00B27CBD">
        <w:rPr>
          <w:szCs w:val="24"/>
        </w:rPr>
        <w:t>,</w:t>
      </w:r>
    </w:p>
    <w:p w:rsidR="00CE2652" w:rsidRPr="00B27CBD" w:rsidP="00F219B4" w14:paraId="43ACBB8A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Program reforem Severní Makedonie, schválený Komisí v rámci Nástroje pro reformy a růst pro země západního Balkánu dne 23. října 2024,</w:t>
      </w:r>
    </w:p>
    <w:p w:rsidR="00CE2652" w:rsidRPr="00B27CBD" w:rsidP="00F219B4" w14:paraId="54A3716D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sdělení Komise ze dne 5. února 2020 s názvem „Posílení procesu přistoupení – přesvědčivá perspektiva EU pro západní Balkán“ (</w:t>
      </w:r>
      <w:r w:rsidRPr="00B27CBD">
        <w:rPr>
          <w:szCs w:val="24"/>
        </w:rPr>
        <w:t>COM(</w:t>
      </w:r>
      <w:r w:rsidRPr="00B27CBD">
        <w:rPr>
          <w:szCs w:val="24"/>
        </w:rPr>
        <w:t>2020)0057),</w:t>
      </w:r>
    </w:p>
    <w:p w:rsidR="00CE2652" w:rsidRPr="00B27CBD" w:rsidP="00F219B4" w14:paraId="1D4349B4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sdělení Komise ze dne 8. listopadu 2023 nazvané „Nový plán růstu pro západní Balkán“(</w:t>
      </w:r>
      <w:r w:rsidRPr="00B27CBD">
        <w:rPr>
          <w:szCs w:val="24"/>
        </w:rPr>
        <w:t>COM(</w:t>
      </w:r>
      <w:r w:rsidRPr="00B27CBD">
        <w:rPr>
          <w:szCs w:val="24"/>
        </w:rPr>
        <w:t>2023)0691),</w:t>
      </w:r>
    </w:p>
    <w:p w:rsidR="00CE2652" w:rsidRPr="00B27CBD" w:rsidP="00F219B4" w14:paraId="396F2F78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sdělení Komise ze dne 20. března 2024 o předvstupních reformách a přezkumech předvstupní politiky (</w:t>
      </w:r>
      <w:r w:rsidRPr="00B27CBD">
        <w:rPr>
          <w:szCs w:val="24"/>
        </w:rPr>
        <w:t>COM(</w:t>
      </w:r>
      <w:r w:rsidRPr="00B27CBD">
        <w:rPr>
          <w:szCs w:val="24"/>
        </w:rPr>
        <w:t>2024)0146),</w:t>
      </w:r>
    </w:p>
    <w:p w:rsidR="00CE2652" w:rsidRPr="00B27CBD" w:rsidP="00F219B4" w14:paraId="797CE775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sdělení Komise ze dne 8. července 2025 nazvané „Zpráva o právním státu 2025“ (</w:t>
      </w:r>
      <w:r w:rsidRPr="00B27CBD">
        <w:rPr>
          <w:szCs w:val="24"/>
        </w:rPr>
        <w:t>COM(</w:t>
      </w:r>
      <w:r w:rsidRPr="00B27CBD">
        <w:rPr>
          <w:szCs w:val="24"/>
        </w:rPr>
        <w:t>2025)0900), doprovázené pracovním dokumentem útvarů Komise nazvaným „Zpráva o právním státu 2025 – kapitola o stavu právního státu v Severní Makedonii (SWD(2025)0930),</w:t>
      </w:r>
    </w:p>
    <w:p w:rsidR="00CE2652" w:rsidRPr="00B27CBD" w:rsidP="00F219B4" w14:paraId="47C85DAD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sdělení Komise ze dne 4. listopadu 2025 nazvané „Sdělení o politice rozšíření EU pro rok 2025“ (</w:t>
      </w:r>
      <w:r w:rsidRPr="00B27CBD">
        <w:rPr>
          <w:szCs w:val="24"/>
        </w:rPr>
        <w:t>COM(</w:t>
      </w:r>
      <w:r w:rsidRPr="00B27CBD">
        <w:rPr>
          <w:szCs w:val="24"/>
        </w:rPr>
        <w:t>2025)0690), doprovázené pracovním dokumentem útvarů Komise nazvaným „Zpráva o Severní Makedonii za rok 2025“ (SWD(2025)0753),</w:t>
      </w:r>
    </w:p>
    <w:p w:rsidR="00CE2652" w:rsidRPr="00B27CBD" w:rsidP="00F219B4" w14:paraId="6CBE9E85" w14:textId="77777777">
      <w:pPr>
        <w:spacing w:after="240"/>
        <w:ind w:left="567" w:hanging="567"/>
        <w:rPr>
          <w:bCs/>
          <w:iCs/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 xml:space="preserve">s ohledem na Evropskou úmluvu o lidských právech a judikaturu Evropského soudu pro lidská práva, </w:t>
      </w:r>
    </w:p>
    <w:p w:rsidR="00CE2652" w:rsidRPr="00B27CBD" w:rsidP="00F219B4" w14:paraId="67D44B00" w14:textId="77777777">
      <w:pPr>
        <w:spacing w:after="240"/>
        <w:ind w:left="567" w:hanging="567"/>
        <w:rPr>
          <w:bCs/>
          <w:iCs/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 xml:space="preserve">s ohledem na summity mezi EU a zeměmi západního Balkánu, které se konaly v Sofii, Záhřebu a Brdu </w:t>
      </w:r>
      <w:r w:rsidRPr="00B27CBD">
        <w:rPr>
          <w:szCs w:val="24"/>
        </w:rPr>
        <w:t>pri</w:t>
      </w:r>
      <w:r w:rsidRPr="00B27CBD">
        <w:rPr>
          <w:szCs w:val="24"/>
        </w:rPr>
        <w:t xml:space="preserve"> </w:t>
      </w:r>
      <w:r w:rsidRPr="00B27CBD">
        <w:rPr>
          <w:szCs w:val="24"/>
        </w:rPr>
        <w:t>Kranju</w:t>
      </w:r>
      <w:r w:rsidRPr="00B27CBD">
        <w:rPr>
          <w:szCs w:val="24"/>
        </w:rPr>
        <w:t xml:space="preserve"> v letech 2018, 2020 a 2021, a na prohlášení z těchto summitů, </w:t>
      </w:r>
    </w:p>
    <w:p w:rsidR="00CE2652" w:rsidRPr="00B27CBD" w:rsidP="00F219B4" w14:paraId="564E3469" w14:textId="7D876BEA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prohlášení ze summitu EU a zemí západního Balkánu konaného dne 17.</w:t>
      </w:r>
      <w:r w:rsidRPr="00B27CBD" w:rsidR="00F219B4">
        <w:rPr>
          <w:szCs w:val="24"/>
        </w:rPr>
        <w:t> </w:t>
      </w:r>
      <w:r w:rsidRPr="00B27CBD">
        <w:rPr>
          <w:szCs w:val="24"/>
        </w:rPr>
        <w:t>prosince 2025 v Bruselu,</w:t>
      </w:r>
    </w:p>
    <w:p w:rsidR="00CE2652" w:rsidRPr="00B27CBD" w:rsidP="00F219B4" w14:paraId="113D9230" w14:textId="7CBC356D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závěrečnou zprávu volební pozorovatelské mise Úřadu pro demokratické instituce a lidská práva Organizace pro bezpečnost a spolupráci v Evropě (OBSE/ODIHR) ze dne 23. září 2024 o prezidentských volbách konaných dne 24.</w:t>
      </w:r>
      <w:r w:rsidRPr="00B27CBD" w:rsidR="00F219B4">
        <w:rPr>
          <w:szCs w:val="24"/>
        </w:rPr>
        <w:t> </w:t>
      </w:r>
      <w:r w:rsidRPr="00B27CBD">
        <w:rPr>
          <w:szCs w:val="24"/>
        </w:rPr>
        <w:t>dubna 2024 a parlamentních volbách konaných dne 8. května 2024 v Severní Makedonii,</w:t>
      </w:r>
    </w:p>
    <w:p w:rsidR="00CE2652" w:rsidRPr="00B27CBD" w:rsidP="00F219B4" w14:paraId="021E0073" w14:textId="77777777">
      <w:pPr>
        <w:spacing w:after="240"/>
        <w:ind w:left="567" w:hanging="567"/>
        <w:rPr>
          <w:bCs/>
          <w:iCs/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 xml:space="preserve">s ohledem na 19. zasedání Výboru pro stabilizaci a přidružení mezi Evropskou unií a Republikou Severní Makedonie, </w:t>
      </w:r>
    </w:p>
    <w:p w:rsidR="00CE2652" w:rsidRPr="00B27CBD" w:rsidP="00F219B4" w14:paraId="5403FA6B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společná doporučení přijatá na 24. schůzi Smíšeného parlamentního výboru EU-Severní Makedonie, konané ve dnech 26. a 27. listopadu 2025 ve Štrasburku,</w:t>
      </w:r>
    </w:p>
    <w:p w:rsidR="00CE2652" w:rsidRPr="00B27CBD" w:rsidP="00F219B4" w14:paraId="37AAAF05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 xml:space="preserve">s ohledem na svá předchozí usnesení o Severní Makedonii, zejména na </w:t>
      </w:r>
      <w:bookmarkStart w:id="7" w:name="_Hlk222322460"/>
      <w:r w:rsidRPr="00B27CBD">
        <w:rPr>
          <w:szCs w:val="24"/>
        </w:rPr>
        <w:t>usnesení ze dne 24. října 2019 o zahájení přístupových jednání se Severní Makedonií a Albánií</w:t>
      </w:r>
      <w:r>
        <w:rPr>
          <w:rStyle w:val="FootnoteReference"/>
          <w:szCs w:val="24"/>
        </w:rPr>
        <w:footnoteReference w:id="5"/>
      </w:r>
      <w:bookmarkEnd w:id="7"/>
      <w:r w:rsidRPr="00B27CBD">
        <w:rPr>
          <w:szCs w:val="24"/>
        </w:rPr>
        <w:t>,</w:t>
      </w:r>
    </w:p>
    <w:p w:rsidR="00CE2652" w:rsidRPr="00B27CBD" w:rsidP="00F219B4" w14:paraId="2A091C9F" w14:textId="77777777">
      <w:pPr>
        <w:spacing w:after="240"/>
        <w:ind w:left="567" w:hanging="567"/>
        <w:rPr>
          <w:bCs/>
          <w:iCs/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své usnesení ze dne 29. února 2024 o prohloubení integrace EU s ohledem na budoucí rozšíření</w:t>
      </w:r>
      <w:r>
        <w:rPr>
          <w:rStyle w:val="FootnoteReference"/>
          <w:bCs/>
          <w:iCs/>
          <w:szCs w:val="24"/>
        </w:rPr>
        <w:footnoteReference w:id="6"/>
      </w:r>
      <w:r w:rsidRPr="00B27CBD">
        <w:rPr>
          <w:szCs w:val="24"/>
        </w:rPr>
        <w:t>,</w:t>
      </w:r>
    </w:p>
    <w:p w:rsidR="00CE2652" w:rsidRPr="00B27CBD" w:rsidP="00F219B4" w14:paraId="3A9BD661" w14:textId="77777777">
      <w:pPr>
        <w:spacing w:after="240"/>
        <w:ind w:left="567" w:hanging="567"/>
        <w:rPr>
          <w:bCs/>
          <w:iCs/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své usnesení ze dne 11. března 2026 o strategii rozšiřování EU</w:t>
      </w:r>
      <w:r>
        <w:rPr>
          <w:rStyle w:val="FootnoteReference"/>
          <w:bCs/>
          <w:iCs/>
          <w:szCs w:val="24"/>
        </w:rPr>
        <w:footnoteReference w:id="7"/>
      </w:r>
      <w:r w:rsidRPr="00B27CBD">
        <w:rPr>
          <w:szCs w:val="24"/>
        </w:rPr>
        <w:t>,</w:t>
      </w:r>
    </w:p>
    <w:p w:rsidR="00CE2652" w:rsidRPr="00B27CBD" w:rsidP="00F219B4" w14:paraId="077C202F" w14:textId="77777777">
      <w:pPr>
        <w:spacing w:after="240"/>
        <w:ind w:left="567" w:hanging="567"/>
        <w:rPr>
          <w:bCs/>
          <w:iCs/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ochridskou rámcovou dohodu z roku 2001,</w:t>
      </w:r>
    </w:p>
    <w:p w:rsidR="00CE2652" w:rsidRPr="00B27CBD" w:rsidP="00F219B4" w14:paraId="3FEB4F7D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Smlouvu o přátelství, dobrých sousedských vztazích a spolupráci mezi Bulharskem a Severní Makedonií, která byla podepsána dne 1. srpna 2017 a ratifikována v lednu 2018,</w:t>
      </w:r>
    </w:p>
    <w:p w:rsidR="00CE2652" w:rsidRPr="00B27CBD" w:rsidP="00F219B4" w14:paraId="415552E4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Konečnou dohodu o urovnání neshod popsaných v rezolucích Rady bezpečnosti Organizace spojených národů 817 (1993) a 845 (1993), ukončení prozatímní dohody z roku 1995 a vytvoření strategického partnerství mezi Řeckem a Severní Makedonií ze dne 17. června 2018, rovněž známou jako „</w:t>
      </w:r>
      <w:r w:rsidRPr="00B27CBD">
        <w:rPr>
          <w:szCs w:val="24"/>
        </w:rPr>
        <w:t>Prespanská</w:t>
      </w:r>
      <w:r w:rsidRPr="00B27CBD">
        <w:rPr>
          <w:szCs w:val="24"/>
        </w:rPr>
        <w:t xml:space="preserve"> dohoda“,</w:t>
      </w:r>
    </w:p>
    <w:p w:rsidR="00CE2652" w:rsidRPr="00B27CBD" w:rsidP="00F219B4" w14:paraId="0159BE90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třetí konferenci OSN o normalizaci zeměpisných názvů, která se konala v roce 1977,</w:t>
      </w:r>
    </w:p>
    <w:p w:rsidR="00CE2652" w:rsidRPr="00B27CBD" w:rsidP="00F219B4" w14:paraId="6AF04398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dialog se Severní Makedonií v návaznosti na monitorování a na příslušnou zprávu, kterou přijalo dne 8. ledna 2026 Parlamentní shromáždění Rady Evropy,</w:t>
      </w:r>
    </w:p>
    <w:p w:rsidR="00CE2652" w:rsidRPr="00B27CBD" w:rsidP="00F219B4" w14:paraId="1E5E21A6" w14:textId="77777777">
      <w:pPr>
        <w:spacing w:after="240"/>
        <w:ind w:left="567" w:hanging="567"/>
        <w:rPr>
          <w:bCs/>
          <w:iCs/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šestou zprávu Evropské komise proti rasismu a nesnášenlivosti o Severní Makedonii přijatou dne 29. června 2023,</w:t>
      </w:r>
    </w:p>
    <w:p w:rsidR="00CE2652" w:rsidRPr="00B27CBD" w:rsidP="00F219B4" w14:paraId="1C3D8CE3" w14:textId="77777777">
      <w:pPr>
        <w:spacing w:after="240"/>
        <w:ind w:left="567" w:hanging="567"/>
        <w:rPr>
          <w:bCs/>
          <w:iCs/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společný pracovní dokument útvarů Komise nazvaný „Cíle a ukazatele pro stanovení rámce provádění akčního plánu pro rovnost žen a mužů III (2021–2025)“ (SWD(2020)0284), který doprovází společné sdělení Komise a vysokého představitele Unie pro zahraniční věci a bezpečnostní politiku ze dne 25. listopadu 2020 nazvané „Akční plán EU pro rovnost žen a mužů (GAP) III – ambiciózní agenda pro rovnost žen a mužů a posílení postavení žen v rámci vnější činnosti EU“ (JOIN(2020)0017), a na prováděcí plán na úrovni jednotlivých zemí pro Severní Makedonii,</w:t>
      </w:r>
    </w:p>
    <w:p w:rsidR="00CE2652" w:rsidRPr="00B27CBD" w:rsidP="00F219B4" w14:paraId="0052A10F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článek 55 jednacího řádu,</w:t>
      </w:r>
    </w:p>
    <w:p w:rsidR="00CE2652" w:rsidRPr="00B27CBD" w:rsidP="00F219B4" w14:paraId="7CF95F96" w14:textId="77777777">
      <w:pPr>
        <w:pStyle w:val="NormalHanging12a"/>
        <w:rPr>
          <w:szCs w:val="24"/>
        </w:rPr>
      </w:pPr>
      <w:r w:rsidRPr="00B27CBD">
        <w:rPr>
          <w:szCs w:val="24"/>
        </w:rPr>
        <w:t>–</w:t>
      </w:r>
      <w:r w:rsidRPr="00B27CBD">
        <w:rPr>
          <w:szCs w:val="24"/>
        </w:rPr>
        <w:tab/>
        <w:t>s ohledem na zprávu Výboru pro zahraniční věci (A10-0162/2026),</w:t>
      </w:r>
    </w:p>
    <w:p w:rsidR="00CE2652" w:rsidRPr="00B27CBD" w:rsidP="00F219B4" w14:paraId="05D504F8" w14:textId="77777777">
      <w:pPr>
        <w:pStyle w:val="NormalHanging12a"/>
        <w:rPr>
          <w:szCs w:val="24"/>
        </w:rPr>
      </w:pPr>
      <w:r w:rsidRPr="00B27CBD">
        <w:rPr>
          <w:szCs w:val="24"/>
        </w:rPr>
        <w:t>A.</w:t>
      </w:r>
      <w:r w:rsidRPr="00B27CBD">
        <w:rPr>
          <w:szCs w:val="24"/>
        </w:rPr>
        <w:tab/>
        <w:t>vzhledem k tomu, že Severní Makedonie má od roku 2005 status kandidátské země EU a v prosinci 2023 úspěšně dokončila proces prověřování;</w:t>
      </w:r>
    </w:p>
    <w:p w:rsidR="00CE2652" w:rsidRPr="00B27CBD" w:rsidP="00F219B4" w14:paraId="582C492D" w14:textId="77777777">
      <w:pPr>
        <w:pStyle w:val="NormalHanging12a"/>
        <w:rPr>
          <w:szCs w:val="24"/>
        </w:rPr>
      </w:pPr>
      <w:r w:rsidRPr="00B27CBD">
        <w:rPr>
          <w:szCs w:val="24"/>
        </w:rPr>
        <w:t>B.</w:t>
      </w:r>
      <w:r w:rsidRPr="00B27CBD">
        <w:rPr>
          <w:szCs w:val="24"/>
        </w:rPr>
        <w:tab/>
        <w:t xml:space="preserve">vzhledem k tomu, že strategické rozhodnutí Severní Makedonie usilovat o přistoupení k EU a národní konsensus mezi politickými stranami jsou neochvějné a podpora občanů pro přistoupení k EU se dále zvýšila o téměř </w:t>
      </w:r>
      <w:r w:rsidRPr="00B27CBD">
        <w:rPr>
          <w:szCs w:val="24"/>
        </w:rPr>
        <w:t>10 procentních</w:t>
      </w:r>
      <w:r w:rsidRPr="00B27CBD">
        <w:rPr>
          <w:szCs w:val="24"/>
        </w:rPr>
        <w:t xml:space="preserve"> bodů oproti roku 2024, kdy dosáhla 71 %;</w:t>
      </w:r>
    </w:p>
    <w:p w:rsidR="00CE2652" w:rsidRPr="00B27CBD" w:rsidP="00F219B4" w14:paraId="36002E32" w14:textId="77777777">
      <w:pPr>
        <w:spacing w:after="240"/>
        <w:ind w:left="567" w:hanging="567"/>
        <w:rPr>
          <w:bCs/>
          <w:szCs w:val="24"/>
        </w:rPr>
      </w:pPr>
      <w:r w:rsidRPr="00B27CBD">
        <w:rPr>
          <w:szCs w:val="24"/>
        </w:rPr>
        <w:t>C.</w:t>
      </w:r>
      <w:r w:rsidRPr="00B27CBD">
        <w:rPr>
          <w:szCs w:val="24"/>
        </w:rPr>
        <w:tab/>
        <w:t xml:space="preserve">vzhledem k tomu, že politika rozšíření EU zůstává strategickou investicí do míru, demokracie, stability a prosperity na evropském kontinentu a důvěryhodnost procesu přistoupení se zakládá na tom, že kandidátské země musí splnit veškeré podmínky a že je s nimi zacházeno rovným způsobem; vzhledem k tomu, že kandidátské země musí v plné míře splňovat kodaňská kritéria a dodržovat evropské hodnoty; vzhledem k tomu, že dvoustranné otázky by měly být řešeny </w:t>
      </w:r>
      <w:r w:rsidRPr="00B27CBD">
        <w:rPr>
          <w:szCs w:val="24"/>
        </w:rPr>
        <w:t>dvoustranně</w:t>
      </w:r>
      <w:r w:rsidRPr="00B27CBD">
        <w:rPr>
          <w:szCs w:val="24"/>
        </w:rPr>
        <w:t xml:space="preserve"> a v souladu s mezinárodním právem a neměly by být využívány k blokování nebo další politizaci procesu rozšíření; vzhledem k tomu, že důvěryhodnost unijní politiky rozšíření závisí stejnou měrou na tom, zda kandidátské země provedou reformy a zda Evropská unie dostojí svým závazkům poté, co budou všechny podmínky splněny;</w:t>
      </w:r>
    </w:p>
    <w:p w:rsidR="00CE2652" w:rsidRPr="00B27CBD" w:rsidP="00F219B4" w14:paraId="3FF90EC1" w14:textId="77777777">
      <w:pPr>
        <w:spacing w:after="240"/>
        <w:ind w:left="567" w:hanging="567"/>
        <w:rPr>
          <w:szCs w:val="24"/>
        </w:rPr>
      </w:pPr>
      <w:r w:rsidRPr="00B27CBD">
        <w:rPr>
          <w:szCs w:val="24"/>
        </w:rPr>
        <w:t>D.</w:t>
      </w:r>
      <w:r w:rsidRPr="00B27CBD">
        <w:rPr>
          <w:szCs w:val="24"/>
        </w:rPr>
        <w:tab/>
        <w:t>vzhledem k tomu, že Parlament soustavně podporuje evropskou perspektivu Severní Makedonie a vede nepřetržitý dialog s orgány Severní Makedonie, zúčastněnými stranami a občanskou společností, přičemž zdůrazňuje, že je zapotřebí pokračovat v soustavné práci na reformách, dodržovat demokratické hodnoty, zásady právního státu, lidská práva a plnit dohodnuté závazky;</w:t>
      </w:r>
    </w:p>
    <w:p w:rsidR="00CE2652" w:rsidRPr="00B27CBD" w:rsidP="00F219B4" w14:paraId="50B7CCBE" w14:textId="77777777">
      <w:pPr>
        <w:spacing w:after="240"/>
        <w:ind w:left="567" w:hanging="567"/>
        <w:rPr>
          <w:bCs/>
          <w:iCs/>
          <w:szCs w:val="24"/>
        </w:rPr>
      </w:pPr>
      <w:r w:rsidRPr="00B27CBD">
        <w:rPr>
          <w:szCs w:val="24"/>
        </w:rPr>
        <w:t>E.</w:t>
      </w:r>
      <w:r w:rsidRPr="00B27CBD">
        <w:rPr>
          <w:szCs w:val="24"/>
        </w:rPr>
        <w:tab/>
        <w:t>vzhledem k tomu, že emigrace má na Severní Makedonii i nadále negativní dopad, což představuje dlouhodobá rizika pro finanční udržitelnost základních veřejných služeb;</w:t>
      </w:r>
    </w:p>
    <w:p w:rsidR="00CE2652" w:rsidRPr="00B27CBD" w:rsidP="00F219B4" w14:paraId="36366B91" w14:textId="77777777">
      <w:pPr>
        <w:spacing w:after="240"/>
        <w:ind w:left="567" w:hanging="567"/>
        <w:rPr>
          <w:b/>
          <w:bCs/>
          <w:szCs w:val="24"/>
        </w:rPr>
      </w:pPr>
      <w:r w:rsidRPr="00B27CBD">
        <w:rPr>
          <w:szCs w:val="24"/>
        </w:rPr>
        <w:t>F.</w:t>
      </w:r>
      <w:r w:rsidRPr="00B27CBD">
        <w:rPr>
          <w:szCs w:val="24"/>
        </w:rPr>
        <w:tab/>
        <w:t>vzhledem k tomu, že politická polarizace, omezená spolupráce mezi stranami a pomalé provádění reforem postupně snižují důvěru veřejnosti a její zapojení;</w:t>
      </w:r>
    </w:p>
    <w:p w:rsidR="00CE2652" w:rsidRPr="00B27CBD" w:rsidP="00F219B4" w14:paraId="60C96BA5" w14:textId="77777777">
      <w:pPr>
        <w:spacing w:after="240"/>
        <w:ind w:left="567" w:hanging="567"/>
        <w:rPr>
          <w:iCs/>
          <w:szCs w:val="24"/>
        </w:rPr>
      </w:pPr>
      <w:r w:rsidRPr="00B27CBD">
        <w:rPr>
          <w:szCs w:val="24"/>
        </w:rPr>
        <w:t>G.</w:t>
      </w:r>
      <w:r w:rsidRPr="00B27CBD">
        <w:rPr>
          <w:szCs w:val="24"/>
        </w:rPr>
        <w:tab/>
        <w:t xml:space="preserve">vzhledem k tomu, že zejména ve složitých historických souvislostech jsou otázky jazyka, identity a kultury přirozeně citlivými tématy; vzhledem k tomu, že stanou-li se tyto otázky předmětem </w:t>
      </w:r>
      <w:r w:rsidRPr="00B27CBD">
        <w:rPr>
          <w:szCs w:val="24"/>
        </w:rPr>
        <w:t>diskuzí</w:t>
      </w:r>
      <w:r w:rsidRPr="00B27CBD">
        <w:rPr>
          <w:szCs w:val="24"/>
        </w:rPr>
        <w:t xml:space="preserve"> o rozšíření, může to proces přistoupení kandidátských zemí zkomplikovat a zpolitizovat, a proto by se k těmto otázkám mělo přistupovat zdrženlivě a odpovědně, tak aby integrita unijní politiky rozšíření zůstala zachována;</w:t>
      </w:r>
    </w:p>
    <w:p w:rsidR="00CE2652" w:rsidRPr="00B27CBD" w:rsidP="00F219B4" w14:paraId="2A338E35" w14:textId="77777777">
      <w:pPr>
        <w:spacing w:after="240"/>
        <w:ind w:left="567" w:hanging="567"/>
        <w:rPr>
          <w:bCs/>
          <w:iCs/>
          <w:szCs w:val="24"/>
        </w:rPr>
      </w:pPr>
      <w:r w:rsidRPr="00B27CBD">
        <w:rPr>
          <w:szCs w:val="24"/>
        </w:rPr>
        <w:t>H.</w:t>
      </w:r>
      <w:r w:rsidRPr="00B27CBD">
        <w:rPr>
          <w:szCs w:val="24"/>
        </w:rPr>
        <w:tab/>
        <w:t>vzhledem k tomu, že Severní Makedonie dosáhla při provádění svého programu reforem měřitelného, třebaže mírného pokroku, který byl zaměřen hlavně na reformy v jiných než zásadních oblastech; vzhledem k tomu, že provádění programu reforem přispívá k modernizaci a rozvoji společnosti, hospodářství a institucí Severní Makedonie;</w:t>
      </w:r>
    </w:p>
    <w:p w:rsidR="00CE2652" w:rsidRPr="00B27CBD" w:rsidP="00F219B4" w14:paraId="16E344FF" w14:textId="77777777">
      <w:pPr>
        <w:spacing w:after="240"/>
        <w:ind w:left="567" w:hanging="567"/>
        <w:rPr>
          <w:bCs/>
          <w:iCs/>
          <w:szCs w:val="24"/>
        </w:rPr>
      </w:pPr>
      <w:r w:rsidRPr="00B27CBD">
        <w:rPr>
          <w:szCs w:val="24"/>
        </w:rPr>
        <w:t>I.</w:t>
      </w:r>
      <w:r w:rsidRPr="00B27CBD">
        <w:rPr>
          <w:szCs w:val="24"/>
        </w:rPr>
        <w:tab/>
        <w:t>vzhledem k tomu, že Rada dospěla k závěru, že je připravena uskutečnit mezivládní konferenci bez dalších prodlev či dalších politických rozhodnutí, jakmile Severní Makedonie splní svůj závazek dokončit v souladu se svými vnitřními postupy požadované ústavní změny;</w:t>
      </w:r>
    </w:p>
    <w:p w:rsidR="00CE2652" w:rsidP="00F219B4" w14:paraId="27DAB7E4" w14:textId="77777777">
      <w:pPr>
        <w:pStyle w:val="NormalHanging12a"/>
        <w:rPr>
          <w:szCs w:val="24"/>
        </w:rPr>
      </w:pPr>
      <w:r w:rsidRPr="00B27CBD">
        <w:rPr>
          <w:szCs w:val="24"/>
        </w:rPr>
        <w:t>J.</w:t>
      </w:r>
      <w:r w:rsidRPr="00B27CBD">
        <w:rPr>
          <w:szCs w:val="24"/>
        </w:rPr>
        <w:tab/>
        <w:t>vzhledem k tomu, že jednotlivé členské státy EU vyjádřily k rámci pro jednání se Severní Makedonií své postoje;</w:t>
      </w:r>
    </w:p>
    <w:p w:rsidR="008F29E3" w:rsidRPr="00B27CBD" w:rsidP="00F219B4" w14:paraId="745FBC6C" w14:textId="203FBABD">
      <w:pPr>
        <w:pStyle w:val="NormalHanging12a"/>
        <w:rPr>
          <w:szCs w:val="24"/>
        </w:rPr>
      </w:pPr>
      <w:r>
        <w:rPr>
          <w:szCs w:val="24"/>
        </w:rPr>
        <w:t>K</w:t>
      </w:r>
      <w:r w:rsidRPr="008F29E3">
        <w:rPr>
          <w:szCs w:val="24"/>
        </w:rPr>
        <w:t>.</w:t>
      </w:r>
      <w:r w:rsidRPr="008F29E3">
        <w:rPr>
          <w:szCs w:val="24"/>
        </w:rPr>
        <w:tab/>
        <w:t>vzhledem k tomu, že nalezení společného přístupu ke komunikaci a dialogu s minulostí a vytvoření kultury historického povědomí na základě vzájemné úcty by měl být předpokladem pro to, aby Bulharsko a Severní Makedonie budovaly své budoucí vztahy; vzhledem k tomu, že vztahy mezi budoucími generacemi Severní Makedonie a Bulharska budou výslednicí vzdělávacích procesů v obou zemích;</w:t>
      </w:r>
    </w:p>
    <w:p w:rsidR="00CE2652" w:rsidRPr="00B27CBD" w:rsidP="00F219B4" w14:paraId="0CCD63B9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1.</w:t>
      </w:r>
      <w:r w:rsidRPr="00B27CBD">
        <w:rPr>
          <w:szCs w:val="24"/>
        </w:rPr>
        <w:tab/>
        <w:t>znovu opakuje, že plně podporuje odhodlání Severní Makedonie stát se členem EU, a to na základě jasného a měřitelného pokroku a přísné, avšak spravedlivé podmíněnosti, jakož i nezbytných transformativních změn, které jsou ke splnění kritérií pro přistoupení nezbytné; oceňuje odhodlání země začlenit se do evropských struktur a vybízí ji k další práci na reformách, které ji přiblíží EU; připomíná však, že to, jak budou přístupová jednání pokračovat, i nadále závisí na trvalých a důkladných reformách, přičemž hlavní podmínkou jsou dosažené výsledky;</w:t>
      </w:r>
    </w:p>
    <w:p w:rsidR="00CE2652" w:rsidRPr="00B27CBD" w:rsidP="00F219B4" w14:paraId="3E776508" w14:textId="77777777">
      <w:pPr>
        <w:pStyle w:val="NormalHanging12a"/>
        <w:rPr>
          <w:szCs w:val="24"/>
        </w:rPr>
      </w:pPr>
      <w:r w:rsidRPr="00B27CBD">
        <w:rPr>
          <w:szCs w:val="24"/>
        </w:rPr>
        <w:t>2.</w:t>
      </w:r>
      <w:r w:rsidRPr="00B27CBD">
        <w:rPr>
          <w:szCs w:val="24"/>
        </w:rPr>
        <w:tab/>
        <w:t xml:space="preserve">s politováním konstatuje, že od poslední zprávy nebylo dosaženo dostatečného pokroku; zdůrazňuje, že reformní dynamika vyžaduje obnovení politického závazku a jasné kroky, mj. pokud jde o nezbytné ústavní změny, konstruktivní spolupráci napříč stranami a účinný parlamentní dohled; chápe, že v zemi, která na cestě k národní nezávislosti překonala mnoho problémů, jsou ústavní změny důležitým, ale </w:t>
      </w:r>
      <w:r w:rsidRPr="00B27CBD">
        <w:rPr>
          <w:szCs w:val="24"/>
        </w:rPr>
        <w:t>kontroverzním tématem; v této souvislosti zdůrazňuje, že všechny politické subjekty, které usilují o evropské směřování země, by měly urychleně spojit své síly a prosadit nezbytné ústavní změny, které umožní otevření prvního tematického okruhu jednání; připomíná, že spolupráce napříč stranami bude mít i nadále zásadní význam při slaďování vnitrostátních právních předpisů s </w:t>
      </w:r>
      <w:r w:rsidRPr="00B27CBD">
        <w:rPr>
          <w:i/>
          <w:iCs/>
          <w:szCs w:val="24"/>
        </w:rPr>
        <w:t>acquis</w:t>
      </w:r>
      <w:r w:rsidRPr="00B27CBD">
        <w:rPr>
          <w:szCs w:val="24"/>
        </w:rPr>
        <w:t xml:space="preserve"> EU v průběhu jednání;</w:t>
      </w:r>
    </w:p>
    <w:p w:rsidR="00CE2652" w:rsidRPr="00B27CBD" w:rsidP="00F219B4" w14:paraId="056BBFEC" w14:textId="77777777">
      <w:pPr>
        <w:pStyle w:val="NormalHanging12a"/>
        <w:rPr>
          <w:szCs w:val="24"/>
        </w:rPr>
      </w:pPr>
      <w:r w:rsidRPr="00B27CBD">
        <w:rPr>
          <w:szCs w:val="24"/>
        </w:rPr>
        <w:t>3.</w:t>
      </w:r>
      <w:r w:rsidRPr="00B27CBD">
        <w:rPr>
          <w:szCs w:val="24"/>
        </w:rPr>
        <w:tab/>
        <w:t>vítá, že Severní Makedonie v poslední době opětovně projevuje politickou vůli k reformním krokům; zdůrazňuje však, že země bude posuzována pouze na základě výsledků provedených reforem; vyzdvihuje, že nedostatečná spolupráce napříč politickými stranami v úsilí o změnu ústavy není omluvou pro odklad dalších reforem, z nichž by měla země a její občané prospěch bez ohledu na evropskou integraci;</w:t>
      </w:r>
    </w:p>
    <w:p w:rsidR="00CE2652" w:rsidRPr="00B27CBD" w:rsidP="00F219B4" w14:paraId="11AE7650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4.</w:t>
      </w:r>
      <w:r w:rsidRPr="00B27CBD">
        <w:rPr>
          <w:szCs w:val="24"/>
        </w:rPr>
        <w:tab/>
        <w:t>vyzývá členské státy, Radu a Komisi, aby zajistily předvídatelnost a důvěryhodnost procesu přistoupení, a to i s cílem udržet podporu veřejnosti pro proces přistoupení v potenciálně přistupujících zemích; v této souvislosti apeluje na Evropskou radu a členské státy, aby daly veřejně a jednoznačně najevo, že Rada má v úmyslu rychle a bezpodmínečně přijmout kladné rozhodnutí ve věci zahájení další fáze přístupových jednání se Severní Makedonií, jakmile budou splněny podmínky uvedené v jejích závěrech ze dne 18. července 2022; konstatuje, že Severní Makedonie je jednou z nejdéle čekajících kandidátských zemí, neboť jí byl status kandidátské země udělen již před více než dvěma desetiletími; zdůrazňuje, že opakované odkládání zahájení přístupových jednání se Severní Makedonií ze strany Evropské rady přispělo k tomu, že její politické subjekty a občané vnímají vyhlídky na přistoupení k EU negativně;</w:t>
      </w:r>
    </w:p>
    <w:p w:rsidR="00CE2652" w:rsidRPr="00B27CBD" w:rsidP="00F219B4" w14:paraId="6CFD89AA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5.</w:t>
      </w:r>
      <w:r w:rsidRPr="00B27CBD">
        <w:rPr>
          <w:szCs w:val="24"/>
        </w:rPr>
        <w:tab/>
        <w:t>opakuje výzvu Evropské rady obsaženou v jejích závěrech o Severní Makedonii z roku 2024, aby se urychlilo dokončení ústavních změn; připomíná, že Rada potvrdila, že jakmile Severní Makedonie splní svůj závazek v souladu se svými vnitřními postupy, je připravena svolat novou mezivládní konferenci, a to bez dalšího odkladu nebo dalších politických rozhodnutí, a poté v souladu s rámcem pro jednání co nejdříve otevřít první tematický okruh jednání;</w:t>
      </w:r>
    </w:p>
    <w:p w:rsidR="00CE2652" w:rsidRPr="00B27CBD" w:rsidP="00F219B4" w14:paraId="55973E36" w14:textId="77777777">
      <w:pPr>
        <w:pStyle w:val="NormalHanging12a"/>
        <w:rPr>
          <w:szCs w:val="24"/>
        </w:rPr>
      </w:pPr>
      <w:r w:rsidRPr="00B27CBD">
        <w:rPr>
          <w:szCs w:val="24"/>
        </w:rPr>
        <w:t>6.</w:t>
      </w:r>
      <w:r w:rsidRPr="00B27CBD">
        <w:rPr>
          <w:szCs w:val="24"/>
        </w:rPr>
        <w:tab/>
        <w:t>oceňuje odhodlání občanů Severní Makedonie k integraci do EU a podporu, kterou tomuto projektu projevují dvě desetiletí poté, co byl proces zahájen; vyzývá Komisi, aby předložila jasné návrhy, jak uplatňovat nástroje postupné integrace a zaručit jejich účinné provádění, včetně nástrojů v rámci plánu růstu pro západní Balkán, přičemž je třeba, aby tyto nástroje doplňovaly, nikoli nahrazovaly plné členství a byly uplatňovány v co největším počtu oblastí, aby občané Severní Makedonie mohli těžit z integrace do EU ještě před samotným přistoupením;</w:t>
      </w:r>
    </w:p>
    <w:p w:rsidR="00CE2652" w:rsidRPr="00B27CBD" w:rsidP="00F219B4" w14:paraId="263A7669" w14:textId="77777777">
      <w:pPr>
        <w:pStyle w:val="NormalHanging12a"/>
        <w:rPr>
          <w:szCs w:val="24"/>
        </w:rPr>
      </w:pPr>
      <w:bookmarkStart w:id="8" w:name="_Hlk221624932"/>
      <w:r w:rsidRPr="00B27CBD">
        <w:rPr>
          <w:szCs w:val="24"/>
        </w:rPr>
        <w:t>7.</w:t>
      </w:r>
      <w:r w:rsidRPr="00B27CBD">
        <w:rPr>
          <w:szCs w:val="24"/>
        </w:rPr>
        <w:tab/>
        <w:t>připomíná, že o zahájení a uzavření přístupových jednání, které jsou hlavními politickými milníky v procesu rozšíření, je třeba rozhodovat jednomyslně; znovu vyzývá k posílení schopnosti EU jednat prostřednictvím zjednodušených postupů, jako je používání hlasování kvalifikovanou většinou v dílčích krocích procesu rozšíření, a to plně v souladu se Smlouvami;</w:t>
      </w:r>
    </w:p>
    <w:p w:rsidR="00CE2652" w:rsidRPr="00B27CBD" w:rsidP="00F219B4" w14:paraId="2BDD56FD" w14:textId="77777777">
      <w:pPr>
        <w:pStyle w:val="NormalHanging12a"/>
        <w:rPr>
          <w:szCs w:val="24"/>
        </w:rPr>
      </w:pPr>
      <w:r w:rsidRPr="00B27CBD">
        <w:rPr>
          <w:szCs w:val="24"/>
        </w:rPr>
        <w:t>8.</w:t>
      </w:r>
      <w:r w:rsidRPr="00B27CBD">
        <w:rPr>
          <w:szCs w:val="24"/>
        </w:rPr>
        <w:tab/>
        <w:t>připomíná, že dvoustranné spory mezi zeměmi je třeba řešit prostřednictvím otevřeného dialogu, se zapojením občanské společnosti a odborníků, a opravdové spolupráce, a to v dobré víře a v souladu s mezinárodním právem, a neměly by být v rámci procesu přistoupení zneužívány;</w:t>
      </w:r>
      <w:bookmarkEnd w:id="8"/>
    </w:p>
    <w:p w:rsidR="00CE2652" w:rsidRPr="00B27CBD" w:rsidP="00F219B4" w14:paraId="655EEE44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9.</w:t>
      </w:r>
      <w:r w:rsidRPr="00B27CBD">
        <w:rPr>
          <w:szCs w:val="24"/>
        </w:rPr>
        <w:tab/>
        <w:t xml:space="preserve">zdůrazňuje, že jazyková, kulturní a národní identita je skutečným základem každé země </w:t>
      </w:r>
      <w:r w:rsidRPr="00B27CBD">
        <w:rPr>
          <w:szCs w:val="24"/>
        </w:rPr>
        <w:t xml:space="preserve">a neměla by být zpochybňována třetími stranami; dále konstatuje, že tyto záležitosti by neměly ovlivňovat proces přistoupení k EU, který se zaměřuje na provádění </w:t>
      </w:r>
      <w:r w:rsidRPr="00B27CBD">
        <w:rPr>
          <w:i/>
          <w:iCs/>
          <w:szCs w:val="24"/>
        </w:rPr>
        <w:t>acquis</w:t>
      </w:r>
      <w:r w:rsidRPr="00B27CBD">
        <w:rPr>
          <w:szCs w:val="24"/>
        </w:rPr>
        <w:t xml:space="preserve"> EU a sladění s hodnotami a zásadami EU stanovenými v kodaňských kritériích a se zásadami dobrých sousedských vztahů a který by se měl řídit objektivními kritérii a měl by být založen výhradně na zásluhách; důrazně odmítá etnicko-nacionalistickou rétoriku, i ze strany politických aktérů, která podněcuje rozdělení a podkopává dobré sousedské vztahy a vztahy mezi etnickými skupinami a komunitami; vyzývá EU, aby zintenzivnila úsilí o omezení této rétoriky a jejího dopadu;</w:t>
      </w:r>
    </w:p>
    <w:p w:rsidR="00CE2652" w:rsidRPr="00B27CBD" w:rsidP="00F219B4" w14:paraId="05E7960D" w14:textId="77777777">
      <w:pPr>
        <w:pStyle w:val="NormalHanging12a"/>
        <w:rPr>
          <w:szCs w:val="24"/>
        </w:rPr>
      </w:pPr>
      <w:r w:rsidRPr="00B27CBD">
        <w:rPr>
          <w:szCs w:val="24"/>
        </w:rPr>
        <w:t>10.</w:t>
      </w:r>
      <w:r w:rsidRPr="00B27CBD">
        <w:rPr>
          <w:szCs w:val="24"/>
        </w:rPr>
        <w:tab/>
        <w:t>vítá stabilitu vztahů mezi etniky v Severní Makedonii a provádění ochridské rámcové dohody, a to i prostřednictvím mechanismů spravedlivého zastoupení; vyzývá všechny aktéry, aby zachovali základy stability a integrity země, rozvíjeli vztahy, spolupráci a výměny mezi etnickými a menšinovými skupinami a dalšími komunitami a vyvarovali se štvavé rétoriky;</w:t>
      </w:r>
    </w:p>
    <w:p w:rsidR="00CE2652" w:rsidRPr="00B27CBD" w:rsidP="00F219B4" w14:paraId="2074210E" w14:textId="6CCEB96D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11.</w:t>
      </w:r>
      <w:r w:rsidRPr="00B27CBD">
        <w:rPr>
          <w:szCs w:val="24"/>
        </w:rPr>
        <w:tab/>
        <w:t>bere na vědomí rozhodnutí Ústavního soudu Severní Makedonie ze dne 18. září 2024 o zrušení některých ustanovení týkajících se kvót pro zástupce albánských a dalších komunit ve veřejných institucích; zdůrazňuje, že správa země by měla odrážet její multietnické složení; vyzývá orgány, aby zajistily odpovídající a spravedlivé zastoupení všech komunit v souladu s ochridskou rámcovou dohodou a aby pozměnily a provedly příslušný návrh zákona plně v souladu se stanoviskem Benátské komise a normami EU;</w:t>
      </w:r>
      <w:r w:rsidR="00183CA6">
        <w:rPr>
          <w:szCs w:val="24"/>
        </w:rPr>
        <w:t xml:space="preserve"> </w:t>
      </w:r>
      <w:r w:rsidRPr="00183CA6" w:rsidR="00183CA6">
        <w:rPr>
          <w:szCs w:val="24"/>
        </w:rPr>
        <w:t>naléhavě vyzývá orgány Severní Makedonie, aby urychleně vyřešily otázku používání albánského jazyka při státních zkouškách s cílem zajistit praktické provedení litery i ducha ochridské rámcové dohody a aby studentské protesty nevykreslovaly neupřímně jako politicky motivovaný nebo destabilizující faktor;</w:t>
      </w:r>
    </w:p>
    <w:p w:rsidR="00CE2652" w:rsidRPr="00B27CBD" w:rsidP="00F219B4" w14:paraId="2224CFA2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12.</w:t>
      </w:r>
      <w:r w:rsidRPr="00B27CBD">
        <w:rPr>
          <w:szCs w:val="24"/>
        </w:rPr>
        <w:tab/>
      </w:r>
      <w:bookmarkStart w:id="9" w:name="_Hlk228954086"/>
      <w:r w:rsidRPr="00B27CBD">
        <w:rPr>
          <w:szCs w:val="24"/>
        </w:rPr>
        <w:t>konstatuje, že Výbor pro stabilizaci a přidružení nedávno uvítal pokrok při dosahování kritérií pro otevření tematického okruhu základních zásad prostřednictvím plánů reformy veřejné správy a kapitol týkajících se právního státu; </w:t>
      </w:r>
      <w:bookmarkEnd w:id="9"/>
      <w:r w:rsidRPr="00B27CBD">
        <w:rPr>
          <w:szCs w:val="24"/>
        </w:rPr>
        <w:t>vybízí Severní Makedonii, aby připravila a dokončila veškerou práci související s kritérií pro zahájení tematického okruhu základních zásad v rámci transparentního a smysluplného konzultačního procesu se všemi příslušnými zúčastněnými stranami, včetně občanské společnosti;</w:t>
      </w:r>
    </w:p>
    <w:p w:rsidR="00CE2652" w:rsidRPr="00B27CBD" w:rsidP="00F219B4" w14:paraId="793E4081" w14:textId="77777777">
      <w:pPr>
        <w:pStyle w:val="NormalHanging12a"/>
        <w:rPr>
          <w:b/>
          <w:i/>
          <w:iCs/>
          <w:szCs w:val="24"/>
        </w:rPr>
      </w:pPr>
      <w:r w:rsidRPr="00B27CBD">
        <w:rPr>
          <w:b/>
          <w:i/>
          <w:szCs w:val="24"/>
        </w:rPr>
        <w:t>Fungování demokratických institucí</w:t>
      </w:r>
    </w:p>
    <w:p w:rsidR="00CE2652" w:rsidRPr="00B27CBD" w:rsidP="00F219B4" w14:paraId="643DA014" w14:textId="77777777">
      <w:pPr>
        <w:pStyle w:val="NormalHanging12a"/>
        <w:rPr>
          <w:szCs w:val="24"/>
        </w:rPr>
      </w:pPr>
      <w:r w:rsidRPr="00B27CBD">
        <w:rPr>
          <w:szCs w:val="24"/>
        </w:rPr>
        <w:t>13.</w:t>
      </w:r>
      <w:r w:rsidRPr="00B27CBD">
        <w:rPr>
          <w:szCs w:val="24"/>
        </w:rPr>
        <w:tab/>
        <w:t xml:space="preserve">konstatuje, že zatímco demokratické instituce v Severní Makedonii fungují uspokojivě, politická polarizace trvá a zpožďuje tolik potřebné reformní kroky a jmenování úředníků; vyjadřuje politování nad tím, že nebyly učiněny žádné pokusy o přijetí ústavních změn, k nimž se země zavázala a které jsou nezbytné pro zahájení tematického okruhu základních zásad; naléhavě vyzývá všechny politické strany zastoupené ve Shromáždění Republiky Severní Makedonie, aby se povznesly nad vášnivou rétoriku kampaně a oboustranně spolupracovaly na dosažení dohody o nezbytných reformách; vyzývá orgány EU a členské státy, aby </w:t>
      </w:r>
      <w:r w:rsidRPr="00B27CBD">
        <w:rPr>
          <w:szCs w:val="24"/>
        </w:rPr>
        <w:t>zintenzivněly</w:t>
      </w:r>
      <w:r w:rsidRPr="00B27CBD">
        <w:rPr>
          <w:szCs w:val="24"/>
        </w:rPr>
        <w:t xml:space="preserve"> své úsilí o usnadnění řešení této otázky, a to i prostřednictvím technické pomoci a usnadnění dialogu;</w:t>
      </w:r>
    </w:p>
    <w:p w:rsidR="00CE2652" w:rsidRPr="00B27CBD" w:rsidP="00F219B4" w14:paraId="2B330BFD" w14:textId="77777777">
      <w:pPr>
        <w:pStyle w:val="NormalHanging12a"/>
        <w:rPr>
          <w:szCs w:val="24"/>
        </w:rPr>
      </w:pPr>
      <w:r w:rsidRPr="00B27CBD">
        <w:rPr>
          <w:szCs w:val="24"/>
        </w:rPr>
        <w:t>14.</w:t>
      </w:r>
      <w:r w:rsidRPr="00B27CBD">
        <w:rPr>
          <w:szCs w:val="24"/>
        </w:rPr>
        <w:tab/>
        <w:t>zdůrazňuje, že by měl být dále posílen parlamentní dohled nad výkonnou mocí, a vyzývá k posílení kontrolních mechanismů, včetně většího zapojení opozičních stran a aktérů občanské společnosti;</w:t>
      </w:r>
    </w:p>
    <w:p w:rsidR="00CE2652" w:rsidRPr="00B27CBD" w:rsidP="00F219B4" w14:paraId="605FB1E3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15.</w:t>
      </w:r>
      <w:r w:rsidRPr="00B27CBD">
        <w:rPr>
          <w:szCs w:val="24"/>
        </w:rPr>
        <w:tab/>
        <w:t>vítá skutečnost, že místní volby, které se konaly v říjnu a listopadu 2025, byly obecně konkurenční a že volební správa řídila přípravy voleb většinou účinným způsobem, a to navzdory některým procesním nedostatkům; konstatuje, že stále neproběhla komplexní volební reforma; znovu vyzývá k provedení dosud nerealizovaných doporučení Organizace pro bezpečnost a spolupráci v Evropě/Úřadu pro demokratické instituce a lidská práva (OBSE/ODIHR) a Benátské komise v transparentním procesu, zahrnujícím všechny relevantní účastníky; dále vyzývá k větší transparentnosti, pokud jde o financování politických stran a politické reklamy a výdaje na ně, jak v tradičních médiích, tak i online, zejména v sociálních médiích; vyzývá Severní Makedonii, aby odstranila regulační mezery, které umožňují skrytý vliv ve volbách, zejména regulací politické reklamy na internetu, včetně povinné identifikace zadavatele, transparentnosti výdajů a smysluplného zveřejňování kritérií cílení, a řešením financování třetími stranami a výdajových kanálů souvisejících s kampaněmi; vyzývá ke spravedlivému státnímu financování a k tomu, aby všechny politické strany a nezávislí kandidáti měli rovný přístup ke sdělovacím prostředkům;</w:t>
      </w:r>
    </w:p>
    <w:p w:rsidR="00CE2652" w:rsidRPr="00B27CBD" w:rsidP="00F219B4" w14:paraId="52384E85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16.</w:t>
      </w:r>
      <w:r w:rsidRPr="00B27CBD">
        <w:rPr>
          <w:szCs w:val="24"/>
        </w:rPr>
        <w:tab/>
        <w:t>vyzývá ke skutečnému a smysluplnému politickému posílení postavení žen na místní, regionální a celostátní úrovni s cílem posílit jejich účast ve volebním procesu a politickém rozhodování; dále doporučuje zavést genderové kvóty tam, kde ještě nejsou zavedeny, s cílem zajistit dodržování závazku genderové vyváženosti stanoveného ve vnitrostátní strategii pro rovnost žen a mužů;</w:t>
      </w:r>
    </w:p>
    <w:p w:rsidR="00CE2652" w:rsidRPr="00B27CBD" w:rsidP="00F219B4" w14:paraId="55292439" w14:textId="77777777">
      <w:pPr>
        <w:pStyle w:val="NormalHanging12a"/>
        <w:rPr>
          <w:szCs w:val="24"/>
        </w:rPr>
      </w:pPr>
      <w:r w:rsidRPr="00B27CBD">
        <w:rPr>
          <w:szCs w:val="24"/>
        </w:rPr>
        <w:t>17.</w:t>
      </w:r>
      <w:r w:rsidRPr="00B27CBD">
        <w:rPr>
          <w:szCs w:val="24"/>
        </w:rPr>
        <w:tab/>
        <w:t>uvědomuje si, že bylo dosaženo mírného pokroku v reformě veřejné správy a digitální transformaci a zlepšení transparentnosti a účinnosti veřejného sektoru, mimo jiné prostřednictvím nedávno přijatých právních předpisů o elektronické identifikaci v souladu s předpisy EU; konstatuje však, že je třeba vyvinout další úsilí, včetně reforem místní samosprávy a důslednějšího provádění strategie veřejné správy na období 2023–2030, což by místním orgánům umožnilo poskytovat občanům lepší služby, rozvíjet a provádět strategie místního a regionálního rozvoje a zajistit nezbytnou správní kapacitu;</w:t>
      </w:r>
    </w:p>
    <w:p w:rsidR="00CE2652" w:rsidRPr="00B27CBD" w:rsidP="00F219B4" w14:paraId="265F8BBB" w14:textId="77777777">
      <w:pPr>
        <w:pStyle w:val="NormalHanging12a"/>
        <w:rPr>
          <w:bCs/>
          <w:szCs w:val="24"/>
        </w:rPr>
      </w:pPr>
      <w:r w:rsidRPr="00B27CBD">
        <w:rPr>
          <w:szCs w:val="24"/>
        </w:rPr>
        <w:t>18.</w:t>
      </w:r>
      <w:r w:rsidRPr="00B27CBD">
        <w:rPr>
          <w:szCs w:val="24"/>
        </w:rPr>
        <w:tab/>
        <w:t>naléhavě vyzývá k dalšímu odpolitizování veřejné správy a k plnému provádění náboru na základě zásluh a výběru vyššího vedení v souladu s normami EU;</w:t>
      </w:r>
    </w:p>
    <w:p w:rsidR="00CE2652" w:rsidRPr="00B27CBD" w:rsidP="00F219B4" w14:paraId="3A80436D" w14:textId="77777777">
      <w:pPr>
        <w:pStyle w:val="NormalHanging12a"/>
        <w:rPr>
          <w:bCs/>
          <w:szCs w:val="24"/>
        </w:rPr>
      </w:pPr>
      <w:r w:rsidRPr="00B27CBD">
        <w:rPr>
          <w:szCs w:val="24"/>
        </w:rPr>
        <w:t>19.</w:t>
      </w:r>
      <w:r w:rsidRPr="00B27CBD">
        <w:rPr>
          <w:szCs w:val="24"/>
        </w:rPr>
        <w:tab/>
        <w:t>vítá nedávné jmenování nového veřejného ochránce práv; s uspokojením bere na vědomí formát veřejných slyšení pro jmenování do veřejných funkcí, který zvyšuje transparentnost a veřejnou kontrolu; je však znepokojen náznaky politického zvýhodňování v procesu jmenování členů Komise pro prevenci a ochranu před diskriminací; zdůrazňuje, že orgány pro rovné zacházení musí fungovat nezávisle a bez politického vměšování;</w:t>
      </w:r>
    </w:p>
    <w:p w:rsidR="00CE2652" w:rsidRPr="00B27CBD" w:rsidP="00F219B4" w14:paraId="65A772CE" w14:textId="77777777">
      <w:pPr>
        <w:pStyle w:val="NormalHanging12a"/>
        <w:rPr>
          <w:b/>
          <w:szCs w:val="24"/>
        </w:rPr>
      </w:pPr>
      <w:r w:rsidRPr="00B27CBD">
        <w:rPr>
          <w:b/>
          <w:i/>
          <w:szCs w:val="24"/>
        </w:rPr>
        <w:t>Sdělovací prostředky a občanská společnost</w:t>
      </w:r>
    </w:p>
    <w:p w:rsidR="00CE2652" w:rsidRPr="00B27CBD" w:rsidP="00F219B4" w14:paraId="63EC2A3E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20.</w:t>
      </w:r>
      <w:r w:rsidRPr="00B27CBD">
        <w:rPr>
          <w:szCs w:val="24"/>
        </w:rPr>
        <w:tab/>
        <w:t>oceňuje skutečnost, že Severní Makedonie poskytuje přiměřené právní záruky svobody projevu; konstatuje však, že je třeba více pracovat na vytvoření skutečně příznivého prostředí pro svobodné a nezávislé sdělovací prostředky; vyzývá sdělovací prostředky, aby se chovaly zdrženlivě při zveřejňování rétoriky, která může narušit vztahy mezi etnickými skupinami a komunitami; zdůrazňuje, že je třeba, aby platformy sociálních médií posílily moderování obsahu, zejména v souvislosti s nenávistnými verbálními projevy z etnických důvodů; dále vybízí k rozvoji místních a regionálních soukromých sdělovacích prostředků;</w:t>
      </w:r>
    </w:p>
    <w:p w:rsidR="00CE2652" w:rsidRPr="00B27CBD" w:rsidP="00F219B4" w14:paraId="761D6B74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21.</w:t>
      </w:r>
      <w:r w:rsidRPr="00B27CBD">
        <w:rPr>
          <w:szCs w:val="24"/>
        </w:rPr>
        <w:tab/>
        <w:t>konstatuje, že účinné provádění právních ustanovení na ochranu novinářů je i nadále náročné, zejména v případech obtěžování na internetu a genderově podmíněného násilí namířeného proti novinářkám; je znepokojen tím, že neexistence konkrétních právních předpisů proti strategickým soudním řízením proti účasti veřejnosti a omezené povědomí soudců, právníků a novinářů o této otázce brání účinné ochraně novinářů a veřejných kritiků před strategickými soudními řízeními proti účasti veřejnosti; zdůrazňuje, že je třeba přijmout vnitrostátní právní předpisy, které budou v souladu se směrnicí proti strategickým soudním řízením proti účasti veřejnosti</w:t>
      </w:r>
      <w:r>
        <w:rPr>
          <w:rStyle w:val="FootnoteReference"/>
          <w:bCs/>
          <w:iCs/>
          <w:szCs w:val="24"/>
        </w:rPr>
        <w:footnoteReference w:id="8"/>
      </w:r>
      <w:r w:rsidRPr="00B27CBD">
        <w:rPr>
          <w:szCs w:val="24"/>
        </w:rPr>
        <w:t>; vyjadřuje znepokojení nad socioekonomickou nejistotou pracovníků sdělovacích prostředků, zejména pokud jde o ženy pracující ve sdělovacích prostředcích; vyzývá pracovníky donucovacích a soudních orgánů, aby zajistili účinné vyšetřování a sankce za útoky, výhrůžky, obtěžování a nátlak na novináře, se zvláštním zaměřením na novinářky; naléhavě vyzývá příslušné orgány, aby proaktivně předcházely všem případům nenávistných verbálních projevů, trestných činů z nenávisti a zastrašování a systematicky je stíhaly, aby důkladně šetřily související útoky a aby zajistily bezpečnost a ochranu všech, na něž jsou tyto činy zaměřeny, jako jsou novináři a příslušníci menšin, komunit nebo jiných zranitelných skupin;</w:t>
      </w:r>
    </w:p>
    <w:p w:rsidR="00CE2652" w:rsidRPr="00B27CBD" w:rsidP="00F219B4" w14:paraId="61B046A9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22.</w:t>
      </w:r>
      <w:r w:rsidRPr="00B27CBD">
        <w:rPr>
          <w:szCs w:val="24"/>
        </w:rPr>
        <w:tab/>
        <w:t>se znepokojením poukazuje na rostoucí koncentraci vlastnictví sdělovacích prostředků a riziko skryté kontroly prostřednictvím zprostředkovatelů; vyzývá k posílení záruk redakční nezávislosti, transparentnosti v souvislosti s reklamou zadávanou státem a ochrany novinářů; poukazuje na naléhavou potřebu účinné reformy sdělovacích prostředků a přijetí účinných opatření proti koncentraci, včetně plné transparentnosti vlastnictví sdělovacích prostředků a přidělování veřejných prostředků na reklamu zadávanou státem, jakož i dodržování pravidel hospodářské soutěže, státní podpory a práv duševního vlastnictví; zdůrazňuje, že pluralita sdělovacích prostředků má zásadní význam pro demokratickou odolnost; zdůrazňuje, že je třeba posílit nezávislost a kapacitu regulačního orgánu pro sdělovací prostředky, veřejnoprávního vysílání a regulačního orgánu v oblasti elektronické komunikace;</w:t>
      </w:r>
    </w:p>
    <w:p w:rsidR="00CE2652" w:rsidRPr="00B27CBD" w:rsidP="00F219B4" w14:paraId="4293B59C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23.</w:t>
      </w:r>
      <w:r w:rsidRPr="00B27CBD">
        <w:rPr>
          <w:szCs w:val="24"/>
        </w:rPr>
        <w:tab/>
        <w:t>vyjadřuje znepokojení nad strategickým získáváním klíčových televizních stanic a zpravodajských portálů maďarskými vedoucími pracovníky sdělovacích prostředků, což umožňuje protievropským narativům proniknout do veřejného diskurzu v Severní Makedonii;</w:t>
      </w:r>
    </w:p>
    <w:p w:rsidR="00CE2652" w:rsidRPr="00B27CBD" w:rsidP="00F219B4" w14:paraId="37AAF0F2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24.</w:t>
      </w:r>
      <w:r w:rsidRPr="00B27CBD">
        <w:rPr>
          <w:szCs w:val="24"/>
        </w:rPr>
        <w:tab/>
        <w:t xml:space="preserve">je vážně znepokojen neustálými pokusy o narušení veřejné diskuse a oslabení důvěry v demokratické instituce a evropskou cestu země prostřednictvím koordinované manipulace s informačním prostředím, včetně skrytých vlivových operací a zlovolných narativů; vyzývá EU a její členské státy, aby vyvinuly další úsilí na podporu Severní Makedonie v boji proti nepřátelskému zahraničnímu vměšování v zemi, a to i prostřednictvím technické pomoci; zdůrazňuje, že nepřátelské zahraniční vměšování oslabuje důvěryhodnost institucí a polarizuje společnost; vyzývá orgány, aby vytvořily komplexní a institucionalizovaný rámec pro demokratickou odolnost s jasně vymezenými povinnostmi, pravidelným posuzováním rizik a veřejným podáváním zpráv v souladu s vyvíjejícími se standardy Unie pro ochranu demokratických procesů; </w:t>
      </w:r>
      <w:r w:rsidRPr="00B27CBD">
        <w:rPr>
          <w:szCs w:val="24"/>
        </w:rPr>
        <w:t>dále vyzývá ke zvýšení mediální a digitální gramotnosti, podpoře ověřování faktů, boji proti nenávistným verbálním projevům ve všech jejich formách a posílení odolnosti vůči hybridním hrozbám, které ohrožují demokratické hodnoty a cíl země stát se členem EU;</w:t>
      </w:r>
    </w:p>
    <w:p w:rsidR="00CE2652" w:rsidRPr="00B27CBD" w:rsidP="00F219B4" w14:paraId="33EA547F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25.</w:t>
      </w:r>
      <w:r w:rsidRPr="00B27CBD">
        <w:rPr>
          <w:szCs w:val="24"/>
        </w:rPr>
        <w:tab/>
        <w:t>konstatuje, že nedostatečné vyhlídky na přistoupení k EU v posledních letech vytvořily prostor pro větší zapojení autoritářských aktérů v zemi; vybízí proto k transparentní a fakticky podložené komunikaci s veřejností o reformách souvisejících s EU a procesu přistoupení s cílem zachovat širokou společenskou podporu a bojovat proti dezinformacím; v této souvislosti apeluje na Komisi, aby účinněji komunikovala s makedonskou veřejností o přetrvávajícím nedostatku politické vůle pokročit v reformách, které by se zabývaly otázkami týkajícími se všech občanů Severní Makedonie;</w:t>
      </w:r>
    </w:p>
    <w:p w:rsidR="00CE2652" w:rsidRPr="00B27CBD" w:rsidP="00F219B4" w14:paraId="3FB86B25" w14:textId="77777777">
      <w:pPr>
        <w:pStyle w:val="NormalHanging12a"/>
        <w:rPr>
          <w:b/>
          <w:i/>
          <w:szCs w:val="24"/>
        </w:rPr>
      </w:pPr>
      <w:r w:rsidRPr="00B27CBD">
        <w:rPr>
          <w:szCs w:val="24"/>
        </w:rPr>
        <w:t>26.</w:t>
      </w:r>
      <w:r w:rsidRPr="00B27CBD">
        <w:rPr>
          <w:szCs w:val="24"/>
        </w:rPr>
        <w:tab/>
        <w:t>oceňuje obecně příznivé prostředí pro organizace občanské společnosti a zároveň zdůrazňuje, že je třeba, aby byla občanská společnost více činná v prioritních oblastech a více zapojena do veřejných konzultací; bere na vědomí opětovnou aktivaci Rady pro spolupráci mezi vládou a občanskou společností; vyzývá k transparentnímu veřejnému financování organizací občanské společnosti a zlepšení právních předpisů a jejich sladění s mezinárodními normami, např. s doporučeními Benátské komise a s doporučením Evropské komise proti rasismu a nesnášenlivosti; zdůrazňuje, že je důležité zajistit inkluzivní konzultace s organizacemi občanské společnosti a transparentnost; vyzývá Komisi, aby podporovala organizace občanské společnosti, které důkladně monitorují a v případě potřeby kritizují provádění reforem souvisejících s EU;</w:t>
      </w:r>
    </w:p>
    <w:p w:rsidR="00CE2652" w:rsidRPr="00B27CBD" w:rsidP="00F219B4" w14:paraId="20F35092" w14:textId="77777777">
      <w:pPr>
        <w:pStyle w:val="NormalHanging12a"/>
        <w:rPr>
          <w:b/>
          <w:i/>
          <w:iCs/>
          <w:szCs w:val="24"/>
        </w:rPr>
      </w:pPr>
      <w:r w:rsidRPr="00B27CBD">
        <w:rPr>
          <w:b/>
          <w:i/>
          <w:szCs w:val="24"/>
        </w:rPr>
        <w:t>Základní práva</w:t>
      </w:r>
    </w:p>
    <w:p w:rsidR="00CE2652" w:rsidRPr="00B27CBD" w:rsidP="00F219B4" w14:paraId="3166BA9F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27.</w:t>
      </w:r>
      <w:r w:rsidRPr="00B27CBD">
        <w:rPr>
          <w:szCs w:val="24"/>
        </w:rPr>
        <w:tab/>
        <w:t>zdůrazňuje povinnost všech členských států Rady Evropy urychleně provést dosud neprovedené rozsudky Evropského soudu pro lidská práva; zdůrazňuje, že veškeré legislativní změny by měly být v souladu s mezinárodními normami a doporučeními Benátské komise a s doporučením Evropské komise proti rasismu a nesnášenlivosti, včetně zákona o sdruženích a nadacích a provádění soudních rozhodnutí týkajících se registrací sdružení;</w:t>
      </w:r>
    </w:p>
    <w:p w:rsidR="00CE2652" w:rsidRPr="00B27CBD" w:rsidP="00F219B4" w14:paraId="4D122779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28.</w:t>
      </w:r>
      <w:r w:rsidRPr="00B27CBD">
        <w:rPr>
          <w:szCs w:val="24"/>
        </w:rPr>
        <w:tab/>
        <w:t>konstatuje, že obecný právní rámec pro základní práva je z velké části v souladu s evropskými normami; vyzývá však vládu Severní Makedonie, aby posílila provádění v praxi, zejména zlepšením institucionálního rámce pro rovnost žen a mužů, zajištěním účinných mechanismů ochrany před genderově podmíněným a domácím násilím, poskytnutím přístupu ke zdravotnickým službám a přidělením odpovídajících zdrojů na služby podpory pro oběti; vyzývá ke konečnému přijetí zákona o rovnosti žen a mužů, zákona o pracovních vztazích a zákona o prevenci obtěžování na pracovišti a ochraně před ním v souladu s mezinárodními normami a </w:t>
      </w:r>
      <w:r w:rsidRPr="0093147A">
        <w:rPr>
          <w:i/>
          <w:iCs/>
          <w:szCs w:val="24"/>
        </w:rPr>
        <w:t>acquis</w:t>
      </w:r>
      <w:r w:rsidRPr="00B27CBD">
        <w:rPr>
          <w:szCs w:val="24"/>
        </w:rPr>
        <w:t xml:space="preserve"> EU s cílem zlepšit kvalitu života žen řešením klíčových genderových otázek, zejména pokud jde o přístup k politickému, hospodářskému a společenskému životu;</w:t>
      </w:r>
    </w:p>
    <w:p w:rsidR="00CE2652" w:rsidRPr="00B27CBD" w:rsidP="00F219B4" w14:paraId="4C813242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29.</w:t>
      </w:r>
      <w:bookmarkStart w:id="10" w:name="_Hlk228277705"/>
      <w:r w:rsidRPr="00B27CBD">
        <w:rPr>
          <w:szCs w:val="24"/>
        </w:rPr>
        <w:tab/>
        <w:t>vítá novelu trestního zákoníku z roku 2023, která sbližuje vnitrostátní právní předpisy s Istanbulskou úmluvou</w:t>
      </w:r>
      <w:bookmarkEnd w:id="10"/>
      <w:r w:rsidRPr="00B27CBD">
        <w:rPr>
          <w:szCs w:val="24"/>
        </w:rPr>
        <w:t xml:space="preserve">; bere na vědomí zejména posun směrem k definici znásilnění založené na absenci souhlasu a výslovné uznání genderově podmíněného násilí; dále vítá novelu z roku 2026, která zpřísňuje stíhání domácího a genderově podmíněného násilí a kriminalizuje šíření intimních snímků bez souhlasu; domnívá se, že tyto reformy </w:t>
      </w:r>
      <w:r w:rsidRPr="00B27CBD">
        <w:rPr>
          <w:szCs w:val="24"/>
        </w:rPr>
        <w:t>představují smysluplné sblížení s evropskými normami;</w:t>
      </w:r>
    </w:p>
    <w:p w:rsidR="00CE2652" w:rsidRPr="00B27CBD" w:rsidP="00F219B4" w14:paraId="1371FDFF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30.</w:t>
      </w:r>
      <w:r w:rsidRPr="00B27CBD">
        <w:rPr>
          <w:szCs w:val="24"/>
        </w:rPr>
        <w:tab/>
        <w:t>zdůrazňuje, že je třeba nadále usilovat o zlepšování situace menšinových komunit, a to i pokud jde o používání jazyků, bojovat proti diskriminaci a podporovat rozmanitost; vítá pokrok v akčním plánu na ochranu práv příslušníků menšin nebo komunit a vybízí Severní Makedonii k jeho dokončení inkluzivním způsobem, přičemž by měla stanovit jasná měřítka, měřitelné ukazatele a specializovaný monitorovací mechanismus s cílem zaručit účinnou ochranu před diskriminací a zlepšit základní práva všech občanů Severní Makedonie; naléhavě vyzývá příslušné politické zúčastněné strany, aby se zdržely polarizujících a vyhrocených výroků, které by mohly ovlivnit vztahy mezi komunitami a menšinami;</w:t>
      </w:r>
      <w:bookmarkStart w:id="11" w:name="_Hlk224741163"/>
    </w:p>
    <w:p w:rsidR="00CE2652" w:rsidRPr="00B27CBD" w:rsidP="00F219B4" w14:paraId="1729E852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31.</w:t>
      </w:r>
      <w:r w:rsidRPr="00B27CBD">
        <w:rPr>
          <w:szCs w:val="24"/>
        </w:rPr>
        <w:tab/>
        <w:t xml:space="preserve">zdůrazňuje, že etnická a kulturní rozmanitost Severní Makedonie představuje neocenitelný přínos a měla by se stát zdrojem síly pro další upevnění demokratické a inkluzivní správy věcí veřejných a urychlení cesty Severní Makedonie k přistoupení k EU; vybízí Severní Makedonii, aby do své ústavy zahrnula všechny své etnické komunity, podporovala </w:t>
      </w:r>
      <w:r w:rsidRPr="00B27CBD">
        <w:rPr>
          <w:szCs w:val="24"/>
        </w:rPr>
        <w:t>inkluzivitu</w:t>
      </w:r>
      <w:r w:rsidRPr="00B27CBD">
        <w:rPr>
          <w:szCs w:val="24"/>
        </w:rPr>
        <w:t>, chránila rozmanitost, bojovala proti diskriminaci a posilovala sociální soudržnost v souladu s evropskými hodnotami a demokratickými zásadami a plně zaručila rovná práva a příležitosti pro všechny;</w:t>
      </w:r>
    </w:p>
    <w:bookmarkEnd w:id="11"/>
    <w:p w:rsidR="00CE2652" w:rsidRPr="00B27CBD" w:rsidP="00F219B4" w14:paraId="3DC24C9C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32.</w:t>
      </w:r>
      <w:r w:rsidRPr="00B27CBD">
        <w:rPr>
          <w:szCs w:val="24"/>
        </w:rPr>
        <w:tab/>
        <w:t>vyzývá k intenzivnějšímu úsilí o řešení přetrvávajícího socioekonomického vyloučení Romů; naléhavě vyzývá orgány, aby zajistily účinné provádění strategie pro začleňování Romů s měřitelnými ukazateli, řádným institucionálním monitorováním a odpovídajícími rozpočtovými prostředky; vyjadřuje znepokojení nad pokračující segregací škol v některých obcích a vyzývá k proaktivním opatřením na odstranění segregace;</w:t>
      </w:r>
    </w:p>
    <w:p w:rsidR="00CE2652" w:rsidRPr="00B27CBD" w:rsidP="00F219B4" w14:paraId="6201C6B3" w14:textId="77777777">
      <w:pPr>
        <w:pStyle w:val="NormalHanging12a"/>
        <w:tabs>
          <w:tab w:val="left" w:pos="1977"/>
        </w:tabs>
        <w:rPr>
          <w:bCs/>
          <w:iCs/>
          <w:szCs w:val="24"/>
        </w:rPr>
      </w:pPr>
      <w:r w:rsidRPr="00B27CBD">
        <w:rPr>
          <w:szCs w:val="24"/>
        </w:rPr>
        <w:t>33.</w:t>
      </w:r>
      <w:r w:rsidRPr="00B27CBD">
        <w:rPr>
          <w:szCs w:val="24"/>
        </w:rPr>
        <w:tab/>
        <w:t>se znepokojením konstatuje, že nebylo dosaženo téměř žádného pokroku v usnadňování každodenního života osobám se zdravotním postižením; vybízí k většímu úsilí o dokončení právního a institucionálního rámce pro práva osob se zdravotním postižením a o zlepšení jeho provádění a prosazování; bere na vědomí přetrvávající strukturální problémy v činnosti Komise Severní Makedonie pro prevenci a ochranu před diskriminací v důsledku nedostatku zdrojů;</w:t>
      </w:r>
    </w:p>
    <w:p w:rsidR="00CE2652" w:rsidRPr="00B27CBD" w:rsidP="00F219B4" w14:paraId="7930AC8C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34.</w:t>
      </w:r>
      <w:r w:rsidRPr="00B27CBD">
        <w:rPr>
          <w:szCs w:val="24"/>
        </w:rPr>
        <w:tab/>
        <w:t>vyzývá ke zlepšení právní ochrany práv LGBTIQ+ osob a k řešení nenávistných projevů vůči této komunitě, včetně projevů na internetu; je hluboce znepokojen eskalací nenávisti vůči LGBTIQ+ osobám a organizacím občanské společnosti v Severní Makedonii;</w:t>
      </w:r>
    </w:p>
    <w:p w:rsidR="00CE2652" w:rsidRPr="00B27CBD" w:rsidP="00F219B4" w14:paraId="5B5869CC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35.</w:t>
      </w:r>
      <w:r w:rsidRPr="00B27CBD">
        <w:rPr>
          <w:szCs w:val="24"/>
        </w:rPr>
        <w:tab/>
        <w:t>naléhavě vyzývá všechny politické aktéry, aby změnili zákon o evidenci obyvatel, zajistili rychlé, dostupné a bezproblémové právní uznání genderu a zavedli transparentní právní postup v souladu s mezinárodními normami a příslušným rozsudkem Evropského soudu pro lidská práva z roku 2019;</w:t>
      </w:r>
    </w:p>
    <w:p w:rsidR="00CE2652" w:rsidRPr="00B27CBD" w:rsidP="00F219B4" w14:paraId="69DFA986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36.</w:t>
      </w:r>
      <w:r w:rsidRPr="00B27CBD">
        <w:rPr>
          <w:szCs w:val="24"/>
        </w:rPr>
        <w:tab/>
        <w:t>naléhavě vyzývá orgány, aby do zákona o základním vzdělávání vrátily klíčovou antidiskriminační terminologii, a vyzývá k opětovnému zavedení ustanovení o povinném oznamování násilí ve školách s cílem chránit zranitelné skupiny;</w:t>
      </w:r>
    </w:p>
    <w:p w:rsidR="00CE2652" w:rsidRPr="00B27CBD" w:rsidP="00F219B4" w14:paraId="44776188" w14:textId="7777777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37.</w:t>
      </w:r>
      <w:r w:rsidRPr="00B27CBD">
        <w:rPr>
          <w:szCs w:val="24"/>
        </w:rPr>
        <w:tab/>
        <w:t>se znepokojením bere na vědomí životní podmínky ve věznicích v Severní Makedonii, které je třeba naléhavě řešit;</w:t>
      </w:r>
    </w:p>
    <w:p w:rsidR="00CE2652" w:rsidP="00F219B4" w14:paraId="32E56ECE" w14:textId="77777777">
      <w:pPr>
        <w:pStyle w:val="NormalHanging12a"/>
        <w:rPr>
          <w:szCs w:val="24"/>
        </w:rPr>
      </w:pPr>
      <w:r w:rsidRPr="00B27CBD">
        <w:rPr>
          <w:szCs w:val="24"/>
        </w:rPr>
        <w:t>38.</w:t>
      </w:r>
      <w:r w:rsidRPr="00B27CBD">
        <w:rPr>
          <w:szCs w:val="24"/>
        </w:rPr>
        <w:tab/>
        <w:t>vítá posílenou spolupráci v oblasti správy hranic a vyzývá Severní Makedonii, aby zlepšila řízení migrace, bojovala proti kriminálním sítím převaděčů migrantů, obchodníkům s lidmi a dalším druhům organizovaného zločinu, zlepšila soulad s </w:t>
      </w:r>
      <w:r w:rsidRPr="0093147A">
        <w:rPr>
          <w:i/>
          <w:iCs/>
          <w:szCs w:val="24"/>
        </w:rPr>
        <w:t>acquis</w:t>
      </w:r>
      <w:r w:rsidRPr="00B27CBD">
        <w:rPr>
          <w:szCs w:val="24"/>
        </w:rPr>
        <w:t xml:space="preserve"> EU a zabývala se přetrvávajícími problémy při řešení legální a nelegální migrace a plně přitom respektovala lidská práva a mezinárodní právo; zdůrazňuje, že je třeba zabránit nezákonnému vytlačování migrantů na hranicích Severní Makedonie;</w:t>
      </w:r>
    </w:p>
    <w:p w:rsidR="008F29E3" w:rsidRPr="00B27CBD" w:rsidP="00F219B4" w14:paraId="49F72E88" w14:textId="232590CD">
      <w:pPr>
        <w:pStyle w:val="NormalHanging12a"/>
        <w:rPr>
          <w:bCs/>
          <w:iCs/>
          <w:szCs w:val="24"/>
        </w:rPr>
      </w:pPr>
      <w:r w:rsidRPr="00D81402">
        <w:rPr>
          <w:bCs/>
          <w:iCs/>
          <w:szCs w:val="24"/>
        </w:rPr>
        <w:t>3</w:t>
      </w:r>
      <w:r w:rsidRPr="0093147A">
        <w:rPr>
          <w:bCs/>
          <w:iCs/>
          <w:szCs w:val="24"/>
        </w:rPr>
        <w:t>9</w:t>
      </w:r>
      <w:r w:rsidRPr="00D81402">
        <w:rPr>
          <w:bCs/>
          <w:iCs/>
          <w:szCs w:val="24"/>
        </w:rPr>
        <w:t>.</w:t>
      </w:r>
      <w:r w:rsidRPr="00D81402">
        <w:rPr>
          <w:bCs/>
          <w:iCs/>
          <w:szCs w:val="24"/>
        </w:rPr>
        <w:tab/>
        <w:t>oceňuje vládu Severní Makedonie za její rychlou reakci na antisemitský žhářský útok na budovu židovské komunity ve Skopje dne 12. dubna 2026;</w:t>
      </w:r>
    </w:p>
    <w:p w:rsidR="00CE2652" w:rsidRPr="00B27CBD" w:rsidP="00F219B4" w14:paraId="26D8AADB" w14:textId="77777777">
      <w:pPr>
        <w:pStyle w:val="NormalHanging12a"/>
        <w:rPr>
          <w:b/>
          <w:i/>
          <w:iCs/>
          <w:szCs w:val="24"/>
        </w:rPr>
      </w:pPr>
      <w:r w:rsidRPr="00B27CBD">
        <w:rPr>
          <w:b/>
          <w:i/>
          <w:szCs w:val="24"/>
        </w:rPr>
        <w:t>Právní stát</w:t>
      </w:r>
    </w:p>
    <w:p w:rsidR="00CE2652" w:rsidRPr="00B27CBD" w:rsidP="00F219B4" w14:paraId="611F5B1D" w14:textId="0EAD1797">
      <w:pPr>
        <w:pStyle w:val="NormalHanging12a"/>
        <w:rPr>
          <w:bCs/>
          <w:iCs/>
          <w:szCs w:val="24"/>
        </w:rPr>
      </w:pPr>
      <w:r>
        <w:rPr>
          <w:szCs w:val="24"/>
        </w:rPr>
        <w:t>40</w:t>
      </w:r>
      <w:r w:rsidRPr="00B27CBD">
        <w:rPr>
          <w:szCs w:val="24"/>
        </w:rPr>
        <w:t>.</w:t>
      </w:r>
      <w:r w:rsidRPr="00B27CBD">
        <w:rPr>
          <w:szCs w:val="24"/>
        </w:rPr>
        <w:tab/>
        <w:t>vyjadřuje znepokojení nad tím, že pokud jde o soudní systém, nezávislost soudů a státních zastupitelství a o posílení právního státu a protikorupčních rámců, nebylo dosaženo dostatečného pokroku; vyzývá politické zúčastněné strany, aby se naléhavě zdržely politického vměšování do soudnictví; se znepokojením bere na vědomí hluboké strukturální nedostatky a negativní trendy ve fungování soudnictví, včetně nedostatečného financování a personálního obsazení soudních institucí, což narušuje jeho nezávislost; vyzývá proto Severní Makedonii, aby urychlila provádění strategie pro reformu soudnictví na období 2024–2028;</w:t>
      </w:r>
    </w:p>
    <w:p w:rsidR="00CE2652" w:rsidRPr="00B27CBD" w:rsidP="00F219B4" w14:paraId="0AF75349" w14:textId="216EC61D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4</w:t>
      </w:r>
      <w:r w:rsidR="008F29E3">
        <w:rPr>
          <w:szCs w:val="24"/>
        </w:rPr>
        <w:t>1</w:t>
      </w:r>
      <w:r w:rsidRPr="00B27CBD">
        <w:rPr>
          <w:szCs w:val="24"/>
        </w:rPr>
        <w:t>.</w:t>
      </w:r>
      <w:r w:rsidRPr="00B27CBD">
        <w:rPr>
          <w:szCs w:val="24"/>
        </w:rPr>
        <w:tab/>
        <w:t>zdůrazňuje, že je důležité chránit integritu a nezávislost soudnictví, mimo jiné posílením Soudní rady v souladu s doporučením a stanoviskem hodnotící mise Benátské komise z roku 2023;</w:t>
      </w:r>
    </w:p>
    <w:p w:rsidR="00CE2652" w:rsidRPr="00B27CBD" w:rsidP="00F219B4" w14:paraId="4D42D2A3" w14:textId="31B2FA3D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4</w:t>
      </w:r>
      <w:r w:rsidR="008F29E3">
        <w:rPr>
          <w:szCs w:val="24"/>
        </w:rPr>
        <w:t>2</w:t>
      </w:r>
      <w:r w:rsidRPr="00B27CBD">
        <w:rPr>
          <w:szCs w:val="24"/>
        </w:rPr>
        <w:t>.</w:t>
      </w:r>
      <w:r w:rsidRPr="00B27CBD">
        <w:rPr>
          <w:szCs w:val="24"/>
        </w:rPr>
        <w:tab/>
        <w:t>vyjadřuje znepokojení nad tím, že změny trestního zákoníku v Severní Makedonii, které zkrátily promlčecí lhůty a snížily tresty za korupci na vysoké úrovni a zneužití funkce, oslabily probíhající soudní řízení, včetně ostře sledovaných případů, což vyvolává dojem beztrestnosti prominentních politických aktérů a dále oslabuje důvěru veřejnosti v justici;</w:t>
      </w:r>
    </w:p>
    <w:p w:rsidR="00CE2652" w:rsidRPr="00B27CBD" w:rsidP="00F219B4" w14:paraId="17979D1F" w14:textId="3A36B660">
      <w:pPr>
        <w:pStyle w:val="NormalHanging12a"/>
        <w:rPr>
          <w:szCs w:val="24"/>
        </w:rPr>
      </w:pPr>
      <w:r w:rsidRPr="00B27CBD">
        <w:rPr>
          <w:szCs w:val="24"/>
        </w:rPr>
        <w:t>4</w:t>
      </w:r>
      <w:r w:rsidR="008F29E3">
        <w:rPr>
          <w:szCs w:val="24"/>
        </w:rPr>
        <w:t>3</w:t>
      </w:r>
      <w:r w:rsidRPr="00B27CBD">
        <w:rPr>
          <w:szCs w:val="24"/>
        </w:rPr>
        <w:t>.</w:t>
      </w:r>
      <w:r w:rsidRPr="00B27CBD">
        <w:rPr>
          <w:szCs w:val="24"/>
        </w:rPr>
        <w:tab/>
        <w:t>vyzývá příslušné orgány, aby zajistily odpovídající vyšetřování možných trestných činů z nenávisti, a to včetně těch, které se týkají etnických skupin a komunit;</w:t>
      </w:r>
    </w:p>
    <w:p w:rsidR="00CE2652" w:rsidRPr="00B27CBD" w:rsidP="00F219B4" w14:paraId="2E7362F0" w14:textId="5FFF4DE6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4</w:t>
      </w:r>
      <w:r w:rsidR="008F29E3">
        <w:rPr>
          <w:szCs w:val="24"/>
        </w:rPr>
        <w:t>4</w:t>
      </w:r>
      <w:r w:rsidRPr="00B27CBD">
        <w:rPr>
          <w:szCs w:val="24"/>
        </w:rPr>
        <w:t>.</w:t>
      </w:r>
      <w:r w:rsidRPr="00B27CBD">
        <w:rPr>
          <w:szCs w:val="24"/>
        </w:rPr>
        <w:tab/>
        <w:t>se znepokojením konstatuje, že nebylo dosaženo žádného pokroku v předcházení korupci a boji proti ní a že korupce je v mnoha oblastech stále velmi rozšířená; zdůrazňuje, že stále existuje značný a nevysvětlitelný rozdíl mezi formálně oznámeným vyšetřováním korupce a soudními rozhodnutími o vině v případech korupce na vysoké úrovni; vyzývá vládu Severní Makedonie, aby zlepšila provádění národní strategie pro předcházení korupci a střetu zájmů a přijala nový trestní zákoník v souladu s </w:t>
      </w:r>
      <w:r w:rsidRPr="0093147A">
        <w:rPr>
          <w:i/>
          <w:iCs/>
          <w:szCs w:val="24"/>
        </w:rPr>
        <w:t>acquis</w:t>
      </w:r>
      <w:r w:rsidRPr="00B27CBD">
        <w:rPr>
          <w:szCs w:val="24"/>
        </w:rPr>
        <w:t xml:space="preserve"> EU a mezinárodními normami; dále vyzývá k posílení ochrany oznamovatelů, neboť je i nadále slabá, což jednotlivce odrazuje od oznamování případů korupce; vítá však aktivní účast Severní Makedonie na mezinárodní smlouvě o výměně údajů pro ověřování majetkových přiznání, která tuto zemi staví do pozice regionálního referenčního bodu v tomto mechanismu;</w:t>
      </w:r>
    </w:p>
    <w:p w:rsidR="00CE2652" w:rsidRPr="00B27CBD" w:rsidP="00F219B4" w14:paraId="1BA75F44" w14:textId="605C6644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4</w:t>
      </w:r>
      <w:r w:rsidR="008F29E3">
        <w:rPr>
          <w:szCs w:val="24"/>
        </w:rPr>
        <w:t>5</w:t>
      </w:r>
      <w:r w:rsidRPr="00B27CBD">
        <w:rPr>
          <w:szCs w:val="24"/>
        </w:rPr>
        <w:t>.</w:t>
      </w:r>
      <w:r w:rsidRPr="00B27CBD">
        <w:rPr>
          <w:szCs w:val="24"/>
        </w:rPr>
        <w:tab/>
        <w:t>naléhavě vyzývá k včasnému přijetí komplexní protikorupční strategie na období 2026–2030 s jasnými povinnostmi a měřitelnými cíli a požaduje provedení dosud nesplněných doporučení Skupiny států proti korupci (GRECO);</w:t>
      </w:r>
    </w:p>
    <w:p w:rsidR="00CE2652" w:rsidRPr="00B27CBD" w:rsidP="00F219B4" w14:paraId="7EFE7184" w14:textId="53CC2641">
      <w:pPr>
        <w:pStyle w:val="NormalHanging12a"/>
        <w:rPr>
          <w:szCs w:val="24"/>
        </w:rPr>
      </w:pPr>
      <w:r w:rsidRPr="00B27CBD">
        <w:rPr>
          <w:szCs w:val="24"/>
        </w:rPr>
        <w:t>4</w:t>
      </w:r>
      <w:r w:rsidR="008F29E3">
        <w:rPr>
          <w:szCs w:val="24"/>
        </w:rPr>
        <w:t>6</w:t>
      </w:r>
      <w:r w:rsidRPr="00B27CBD">
        <w:rPr>
          <w:szCs w:val="24"/>
        </w:rPr>
        <w:t>.</w:t>
      </w:r>
      <w:r w:rsidRPr="00B27CBD">
        <w:rPr>
          <w:szCs w:val="24"/>
        </w:rPr>
        <w:tab/>
        <w:t xml:space="preserve">se znepokojením konstatuje, že průtahy v soudních řízeních a omezené zdroje i nadále </w:t>
      </w:r>
      <w:r w:rsidRPr="00B27CBD">
        <w:rPr>
          <w:szCs w:val="24"/>
        </w:rPr>
        <w:t>brání dosahování přesvědčivých výsledků v případech korupce na vysoké úrovni; vyzývá zejména k vyšetření případů korupce na vysoké úrovni a k pravomocnému odsouzení osob, které byly do těchto případů zapojeny, což poskytne signál, že korupce je řešena na všech úrovních a beztrestnost nebude tolerována;</w:t>
      </w:r>
    </w:p>
    <w:p w:rsidR="00CE2652" w:rsidRPr="00B27CBD" w:rsidP="00F219B4" w14:paraId="0255CF8A" w14:textId="59E46680">
      <w:pPr>
        <w:pStyle w:val="NormalHanging12a"/>
        <w:rPr>
          <w:bCs/>
          <w:szCs w:val="24"/>
        </w:rPr>
      </w:pPr>
      <w:r w:rsidRPr="00B27CBD">
        <w:rPr>
          <w:szCs w:val="24"/>
        </w:rPr>
        <w:t>4</w:t>
      </w:r>
      <w:r w:rsidR="008F29E3">
        <w:rPr>
          <w:szCs w:val="24"/>
        </w:rPr>
        <w:t>7</w:t>
      </w:r>
      <w:r w:rsidRPr="00B27CBD">
        <w:rPr>
          <w:szCs w:val="24"/>
        </w:rPr>
        <w:t>.</w:t>
      </w:r>
      <w:r w:rsidRPr="00B27CBD">
        <w:rPr>
          <w:szCs w:val="24"/>
        </w:rPr>
        <w:tab/>
        <w:t>konstatuje, že vnímaná úroveň důvěry v soudnictví je stále velmi nízká a že je třeba více usilovat o to, aby se zabránilo nepřípustnému ovlivňování a zastrašování;</w:t>
      </w:r>
    </w:p>
    <w:p w:rsidR="00CE2652" w:rsidRPr="00B27CBD" w:rsidP="00F219B4" w14:paraId="31079AE7" w14:textId="2A3D2301">
      <w:pPr>
        <w:pStyle w:val="NormalHanging12a"/>
        <w:rPr>
          <w:bCs/>
          <w:szCs w:val="24"/>
        </w:rPr>
      </w:pPr>
      <w:r w:rsidRPr="00B27CBD">
        <w:rPr>
          <w:szCs w:val="24"/>
        </w:rPr>
        <w:t>4</w:t>
      </w:r>
      <w:r w:rsidR="008F29E3">
        <w:rPr>
          <w:szCs w:val="24"/>
        </w:rPr>
        <w:t>8</w:t>
      </w:r>
      <w:r w:rsidRPr="00B27CBD">
        <w:rPr>
          <w:szCs w:val="24"/>
        </w:rPr>
        <w:t>.</w:t>
      </w:r>
      <w:r w:rsidRPr="00B27CBD">
        <w:rPr>
          <w:szCs w:val="24"/>
        </w:rPr>
        <w:tab/>
        <w:t>vyzývá Severní Makedonii, aby zvýšila své úsilí v boji proti praní peněz;</w:t>
      </w:r>
    </w:p>
    <w:p w:rsidR="00CE2652" w:rsidRPr="00B27CBD" w:rsidP="00F219B4" w14:paraId="0BCE6B7C" w14:textId="0674A36D">
      <w:pPr>
        <w:pStyle w:val="NormalHanging12a"/>
        <w:rPr>
          <w:bCs/>
          <w:szCs w:val="24"/>
        </w:rPr>
      </w:pPr>
      <w:r w:rsidRPr="00B27CBD">
        <w:rPr>
          <w:szCs w:val="24"/>
        </w:rPr>
        <w:t>4</w:t>
      </w:r>
      <w:r w:rsidR="008F29E3">
        <w:rPr>
          <w:szCs w:val="24"/>
        </w:rPr>
        <w:t>9</w:t>
      </w:r>
      <w:r w:rsidRPr="00B27CBD">
        <w:rPr>
          <w:szCs w:val="24"/>
        </w:rPr>
        <w:t>.</w:t>
      </w:r>
      <w:r w:rsidRPr="00B27CBD">
        <w:rPr>
          <w:szCs w:val="24"/>
        </w:rPr>
        <w:tab/>
        <w:t>vyzývá ke koordinovanějšímu úsilí v účinném boji proti organizované trestné činnosti; vyzývá vládu Severní Makedonie, aby sladila vnitrostátní právní předpisy týkající se zbraní a omamných a psychotropních látek s </w:t>
      </w:r>
      <w:r w:rsidRPr="0093147A">
        <w:rPr>
          <w:i/>
          <w:iCs/>
          <w:szCs w:val="24"/>
        </w:rPr>
        <w:t>acquis</w:t>
      </w:r>
      <w:r w:rsidRPr="00B27CBD">
        <w:rPr>
          <w:szCs w:val="24"/>
        </w:rPr>
        <w:t xml:space="preserve"> EU;</w:t>
      </w:r>
    </w:p>
    <w:p w:rsidR="00CE2652" w:rsidRPr="00B27CBD" w:rsidP="00F219B4" w14:paraId="08FE3D2E" w14:textId="43AE39B4">
      <w:pPr>
        <w:pStyle w:val="NormalHanging12a"/>
        <w:rPr>
          <w:bCs/>
          <w:szCs w:val="24"/>
        </w:rPr>
      </w:pPr>
      <w:r>
        <w:rPr>
          <w:szCs w:val="24"/>
        </w:rPr>
        <w:t>50</w:t>
      </w:r>
      <w:r w:rsidRPr="00B27CBD">
        <w:rPr>
          <w:szCs w:val="24"/>
        </w:rPr>
        <w:t>.</w:t>
      </w:r>
      <w:r w:rsidRPr="00B27CBD">
        <w:rPr>
          <w:szCs w:val="24"/>
        </w:rPr>
        <w:tab/>
        <w:t>vybízí vnitrostátní orgány, aby vytvořily komplexní rámec podpory pro ženy, které se staly obětí genderově podmíněného násilí, včetně poskytování zákonem zaručené finanční pomoci, zajištění bezplatné právní pomoci a osvobození od soudních poplatků, vytvoření státního fondu na pokrytí neplaceného výživného na děti a zvýšení investic do posílení ekonomického postavení žen prostřednictvím cílených školení, sociálních podniků a místních iniciativ v oblasti zaměstnanosti;</w:t>
      </w:r>
    </w:p>
    <w:p w:rsidR="00CE2652" w:rsidRPr="00B27CBD" w:rsidP="00F219B4" w14:paraId="1C7DCBFB" w14:textId="77777777">
      <w:pPr>
        <w:pStyle w:val="NormalHanging12a"/>
        <w:rPr>
          <w:b/>
          <w:i/>
          <w:iCs/>
          <w:szCs w:val="24"/>
        </w:rPr>
      </w:pPr>
      <w:r w:rsidRPr="00B27CBD">
        <w:rPr>
          <w:b/>
          <w:i/>
          <w:szCs w:val="24"/>
        </w:rPr>
        <w:t>Socioekonomické reformy</w:t>
      </w:r>
    </w:p>
    <w:p w:rsidR="00CE2652" w:rsidRPr="00B27CBD" w:rsidP="00F219B4" w14:paraId="21070D7D" w14:textId="0DE89592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5</w:t>
      </w:r>
      <w:r w:rsidR="008F29E3">
        <w:rPr>
          <w:szCs w:val="24"/>
        </w:rPr>
        <w:t>1</w:t>
      </w:r>
      <w:r w:rsidRPr="00B27CBD">
        <w:rPr>
          <w:szCs w:val="24"/>
        </w:rPr>
        <w:t>.</w:t>
      </w:r>
      <w:r w:rsidRPr="00B27CBD">
        <w:rPr>
          <w:szCs w:val="24"/>
        </w:rPr>
        <w:tab/>
        <w:t>podporuje soustavné úsilí o modernizaci hospodářství, řešení nesouladu mezi nabízenými a požadovanými dovednostmi, posilování digitální ekonomiky a zlepšování podnikatelského prostředí v reakci na konkurenční tlaky vnitřního trhu EU; zdůrazňuje, že udržitelný hospodářský růst závisí na právním státu, předvídatelnosti soudnictví a účinných opatřeních proti korupci; vyzývá k provedení základního zákona o rozpočtu z roku 2023, který zavádí fiskální pravidla a fiskální radu a posiluje střednědobý rozpočtový proces;</w:t>
      </w:r>
    </w:p>
    <w:p w:rsidR="00CE2652" w:rsidRPr="00B27CBD" w:rsidP="00F219B4" w14:paraId="269D3BD2" w14:textId="2EBEBA16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5</w:t>
      </w:r>
      <w:r w:rsidR="008F29E3">
        <w:rPr>
          <w:szCs w:val="24"/>
        </w:rPr>
        <w:t>2</w:t>
      </w:r>
      <w:r w:rsidRPr="00B27CBD">
        <w:rPr>
          <w:szCs w:val="24"/>
        </w:rPr>
        <w:t>.</w:t>
      </w:r>
      <w:r w:rsidRPr="00B27CBD">
        <w:rPr>
          <w:szCs w:val="24"/>
        </w:rPr>
        <w:tab/>
        <w:t>zdůrazňuje, že je třeba řešit společenské výzvy, zajistit kvalitní politiky zaměstnanosti, podporovat sociální soudržnost přibližující se normám EU a dosáhnout pokroku, pokud jde o zásady evropského pilíře sociálních práv;</w:t>
      </w:r>
    </w:p>
    <w:p w:rsidR="00CE2652" w:rsidRPr="00B27CBD" w:rsidP="00F219B4" w14:paraId="790C9EBC" w14:textId="65F5B2BC">
      <w:pPr>
        <w:pStyle w:val="NormalHanging12a"/>
        <w:rPr>
          <w:szCs w:val="24"/>
        </w:rPr>
      </w:pPr>
      <w:r w:rsidRPr="00B27CBD">
        <w:rPr>
          <w:szCs w:val="24"/>
        </w:rPr>
        <w:t>5</w:t>
      </w:r>
      <w:r w:rsidR="008F29E3">
        <w:rPr>
          <w:szCs w:val="24"/>
        </w:rPr>
        <w:t>3</w:t>
      </w:r>
      <w:r w:rsidRPr="00B27CBD">
        <w:rPr>
          <w:szCs w:val="24"/>
        </w:rPr>
        <w:t>.</w:t>
      </w:r>
      <w:r w:rsidRPr="00B27CBD">
        <w:rPr>
          <w:szCs w:val="24"/>
        </w:rPr>
        <w:tab/>
        <w:t>oceňuje, že byly učiněny první kroky při provádění programu reforem a víceletého pracovního programu v rámci Nástroje pro reformy a růst pro země západního Balkánu, který je na nejlepší cestě poskytnout občanům konkrétní přínos; vybízí Severní Makedonii, aby pokračovala v uplatňování programu reforem; zdůrazňuje, že je třeba výrazně urychlit a splnit program reforem, zejména pokud jde o tematický okruh týkající se základních zásad; zdůrazňuje, že vyplácení finančních prostředků musí zůstat přísně podmíněno plněním dohodnutých reformních cílů a klíčových milníků; vítá přijetí komplexního rámce kybernetické bezpečnosti, aktualizovaného zákona o elektronických dokumentech, elektronické identifikaci a službách vytvářejících důvěru; vítá objektivní a na faktech založený způsob, jakým Komise posuzuje provádění reformních kroků;</w:t>
      </w:r>
      <w:r w:rsidR="008F29E3">
        <w:rPr>
          <w:szCs w:val="24"/>
        </w:rPr>
        <w:t xml:space="preserve"> </w:t>
      </w:r>
      <w:r w:rsidRPr="008F29E3" w:rsidR="008F29E3">
        <w:rPr>
          <w:szCs w:val="24"/>
        </w:rPr>
        <w:t>s velkým potěšením bere na vědomí, že Severní Makedonii bylo z Nástroje pro reformy a růst nedávno vyplaceno 65,7 milionu EUR v</w:t>
      </w:r>
      <w:r w:rsidRPr="00B27CBD" w:rsidR="008F29E3">
        <w:rPr>
          <w:szCs w:val="24"/>
        </w:rPr>
        <w:t> </w:t>
      </w:r>
      <w:r w:rsidRPr="008F29E3" w:rsidR="008F29E3">
        <w:rPr>
          <w:szCs w:val="24"/>
        </w:rPr>
        <w:t>návaznosti na kladné hodnocení provádění reforem, zejména v oblasti digitalizace a vzdělávání;</w:t>
      </w:r>
    </w:p>
    <w:p w:rsidR="00CE2652" w:rsidRPr="00B27CBD" w:rsidP="00F219B4" w14:paraId="74327C05" w14:textId="52B1038C">
      <w:pPr>
        <w:pStyle w:val="NormalHanging12a"/>
        <w:rPr>
          <w:szCs w:val="24"/>
        </w:rPr>
      </w:pPr>
      <w:r w:rsidRPr="00B27CBD">
        <w:rPr>
          <w:szCs w:val="24"/>
        </w:rPr>
        <w:t>5</w:t>
      </w:r>
      <w:r w:rsidR="008F29E3">
        <w:rPr>
          <w:szCs w:val="24"/>
        </w:rPr>
        <w:t>4</w:t>
      </w:r>
      <w:r w:rsidRPr="00B27CBD">
        <w:rPr>
          <w:szCs w:val="24"/>
        </w:rPr>
        <w:t>.</w:t>
      </w:r>
      <w:r w:rsidRPr="00B27CBD">
        <w:rPr>
          <w:szCs w:val="24"/>
        </w:rPr>
        <w:tab/>
        <w:t xml:space="preserve">vyzývá EU a Severní Makedonii k posílení dohledu a smysluplnému zapojení </w:t>
      </w:r>
      <w:r w:rsidRPr="00B27CBD">
        <w:rPr>
          <w:szCs w:val="24"/>
        </w:rPr>
        <w:t>organizací občanské společnosti, podnikatelských sdružení a sociálních partnerů do všech fází Nástroje pro reformy a růst pro západní Balkán, včetně navrhování reformních opatření, provádění projektů a monitorování výsledků; uznává, že je třeba zlepšit podnikatelské prostředí a fungování tržního hospodářství; vyzývá, aby byl kladen větší důraz na opatření k nápravě narušení trhu a na opatření sociální ochrany; vyzývá k tomu, aby byla věnována větší pozornost negativním demografickým trendům a boji proti neformální ekonomice a jejím negativním společenským a fiskálním dopadům;</w:t>
      </w:r>
    </w:p>
    <w:p w:rsidR="00CE2652" w:rsidRPr="00B27CBD" w:rsidP="00F219B4" w14:paraId="4FCCB10B" w14:textId="6BE1ECF8">
      <w:pPr>
        <w:pStyle w:val="NormalHanging12a"/>
        <w:rPr>
          <w:szCs w:val="24"/>
        </w:rPr>
      </w:pPr>
      <w:r w:rsidRPr="00B27CBD">
        <w:rPr>
          <w:szCs w:val="24"/>
        </w:rPr>
        <w:t>5</w:t>
      </w:r>
      <w:r w:rsidR="008F29E3">
        <w:rPr>
          <w:szCs w:val="24"/>
        </w:rPr>
        <w:t>5</w:t>
      </w:r>
      <w:r w:rsidRPr="00B27CBD">
        <w:rPr>
          <w:szCs w:val="24"/>
        </w:rPr>
        <w:t>.</w:t>
      </w:r>
      <w:r w:rsidRPr="00B27CBD">
        <w:rPr>
          <w:szCs w:val="24"/>
        </w:rPr>
        <w:tab/>
        <w:t>vyzývá orgány, aby chránily nezávislost a legitimní úlohu reprezentativních odborů a aby zajistily dodržování základních pracovních práv, včetně kolektivního vyjednávání; dále vyzývá orgány, aby zajistily konstruktivní a smysluplný dialog s odbory s cílem řešit naléhavé otázky, jako jsou mzdy, pracovní podmínky a sociální ochrana;</w:t>
      </w:r>
    </w:p>
    <w:p w:rsidR="00CE2652" w:rsidRPr="00B27CBD" w:rsidP="00F219B4" w14:paraId="7AB0DC1E" w14:textId="554CE180">
      <w:pPr>
        <w:pStyle w:val="NormalHanging12a"/>
        <w:rPr>
          <w:szCs w:val="24"/>
        </w:rPr>
      </w:pPr>
      <w:r w:rsidRPr="00B27CBD">
        <w:rPr>
          <w:szCs w:val="24"/>
        </w:rPr>
        <w:t>5</w:t>
      </w:r>
      <w:r w:rsidR="008F29E3">
        <w:rPr>
          <w:szCs w:val="24"/>
        </w:rPr>
        <w:t>6</w:t>
      </w:r>
      <w:r w:rsidRPr="00B27CBD">
        <w:rPr>
          <w:szCs w:val="24"/>
        </w:rPr>
        <w:t>.</w:t>
      </w:r>
      <w:r w:rsidRPr="00B27CBD">
        <w:rPr>
          <w:szCs w:val="24"/>
        </w:rPr>
        <w:tab/>
        <w:t>uznává strategický význam kulturního a kreativního odvětví a potřebu stabilního rámce pro autorské právo, který bude v souladu s tímto rámcem v EU; vyzývá Severní Makedonii, aby zajistila spravedlivé odměňování autorů a výkonných umělců, sladila kolektivní správu práv s </w:t>
      </w:r>
      <w:r w:rsidRPr="0093147A">
        <w:rPr>
          <w:i/>
          <w:iCs/>
          <w:szCs w:val="24"/>
        </w:rPr>
        <w:t>acquis</w:t>
      </w:r>
      <w:r w:rsidRPr="00B27CBD">
        <w:rPr>
          <w:szCs w:val="24"/>
        </w:rPr>
        <w:t xml:space="preserve"> EU a posílila prosazování práva proti pirátství; zdůrazňuje, že slabá ochrana držitelů práv oslabuje udržitelnost sdělovacích prostředků a rozvoj vysoce kvalitního audiovizuálního obsahu;</w:t>
      </w:r>
    </w:p>
    <w:p w:rsidR="00CE2652" w:rsidRPr="00B27CBD" w:rsidP="00F219B4" w14:paraId="6DF96507" w14:textId="0173CBA3">
      <w:pPr>
        <w:pStyle w:val="NormalHanging12a"/>
        <w:rPr>
          <w:szCs w:val="24"/>
        </w:rPr>
      </w:pPr>
      <w:r w:rsidRPr="00B27CBD">
        <w:rPr>
          <w:szCs w:val="24"/>
        </w:rPr>
        <w:t>5</w:t>
      </w:r>
      <w:r w:rsidR="008F29E3">
        <w:rPr>
          <w:szCs w:val="24"/>
        </w:rPr>
        <w:t>7</w:t>
      </w:r>
      <w:r w:rsidRPr="00B27CBD">
        <w:rPr>
          <w:szCs w:val="24"/>
        </w:rPr>
        <w:t>.</w:t>
      </w:r>
      <w:r w:rsidRPr="00B27CBD">
        <w:rPr>
          <w:szCs w:val="24"/>
        </w:rPr>
        <w:tab/>
        <w:t>vyzývá k pokračování v provádění strategií aktivace trhu práce pro mladé lidi, dlouhodobě nezaměstnané, osoby s nízkou kvalifikací a znevýhodněné skupiny, jako jsou ženy, osoby se zdravotním postižením, Romové a balkánští Egypťané;</w:t>
      </w:r>
    </w:p>
    <w:p w:rsidR="00CE2652" w:rsidRPr="00B27CBD" w:rsidP="00F219B4" w14:paraId="13A5C0BF" w14:textId="5257E16A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5</w:t>
      </w:r>
      <w:r w:rsidR="008F29E3">
        <w:rPr>
          <w:szCs w:val="24"/>
        </w:rPr>
        <w:t>8</w:t>
      </w:r>
      <w:r w:rsidRPr="00B27CBD">
        <w:rPr>
          <w:szCs w:val="24"/>
        </w:rPr>
        <w:t>.</w:t>
      </w:r>
      <w:r w:rsidRPr="00B27CBD">
        <w:rPr>
          <w:szCs w:val="24"/>
        </w:rPr>
        <w:tab/>
        <w:t>vybízí k posílení politiky v oblasti mládeže změnou zákona o účasti mládeže a politik v oblasti mládeže, zavedením účinného monitorování a zvláštního rozpočtového zákona a zlepšením místních mládežnických struktur;</w:t>
      </w:r>
    </w:p>
    <w:p w:rsidR="00CE2652" w:rsidRPr="00B27CBD" w:rsidP="00F219B4" w14:paraId="58E014F6" w14:textId="106F7801">
      <w:pPr>
        <w:pStyle w:val="NormalHanging12a"/>
        <w:rPr>
          <w:szCs w:val="24"/>
        </w:rPr>
      </w:pPr>
      <w:r w:rsidRPr="00B27CBD">
        <w:rPr>
          <w:szCs w:val="24"/>
        </w:rPr>
        <w:t>5</w:t>
      </w:r>
      <w:r w:rsidR="008F29E3">
        <w:rPr>
          <w:szCs w:val="24"/>
        </w:rPr>
        <w:t>9</w:t>
      </w:r>
      <w:r w:rsidRPr="00B27CBD">
        <w:rPr>
          <w:szCs w:val="24"/>
        </w:rPr>
        <w:t>.</w:t>
      </w:r>
      <w:r w:rsidRPr="00B27CBD">
        <w:rPr>
          <w:szCs w:val="24"/>
        </w:rPr>
        <w:tab/>
        <w:t>vítá začlenění Severní Makedonie do zeměpisné působnosti jednotné oblasti pro platby v eurech (SEPA);</w:t>
      </w:r>
    </w:p>
    <w:p w:rsidR="00CE2652" w:rsidRPr="00B27CBD" w:rsidP="00F219B4" w14:paraId="2790F656" w14:textId="1C3AC7F6">
      <w:pPr>
        <w:pStyle w:val="NormalHanging12a"/>
        <w:rPr>
          <w:bCs/>
          <w:szCs w:val="24"/>
        </w:rPr>
      </w:pPr>
      <w:r>
        <w:rPr>
          <w:szCs w:val="24"/>
        </w:rPr>
        <w:t>60</w:t>
      </w:r>
      <w:r w:rsidRPr="00B27CBD">
        <w:rPr>
          <w:szCs w:val="24"/>
        </w:rPr>
        <w:t>.</w:t>
      </w:r>
      <w:r w:rsidRPr="00B27CBD">
        <w:rPr>
          <w:szCs w:val="24"/>
        </w:rPr>
        <w:tab/>
        <w:t xml:space="preserve">vřele vítá návrh Komise </w:t>
      </w:r>
      <w:r>
        <w:rPr>
          <w:szCs w:val="24"/>
        </w:rPr>
        <w:t xml:space="preserve">a zmocnění Rady </w:t>
      </w:r>
      <w:r w:rsidRPr="00B27CBD">
        <w:rPr>
          <w:szCs w:val="24"/>
        </w:rPr>
        <w:t>zahájit jednání o rozšíření unijního režimu roamingu za domácích podmínek na Albánii, Bosnu a Hercegovinu, Kosovo, Černou Horu, Severní Makedonii a Srbsko</w:t>
      </w:r>
      <w:r>
        <w:rPr>
          <w:szCs w:val="24"/>
        </w:rPr>
        <w:t xml:space="preserve"> a</w:t>
      </w:r>
      <w:r w:rsidRPr="00B27CBD">
        <w:rPr>
          <w:szCs w:val="24"/>
        </w:rPr>
        <w:t xml:space="preserve"> vyzývá </w:t>
      </w:r>
      <w:r>
        <w:rPr>
          <w:szCs w:val="24"/>
        </w:rPr>
        <w:t>Komisi a</w:t>
      </w:r>
      <w:r w:rsidRPr="00B27CBD">
        <w:rPr>
          <w:szCs w:val="24"/>
        </w:rPr>
        <w:t> partnery ze západního Balkánu</w:t>
      </w:r>
      <w:r>
        <w:rPr>
          <w:szCs w:val="24"/>
        </w:rPr>
        <w:t xml:space="preserve">, aby urychleně podnikli nezbytné kroky ke vzájemnému otevření roamingových trhů EU a </w:t>
      </w:r>
      <w:r>
        <w:rPr>
          <w:szCs w:val="24"/>
        </w:rPr>
        <w:t>západobalkánských</w:t>
      </w:r>
      <w:r>
        <w:rPr>
          <w:szCs w:val="24"/>
        </w:rPr>
        <w:t xml:space="preserve"> partnerů</w:t>
      </w:r>
      <w:r w:rsidRPr="00B27CBD">
        <w:rPr>
          <w:szCs w:val="24"/>
        </w:rPr>
        <w:t>; zdůrazňuje, že rozšíření oblasti roamingu za domácích podmínek na západní Balkán by přineslo hmatatelné výhody občanům i podnikům, podpořilo mezilidské kontakty, posílilo hospodářské vazby a podpořilo vzdělávací výměny a cestovní ruch;</w:t>
      </w:r>
    </w:p>
    <w:p w:rsidR="00CE2652" w:rsidRPr="00B27CBD" w:rsidP="00F219B4" w14:paraId="7F471A54" w14:textId="1615F9BE">
      <w:pPr>
        <w:pStyle w:val="NormalHanging12a"/>
        <w:rPr>
          <w:bCs/>
          <w:szCs w:val="24"/>
        </w:rPr>
      </w:pPr>
      <w:r w:rsidRPr="00B27CBD">
        <w:rPr>
          <w:szCs w:val="24"/>
        </w:rPr>
        <w:t>6</w:t>
      </w:r>
      <w:r w:rsidR="008F29E3">
        <w:rPr>
          <w:szCs w:val="24"/>
        </w:rPr>
        <w:t>1</w:t>
      </w:r>
      <w:r w:rsidRPr="00B27CBD">
        <w:rPr>
          <w:szCs w:val="24"/>
        </w:rPr>
        <w:t>.</w:t>
      </w:r>
      <w:r w:rsidRPr="00B27CBD">
        <w:rPr>
          <w:szCs w:val="24"/>
        </w:rPr>
        <w:tab/>
        <w:t>vyzývá Severní Makedonii, aby dosáhla souladu s </w:t>
      </w:r>
      <w:r w:rsidRPr="0093147A">
        <w:rPr>
          <w:i/>
          <w:iCs/>
          <w:szCs w:val="24"/>
        </w:rPr>
        <w:t>acquis</w:t>
      </w:r>
      <w:r w:rsidRPr="00B27CBD">
        <w:rPr>
          <w:szCs w:val="24"/>
        </w:rPr>
        <w:t xml:space="preserve"> EU v oblasti prověřování přímých zahraničních investic;</w:t>
      </w:r>
    </w:p>
    <w:p w:rsidR="00CE2652" w:rsidRPr="00B27CBD" w:rsidP="00F219B4" w14:paraId="65CA0798" w14:textId="77777777">
      <w:pPr>
        <w:pStyle w:val="NormalHanging12a"/>
        <w:rPr>
          <w:b/>
          <w:szCs w:val="24"/>
        </w:rPr>
      </w:pPr>
      <w:r w:rsidRPr="00B27CBD">
        <w:rPr>
          <w:b/>
          <w:i/>
          <w:szCs w:val="24"/>
        </w:rPr>
        <w:t>Životní prostředí, biologická rozmanitost, energetika a doprava</w:t>
      </w:r>
    </w:p>
    <w:p w:rsidR="00CE2652" w:rsidRPr="00B27CBD" w:rsidP="00F219B4" w14:paraId="12922E75" w14:textId="641AAB8A">
      <w:pPr>
        <w:pStyle w:val="NormalHanging12a"/>
        <w:rPr>
          <w:szCs w:val="24"/>
        </w:rPr>
      </w:pPr>
      <w:bookmarkStart w:id="12" w:name="_f5cyx5lfgtpa"/>
      <w:bookmarkEnd w:id="12"/>
      <w:r w:rsidRPr="00B27CBD">
        <w:rPr>
          <w:szCs w:val="24"/>
        </w:rPr>
        <w:t>6</w:t>
      </w:r>
      <w:r w:rsidR="008F29E3">
        <w:rPr>
          <w:szCs w:val="24"/>
        </w:rPr>
        <w:t>2</w:t>
      </w:r>
      <w:r w:rsidRPr="00B27CBD">
        <w:rPr>
          <w:szCs w:val="24"/>
        </w:rPr>
        <w:t>.</w:t>
      </w:r>
      <w:r w:rsidRPr="00B27CBD">
        <w:rPr>
          <w:szCs w:val="24"/>
        </w:rPr>
        <w:tab/>
        <w:t xml:space="preserve">vyzývá ke zvýšení investic do dopravní a energetické infrastruktury a do dalšího úsilí o sbližování právních předpisů v oblasti dopravy, energetiky a životního prostředí s normami EU; vyzývá k tomu, aby byly vnitrostátní právní předpisy v oblasti práv cestujících sladěny s pravidly EU; zdůrazňuje, že je třeba posílit propojení a zajistit </w:t>
      </w:r>
      <w:r w:rsidRPr="00B27CBD">
        <w:rPr>
          <w:szCs w:val="24"/>
        </w:rPr>
        <w:t>nerušené obchodní toky, zejména v silniční dopravě; vyzývá k zavedení systému vstupu/výstupu EU s tím, že je nutné brát v potaz jeho dopad na řidiče z povolání a dodavatelské řetězce;</w:t>
      </w:r>
    </w:p>
    <w:p w:rsidR="00CE2652" w:rsidRPr="00B27CBD" w:rsidP="00F219B4" w14:paraId="0D0D08FC" w14:textId="6E33ABD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6</w:t>
      </w:r>
      <w:r w:rsidR="008F29E3">
        <w:rPr>
          <w:szCs w:val="24"/>
        </w:rPr>
        <w:t>3</w:t>
      </w:r>
      <w:r w:rsidRPr="00B27CBD">
        <w:rPr>
          <w:szCs w:val="24"/>
        </w:rPr>
        <w:t>.</w:t>
      </w:r>
      <w:r w:rsidRPr="00B27CBD">
        <w:rPr>
          <w:szCs w:val="24"/>
        </w:rPr>
        <w:tab/>
        <w:t>vyzdvihuje význam přeshraničních spojení, jako jsou koridory transevropské dopravní sítě (TEN-T) VIII a X, neboť jsou klíčové z hlediska zvýšení ekonomické spolupráce se sousedními zeměmi a posílení mezilidských kontaktů; spoléhá se na to, že přijaté závazky budou účinně zrealizovány; vítá dohodu mezi Bulharskem a Severní Makedonií o výstavbě přeshraničního železničního tunelu, která představuje rozhodující krok k dokončení železničního spojení podél koridoru VIII; upozorňuje na strategický význam VIII. koridoru pro geostrategickou autonomii EU a NATO, neboť slouží jako klíčová logistická trasa podél jižního křídla NATO;</w:t>
      </w:r>
    </w:p>
    <w:p w:rsidR="00CE2652" w:rsidRPr="00B27CBD" w:rsidP="00F219B4" w14:paraId="481E7427" w14:textId="4F5447B9">
      <w:pPr>
        <w:pStyle w:val="NormalHanging12a"/>
        <w:rPr>
          <w:szCs w:val="24"/>
        </w:rPr>
      </w:pPr>
      <w:r w:rsidRPr="00B27CBD">
        <w:rPr>
          <w:szCs w:val="24"/>
        </w:rPr>
        <w:t>6</w:t>
      </w:r>
      <w:r w:rsidR="008F29E3">
        <w:rPr>
          <w:szCs w:val="24"/>
        </w:rPr>
        <w:t>4</w:t>
      </w:r>
      <w:r w:rsidRPr="00B27CBD">
        <w:rPr>
          <w:szCs w:val="24"/>
        </w:rPr>
        <w:t>.</w:t>
      </w:r>
      <w:r w:rsidRPr="00B27CBD">
        <w:rPr>
          <w:szCs w:val="24"/>
        </w:rPr>
        <w:tab/>
        <w:t>vítá, že byl v květnu 2025 přijat energetický zákon, zdůrazňuje však, že země je stále silně závislá na uhlí; vyzývá k rychlému využívání energie z obnovitelných zdrojů a k většímu zaměření na energetickou účinnost, zejména pokud jde o budovy;</w:t>
      </w:r>
    </w:p>
    <w:p w:rsidR="00CE2652" w:rsidRPr="00B27CBD" w:rsidP="00F219B4" w14:paraId="535AD661" w14:textId="6F505E58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6</w:t>
      </w:r>
      <w:r w:rsidR="008F29E3">
        <w:rPr>
          <w:szCs w:val="24"/>
        </w:rPr>
        <w:t>5</w:t>
      </w:r>
      <w:r w:rsidRPr="00B27CBD">
        <w:rPr>
          <w:szCs w:val="24"/>
        </w:rPr>
        <w:t>.</w:t>
      </w:r>
      <w:r w:rsidRPr="00B27CBD">
        <w:rPr>
          <w:szCs w:val="24"/>
        </w:rPr>
        <w:tab/>
        <w:t>vyjadřuje politování nad tím, že v práci na právních předpisech v oblasti životního prostředí bylo dosaženo jen malého pokroku; vyzývá zejména k přijetí naléhavých opatření k řešení kvality vzduchu a vody a nakládání s odpadními vodami, a to i prostřednictvím zvýšeného a jasně vyčleněného vnitrostátního financování infrastruktury pro zásobování vodou a hygienická zařízení v městských a venkovských oblastech, začlenění vesnických vodovodních systémů do veřejných služeb tam, kde je to proveditelné, s jasně stanovenou institucionální odpovědností, zajištění pravidelných hygienických a laboratorních kontrol se zveřejňováním výsledků a posílení dohledu nad inspekcemi, včetně zavedení sankcí za neregulované, špatně udržované nebo znečišťující systémy;</w:t>
      </w:r>
    </w:p>
    <w:p w:rsidR="00CE2652" w:rsidRPr="00B27CBD" w:rsidP="00F219B4" w14:paraId="5EDF3BC0" w14:textId="79404383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6</w:t>
      </w:r>
      <w:r w:rsidR="008F29E3">
        <w:rPr>
          <w:szCs w:val="24"/>
        </w:rPr>
        <w:t>6</w:t>
      </w:r>
      <w:r w:rsidRPr="00B27CBD">
        <w:rPr>
          <w:szCs w:val="24"/>
        </w:rPr>
        <w:t>.</w:t>
      </w:r>
      <w:r w:rsidRPr="00B27CBD">
        <w:rPr>
          <w:szCs w:val="24"/>
        </w:rPr>
        <w:tab/>
        <w:t>se znepokojením bere na vědomí trvale vysokou úroveň znečištění ovzduší, zejména v městských oblastech, které úzce souvisí se spalováním uhlí a výrobou cementu; v této souvislosti vyjadřuje vážné znepokojení nad novým zákonem o kontrole průmyslových emisí a naléhavě vyzývá orgány, aby jej změnily prostřednictvím transparentního a inkluzivního veřejného postupu zahrnujícího všechny příslušné zúčastněné strany, zejména odborníky na životní prostředí a organizace občanské společnosti; zdůrazňuje naléhavou potřebu zlepšit kvalitu ovzduší ve městech, a to i prostřednictvím takových opatření, jako je zavedení nízkoemisních zón a pořízení moderních a méně znečišťujících vozidel veřejné dopravy;</w:t>
      </w:r>
    </w:p>
    <w:p w:rsidR="00CE2652" w:rsidRPr="00B27CBD" w:rsidP="00F219B4" w14:paraId="35041FE6" w14:textId="316AE802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6</w:t>
      </w:r>
      <w:r w:rsidR="008F29E3">
        <w:rPr>
          <w:szCs w:val="24"/>
        </w:rPr>
        <w:t>7</w:t>
      </w:r>
      <w:r w:rsidRPr="00B27CBD">
        <w:rPr>
          <w:szCs w:val="24"/>
        </w:rPr>
        <w:t>.</w:t>
      </w:r>
      <w:r w:rsidRPr="00B27CBD">
        <w:rPr>
          <w:szCs w:val="24"/>
        </w:rPr>
        <w:tab/>
        <w:t>se znepokojením bere na vědomí omezený pokrok při provádění horizontálních právních předpisů v oblasti životního prostředí a naléhavě vyzývá Severní Makedonii, aby plně sladila</w:t>
      </w:r>
      <w:r>
        <w:rPr>
          <w:rStyle w:val="FootnoteReference"/>
          <w:bCs/>
          <w:iCs/>
          <w:szCs w:val="24"/>
        </w:rPr>
        <w:footnoteReference w:id="9"/>
      </w:r>
      <w:r w:rsidRPr="00B27CBD">
        <w:rPr>
          <w:szCs w:val="24"/>
        </w:rPr>
        <w:t xml:space="preserve"> a účinně prováděla směrnice o posuzování vlivů na životní prostředí</w:t>
      </w:r>
      <w:r>
        <w:rPr>
          <w:rStyle w:val="FootnoteReference"/>
          <w:bCs/>
          <w:iCs/>
          <w:szCs w:val="24"/>
        </w:rPr>
        <w:footnoteReference w:id="10"/>
      </w:r>
      <w:r w:rsidRPr="00B27CBD">
        <w:rPr>
          <w:szCs w:val="24"/>
        </w:rPr>
        <w:t xml:space="preserve"> a o strategickém posuzování vlivů na životní prostředí, včetně sekundárních právních </w:t>
      </w:r>
      <w:r w:rsidRPr="00B27CBD">
        <w:rPr>
          <w:szCs w:val="24"/>
        </w:rPr>
        <w:t>předpisů týkajících se malých projektů vodních elektráren;</w:t>
      </w:r>
    </w:p>
    <w:p w:rsidR="00CE2652" w:rsidRPr="00B27CBD" w:rsidP="00F219B4" w14:paraId="7A488AA6" w14:textId="6D537276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6</w:t>
      </w:r>
      <w:r w:rsidR="008F29E3">
        <w:rPr>
          <w:szCs w:val="24"/>
        </w:rPr>
        <w:t>8</w:t>
      </w:r>
      <w:r w:rsidRPr="00B27CBD">
        <w:rPr>
          <w:szCs w:val="24"/>
        </w:rPr>
        <w:t>.</w:t>
      </w:r>
      <w:r w:rsidRPr="00B27CBD">
        <w:rPr>
          <w:szCs w:val="24"/>
        </w:rPr>
        <w:tab/>
        <w:t>vyzývá vládu Severní Makedonie a místní orgány, aby zajistily účinnou právní ochranu lokalit kandidujících na zařazení do programu Smaragd podle Bernské úmluvy a aby urychlila určení a vyhlášení budoucích lokalit sítě Natura 2000; naléhavě vyzývá vládu Severní Makedonie, aby upřednostnila a urychlila přijetí nového zákona o ochraně přírody, který nahradí zastaralý právní rámec a zajistí plný soulad se směrnicí EU o ochraně přírodních stanovišť</w:t>
      </w:r>
      <w:r>
        <w:rPr>
          <w:rStyle w:val="FootnoteReference"/>
          <w:bCs/>
          <w:iCs/>
          <w:szCs w:val="24"/>
        </w:rPr>
        <w:footnoteReference w:id="11"/>
      </w:r>
      <w:r w:rsidRPr="00B27CBD">
        <w:rPr>
          <w:szCs w:val="24"/>
        </w:rPr>
        <w:t xml:space="preserve"> a směrnicí EU o ochraně ptáků</w:t>
      </w:r>
      <w:r>
        <w:rPr>
          <w:rStyle w:val="FootnoteReference"/>
          <w:bCs/>
          <w:iCs/>
          <w:szCs w:val="24"/>
        </w:rPr>
        <w:footnoteReference w:id="12"/>
      </w:r>
      <w:r w:rsidRPr="00B27CBD">
        <w:rPr>
          <w:szCs w:val="24"/>
        </w:rPr>
        <w:t>;</w:t>
      </w:r>
    </w:p>
    <w:p w:rsidR="00CE2652" w:rsidRPr="00B27CBD" w:rsidP="00F219B4" w14:paraId="4BFC092D" w14:textId="355AFBA0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6</w:t>
      </w:r>
      <w:r w:rsidR="008F29E3">
        <w:rPr>
          <w:szCs w:val="24"/>
        </w:rPr>
        <w:t>9</w:t>
      </w:r>
      <w:r w:rsidRPr="00B27CBD">
        <w:rPr>
          <w:szCs w:val="24"/>
        </w:rPr>
        <w:t>.</w:t>
      </w:r>
      <w:r w:rsidRPr="00B27CBD">
        <w:rPr>
          <w:szCs w:val="24"/>
        </w:rPr>
        <w:tab/>
        <w:t xml:space="preserve">vítá pokračující spolupráci Severní Makedonie s Kosovem a Albánií v souvislosti s přeshraničním národním parkem v pohoří </w:t>
      </w:r>
      <w:r w:rsidRPr="00B27CBD">
        <w:rPr>
          <w:szCs w:val="24"/>
        </w:rPr>
        <w:t>Šar</w:t>
      </w:r>
      <w:r w:rsidRPr="00B27CBD">
        <w:rPr>
          <w:szCs w:val="24"/>
        </w:rPr>
        <w:t xml:space="preserve"> planina; opakuje, že je naléhavě nutné přijmout zákon o opětovném vyhlášení národního parku </w:t>
      </w:r>
      <w:r w:rsidRPr="00B27CBD">
        <w:rPr>
          <w:szCs w:val="24"/>
        </w:rPr>
        <w:t>Mavrovo</w:t>
      </w:r>
      <w:r w:rsidRPr="00B27CBD">
        <w:rPr>
          <w:szCs w:val="24"/>
        </w:rPr>
        <w:t xml:space="preserve"> a dokončit a účinně provádět jeho plán správy; vybízí k zařazení lokality </w:t>
      </w:r>
      <w:r w:rsidRPr="00B27CBD">
        <w:rPr>
          <w:szCs w:val="24"/>
        </w:rPr>
        <w:t>Jablanica</w:t>
      </w:r>
      <w:r w:rsidRPr="00B27CBD">
        <w:rPr>
          <w:szCs w:val="24"/>
        </w:rPr>
        <w:t xml:space="preserve"> na vnitrostátní seznam chráněných oblastí; naléhavě vyzývá Severní Makedonii, aby vypracovala a provedla vnitrostátní akční plán a plán řízení pro zachování rysa balkánského v souladu s regionální strategií a ve spolupráci se sousedními zeměmi, a to i s cílem zachovat ekologickou propojenost mezi klíčovými stanovišti,, včetně </w:t>
      </w:r>
      <w:r w:rsidRPr="00B27CBD">
        <w:rPr>
          <w:szCs w:val="24"/>
        </w:rPr>
        <w:t>Mavrova</w:t>
      </w:r>
      <w:r w:rsidRPr="00B27CBD">
        <w:rPr>
          <w:szCs w:val="24"/>
        </w:rPr>
        <w:t xml:space="preserve"> a </w:t>
      </w:r>
      <w:r w:rsidRPr="00B27CBD">
        <w:rPr>
          <w:szCs w:val="24"/>
        </w:rPr>
        <w:t>Jablanicy</w:t>
      </w:r>
      <w:r w:rsidRPr="00B27CBD">
        <w:rPr>
          <w:szCs w:val="24"/>
        </w:rPr>
        <w:t>, a přeshraničními oblastmi,;</w:t>
      </w:r>
    </w:p>
    <w:p w:rsidR="00CE2652" w:rsidRPr="00B27CBD" w:rsidP="00F219B4" w14:paraId="1EF8DB64" w14:textId="77777777">
      <w:pPr>
        <w:pStyle w:val="NormalHanging12a"/>
        <w:rPr>
          <w:b/>
          <w:szCs w:val="24"/>
        </w:rPr>
      </w:pPr>
      <w:r w:rsidRPr="00B27CBD">
        <w:rPr>
          <w:b/>
          <w:i/>
          <w:szCs w:val="24"/>
        </w:rPr>
        <w:t>Regionální spolupráce a zahraniční politika</w:t>
      </w:r>
    </w:p>
    <w:p w:rsidR="00CE2652" w:rsidRPr="00B27CBD" w:rsidP="00F219B4" w14:paraId="4C054F36" w14:textId="7E73EC2F">
      <w:pPr>
        <w:pStyle w:val="NormalHanging12a"/>
        <w:rPr>
          <w:szCs w:val="24"/>
        </w:rPr>
      </w:pPr>
      <w:r>
        <w:rPr>
          <w:szCs w:val="24"/>
        </w:rPr>
        <w:t>70</w:t>
      </w:r>
      <w:r w:rsidRPr="00B27CBD">
        <w:rPr>
          <w:szCs w:val="24"/>
        </w:rPr>
        <w:t>.</w:t>
      </w:r>
      <w:r w:rsidRPr="00B27CBD">
        <w:rPr>
          <w:szCs w:val="24"/>
        </w:rPr>
        <w:tab/>
        <w:t>vítá cenný a významný přínos Severní Makedonie k regionální spolupráci a stabilitě prostřednictvím jejího zapojení do regionálních ekonomických a diplomatických iniciativ, jako je Berlínský proces, plán růstu pro západní Balkán a uplatňování dohod o společném regionálním trhu;</w:t>
      </w:r>
    </w:p>
    <w:p w:rsidR="00CE2652" w:rsidRPr="00B27CBD" w:rsidP="00F219B4" w14:paraId="02BCBA31" w14:textId="4038B6B8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7</w:t>
      </w:r>
      <w:r w:rsidR="008F29E3">
        <w:rPr>
          <w:szCs w:val="24"/>
        </w:rPr>
        <w:t>1</w:t>
      </w:r>
      <w:r w:rsidRPr="00B27CBD">
        <w:rPr>
          <w:szCs w:val="24"/>
        </w:rPr>
        <w:t>.</w:t>
      </w:r>
      <w:r w:rsidRPr="00B27CBD">
        <w:rPr>
          <w:szCs w:val="24"/>
        </w:rPr>
        <w:tab/>
        <w:t xml:space="preserve">vyzývá k odhodlané účasti na dialogu a spolupráci se sousedními zeměmi s cílem posílit regionální stabilitu a vzájemnou důvěru; vyzývá k další podpoře mezilidských kontaktů v celé jihovýchodní Evropě; </w:t>
      </w:r>
      <w:bookmarkStart w:id="13" w:name="_Hlk229472357"/>
      <w:r w:rsidRPr="00B27CBD">
        <w:rPr>
          <w:szCs w:val="24"/>
        </w:rPr>
        <w:t xml:space="preserve">zdůrazňuje, že je důležité plnění mezinárodních dohod v dobré víře, včetně </w:t>
      </w:r>
      <w:r w:rsidRPr="00B27CBD">
        <w:rPr>
          <w:szCs w:val="24"/>
        </w:rPr>
        <w:t>Prespanské</w:t>
      </w:r>
      <w:r w:rsidRPr="00B27CBD">
        <w:rPr>
          <w:szCs w:val="24"/>
        </w:rPr>
        <w:t xml:space="preserve"> dohody a Smlouvy o přátelství, dobrých sousedských vztazích a spolupráci s Bulharskem;</w:t>
      </w:r>
      <w:bookmarkEnd w:id="13"/>
    </w:p>
    <w:p w:rsidR="00CE2652" w:rsidRPr="00B27CBD" w:rsidP="00F219B4" w14:paraId="1D3F88AC" w14:textId="5AC67D32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7</w:t>
      </w:r>
      <w:r w:rsidR="008F29E3">
        <w:rPr>
          <w:szCs w:val="24"/>
        </w:rPr>
        <w:t>2</w:t>
      </w:r>
      <w:r w:rsidRPr="00B27CBD">
        <w:rPr>
          <w:szCs w:val="24"/>
        </w:rPr>
        <w:t>.</w:t>
      </w:r>
      <w:r w:rsidRPr="00B27CBD">
        <w:rPr>
          <w:szCs w:val="24"/>
        </w:rPr>
        <w:tab/>
        <w:t>uznává existenci rozdílných výkladů historických rysů makedonské společnosti; zdůrazňuje, že cílem jeho zprávy není předjímat ani omezovat vědeckou diskuzi o těchto záležitostech, ani tyto výklady nemají vliv na jeho hodnocení pokroku Severní Makedonie na cestě k přistoupení k EU, které zůstává zakotveno v kodaňských kritériích a zásadách dobrých sousedských vztahů; naléhavě vybízí všechny strany k opětovnému zahájení práce společné multidisciplinární odborné komise pro historické a vzdělávací otázky Bulharska a Severní Makedonie a naplňování její práce v dobré víře, což obě společnosti sbližuje; odsuzuje veškeré pokusy o nahrazení historických památek nebo artefaktů, včetně ničení autentického kulturního dědictví; vyjadřuje politování nad ničením a falšováním bulharských nápisů;</w:t>
      </w:r>
    </w:p>
    <w:p w:rsidR="00CE2652" w:rsidRPr="00B27CBD" w:rsidP="00F219B4" w14:paraId="296B0209" w14:textId="0BBDC48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7</w:t>
      </w:r>
      <w:r w:rsidR="008F29E3">
        <w:rPr>
          <w:szCs w:val="24"/>
        </w:rPr>
        <w:t>3</w:t>
      </w:r>
      <w:r w:rsidRPr="00B27CBD">
        <w:rPr>
          <w:szCs w:val="24"/>
        </w:rPr>
        <w:t>.</w:t>
      </w:r>
      <w:r w:rsidRPr="00B27CBD">
        <w:rPr>
          <w:szCs w:val="24"/>
        </w:rPr>
        <w:tab/>
        <w:t xml:space="preserve">vyjadřuje silné znepokojení nad tím, že poslední zasedání smíšené mezivládní komise </w:t>
      </w:r>
      <w:r w:rsidRPr="00B27CBD">
        <w:rPr>
          <w:szCs w:val="24"/>
        </w:rPr>
        <w:t>zřízené podle článku 12 Smlouvy o přátelství, dobrých sousedských vztazích a spolupráci se konalo 17. července 2022 a od té doby se žádné další zasedání nekonalo; naléhavě vyzývá vlády Bulharska a Severní Makedonie, aby urychleně uspořádaly třetí zasedání smíšení mezivládní komise a pokračovaly v plnění této smlouvy a jejích protokolů;</w:t>
      </w:r>
    </w:p>
    <w:p w:rsidR="00CE2652" w:rsidRPr="00B27CBD" w:rsidP="00F219B4" w14:paraId="0939CBB2" w14:textId="0A292EF6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7</w:t>
      </w:r>
      <w:r w:rsidR="008F29E3">
        <w:rPr>
          <w:szCs w:val="24"/>
        </w:rPr>
        <w:t>4</w:t>
      </w:r>
      <w:r w:rsidRPr="00B27CBD">
        <w:rPr>
          <w:szCs w:val="24"/>
        </w:rPr>
        <w:t>.</w:t>
      </w:r>
      <w:r w:rsidRPr="00B27CBD">
        <w:rPr>
          <w:szCs w:val="24"/>
        </w:rPr>
        <w:tab/>
        <w:t>důrazně vyzývá společnou multidisciplinární odbornou komisi pro historické a vzdělávací otázky Bulharska a Severní Makedonie, která byla zřízena na základě Smlouvy o přátelství, dobrých sousedských vztazích a spolupráci s Bulharskem, aby dosáhla jasných a hmatatelných výsledků; zdůrazňuje, že texty by měly odrážet interpretaci historických faktů a údajů ze společných dějin obou národů založenou na objektivních, autentických a na důkazech založených historických pramenech a dokumentech, vědecké interpretaci a historických událostech, jak je stanoveno ve druhém protokolu smlouvy s Bulharskem;</w:t>
      </w:r>
    </w:p>
    <w:p w:rsidR="00CE2652" w:rsidRPr="00B27CBD" w:rsidP="00F219B4" w14:paraId="09481687" w14:textId="68FB4485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7</w:t>
      </w:r>
      <w:r w:rsidR="008F29E3">
        <w:rPr>
          <w:szCs w:val="24"/>
        </w:rPr>
        <w:t>5</w:t>
      </w:r>
      <w:r w:rsidRPr="00B27CBD">
        <w:rPr>
          <w:szCs w:val="24"/>
        </w:rPr>
        <w:t>.</w:t>
      </w:r>
      <w:r w:rsidRPr="00B27CBD">
        <w:rPr>
          <w:szCs w:val="24"/>
        </w:rPr>
        <w:tab/>
        <w:t>se znepokojením bere na vědomí stále silnější vazby mezi Severní Makedonií a vládou Srbska, která uskutečňuje neliberální program; varuje dále před rostoucím hospodářským a politickým vlivem Číny v tomto regionu, zejména prostřednictvím infrastrukturních projektů a úvěrů; se stejným znepokojením bere na vědomí zprávy o ruském úsilí o prosazování svého vlivu v Severní Makedonii; vyzývá EU, aby podpořila Severní Makedonii při posilování odolnosti vůči vnějšímu vlivu prostřednictvím náboženských sítí; vyjadřuje znepokojení nad narativy propagovanými v regionu, které zpochybňují svrchovanost a územní celistvost zemí, včetně narativu tzv. srbského světa;</w:t>
      </w:r>
    </w:p>
    <w:p w:rsidR="00CE2652" w:rsidRPr="00B27CBD" w:rsidP="00F219B4" w14:paraId="2D94E8A0" w14:textId="0A808227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7</w:t>
      </w:r>
      <w:r w:rsidR="008F29E3">
        <w:rPr>
          <w:szCs w:val="24"/>
        </w:rPr>
        <w:t>6</w:t>
      </w:r>
      <w:r w:rsidRPr="00B27CBD">
        <w:rPr>
          <w:szCs w:val="24"/>
        </w:rPr>
        <w:t>.</w:t>
      </w:r>
      <w:r w:rsidRPr="00B27CBD">
        <w:rPr>
          <w:szCs w:val="24"/>
        </w:rPr>
        <w:tab/>
        <w:t>připomíná, že je nutné otevřít archivy jugoslávských tajných služeb (UDBA a KOS), které se nacházejí v Severní Makedonii a v Srbsku; zdůrazňuje, že s cílem transparentně se vypořádat s totalitní minulostí a posílit demokracii, odpovědnost a instituce na západním Balkáně je třeba otevřít tyto archivy v celém regionu;</w:t>
      </w:r>
    </w:p>
    <w:p w:rsidR="00CE2652" w:rsidRPr="00B27CBD" w:rsidP="00F219B4" w14:paraId="44AD02B7" w14:textId="7F0DD1DA">
      <w:pPr>
        <w:pStyle w:val="NormalHanging12a"/>
        <w:rPr>
          <w:bCs/>
          <w:iCs/>
          <w:szCs w:val="24"/>
        </w:rPr>
      </w:pPr>
      <w:r w:rsidRPr="00B27CBD">
        <w:rPr>
          <w:szCs w:val="24"/>
        </w:rPr>
        <w:t>7</w:t>
      </w:r>
      <w:r w:rsidR="008F29E3">
        <w:rPr>
          <w:szCs w:val="24"/>
        </w:rPr>
        <w:t>7</w:t>
      </w:r>
      <w:r w:rsidRPr="00B27CBD">
        <w:rPr>
          <w:szCs w:val="24"/>
        </w:rPr>
        <w:t>.</w:t>
      </w:r>
      <w:r w:rsidRPr="00B27CBD">
        <w:rPr>
          <w:szCs w:val="24"/>
        </w:rPr>
        <w:tab/>
        <w:t>oceňuje, že Severní Makedonie jedná v zásadním a dlouhodobém souladu se zahraniční, bezpečnostní a obrannou politikou EU, včetně restriktivních opatření; vyjadřuje však politování nad stále častějšími případy, kdy se Severní Makedonie zdržuje hlasování v mezinárodních orgánech namísto toho, aby se řídila většinovým postojem EU; vyzývá tedy makedonskou vládu, aby se v případě pochybností připojila k většinovému postoji v rámci EU;</w:t>
      </w:r>
      <w:r w:rsidRPr="00B27CBD">
        <w:rPr>
          <w:b/>
          <w:i/>
          <w:szCs w:val="24"/>
        </w:rPr>
        <w:t xml:space="preserve"> </w:t>
      </w:r>
      <w:r w:rsidRPr="00B27CBD">
        <w:rPr>
          <w:szCs w:val="24"/>
        </w:rPr>
        <w:t>zdůrazňuje geostrategický význam Severní Makedonie a její důležitou úlohu jako člena NATO; vítá aktivní účast země na misích a operacích EU v rámci společné bezpečnostní a obranné politiky a její přínos k vedoucí úloze EU při udržování míru, předcházení konfliktům a řešení mezinárodních krizí; vítá připravenost Severní Makedonie na posílená spolupráce s EU v rámci partnerství v oblasti bezpečnosti a obrany;</w:t>
      </w:r>
    </w:p>
    <w:p w:rsidR="00F219B4" w:rsidRPr="00B27CBD" w:rsidP="00F219B4" w14:paraId="5C028F06" w14:textId="77777777">
      <w:pPr>
        <w:pStyle w:val="NormalHanging12a"/>
        <w:widowControl/>
        <w:ind w:left="0" w:firstLine="0"/>
        <w:jc w:val="center"/>
        <w:rPr>
          <w:szCs w:val="24"/>
        </w:rPr>
      </w:pPr>
      <w:r w:rsidRPr="00B27CBD">
        <w:rPr>
          <w:szCs w:val="24"/>
        </w:rPr>
        <w:t>°</w:t>
      </w:r>
    </w:p>
    <w:p w:rsidR="00F219B4" w:rsidRPr="00B27CBD" w:rsidP="00F219B4" w14:paraId="5CC88114" w14:textId="77777777">
      <w:pPr>
        <w:pStyle w:val="NormalHanging12a"/>
        <w:widowControl/>
        <w:ind w:left="0" w:firstLine="0"/>
        <w:jc w:val="center"/>
        <w:rPr>
          <w:szCs w:val="24"/>
        </w:rPr>
      </w:pPr>
      <w:r w:rsidRPr="00B27CBD">
        <w:rPr>
          <w:szCs w:val="24"/>
        </w:rPr>
        <w:t>°     °</w:t>
      </w:r>
    </w:p>
    <w:p w:rsidR="00E365E1" w:rsidRPr="00B27CBD" w:rsidP="00364152" w14:paraId="1915EA28" w14:textId="395ADF01">
      <w:pPr>
        <w:pStyle w:val="NormalHanging12a"/>
      </w:pPr>
      <w:r w:rsidRPr="00B27CBD">
        <w:rPr>
          <w:szCs w:val="24"/>
        </w:rPr>
        <w:t>7</w:t>
      </w:r>
      <w:r w:rsidR="008F29E3">
        <w:rPr>
          <w:szCs w:val="24"/>
        </w:rPr>
        <w:t>8</w:t>
      </w:r>
      <w:r w:rsidRPr="00B27CBD">
        <w:rPr>
          <w:szCs w:val="24"/>
        </w:rPr>
        <w:t>.</w:t>
      </w:r>
      <w:r w:rsidRPr="00B27CBD">
        <w:rPr>
          <w:szCs w:val="24"/>
        </w:rPr>
        <w:tab/>
        <w:t>pověřuje svou předsedkyni, aby toto usnesení předala předsedovi Evropské rady, Radě, Komisi, místopředsedkyni Komise, vysoké představitelce Unie pro zahraniční věci a bezpečnostní politiku, vládám a parlamentům členských států a prezidentce, vládě a Shromáždění Republiky Severní</w:t>
      </w:r>
      <w:r w:rsidRPr="00B27CBD">
        <w:t xml:space="preserve"> Makedonie.</w:t>
      </w:r>
    </w:p>
    <w:sectPr w:rsidSect="00F727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72783" w14:paraId="6EBB56C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72783" w14:paraId="4C5549C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72783" w14:paraId="213EC3F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A748E" w:rsidRPr="00F72783" w14:paraId="0F06E05E" w14:textId="77777777">
      <w:r w:rsidRPr="00F72783">
        <w:separator/>
      </w:r>
    </w:p>
  </w:footnote>
  <w:footnote w:type="continuationSeparator" w:id="1">
    <w:p w:rsidR="005A748E" w:rsidRPr="00F72783" w14:paraId="6C875BCA" w14:textId="77777777">
      <w:r w:rsidRPr="00F72783">
        <w:continuationSeparator/>
      </w:r>
    </w:p>
  </w:footnote>
  <w:footnote w:id="2">
    <w:p w:rsidR="00CE2652" w:rsidRPr="00F72783" w:rsidP="00F72783" w14:paraId="5C757F50" w14:textId="65D1F85B">
      <w:pPr>
        <w:pStyle w:val="FootnoteText"/>
        <w:ind w:left="567" w:hanging="567"/>
        <w:rPr>
          <w:color w:val="000000"/>
          <w:sz w:val="24"/>
          <w:lang w:val="cs-CZ"/>
        </w:rPr>
      </w:pPr>
      <w:r w:rsidRPr="00F72783">
        <w:rPr>
          <w:rStyle w:val="FootnoteReference"/>
          <w:sz w:val="24"/>
          <w:lang w:val="cs-CZ"/>
        </w:rPr>
        <w:footnoteRef/>
      </w:r>
      <w:r w:rsidRPr="00F72783" w:rsidR="00F72783">
        <w:rPr>
          <w:color w:val="000000"/>
          <w:sz w:val="24"/>
          <w:lang w:val="cs-CZ"/>
        </w:rPr>
        <w:t xml:space="preserve"> </w:t>
      </w:r>
      <w:r w:rsidRPr="00F72783" w:rsidR="00F72783">
        <w:rPr>
          <w:color w:val="000000"/>
          <w:sz w:val="24"/>
          <w:lang w:val="cs-CZ"/>
        </w:rPr>
        <w:tab/>
      </w:r>
      <w:r w:rsidRPr="00F72783">
        <w:rPr>
          <w:color w:val="000000"/>
          <w:sz w:val="24"/>
          <w:lang w:val="cs-CZ"/>
        </w:rPr>
        <w:t>Úř</w:t>
      </w:r>
      <w:r w:rsidRPr="00F72783">
        <w:rPr>
          <w:color w:val="000000"/>
          <w:sz w:val="24"/>
          <w:lang w:val="cs-CZ"/>
        </w:rPr>
        <w:t xml:space="preserve">. </w:t>
      </w:r>
      <w:r w:rsidRPr="00F72783">
        <w:rPr>
          <w:color w:val="000000"/>
          <w:sz w:val="24"/>
          <w:lang w:val="cs-CZ"/>
        </w:rPr>
        <w:t>věst</w:t>
      </w:r>
      <w:r w:rsidRPr="00F72783">
        <w:rPr>
          <w:color w:val="000000"/>
          <w:sz w:val="24"/>
          <w:lang w:val="cs-CZ"/>
        </w:rPr>
        <w:t xml:space="preserve">. L 84, 20.3.2004, s. 13, ELI: </w:t>
      </w:r>
      <w:hyperlink r:id="rId1" w:history="1">
        <w:r w:rsidRPr="00F72783">
          <w:rPr>
            <w:rStyle w:val="Hyperlink"/>
            <w:color w:val="0563C1"/>
            <w:sz w:val="24"/>
            <w:lang w:val="cs-CZ"/>
          </w:rPr>
          <w:t>http://data.europa.eu/eli/agree_internation/2004/239(2)/oj</w:t>
        </w:r>
      </w:hyperlink>
      <w:r w:rsidRPr="00F72783">
        <w:rPr>
          <w:color w:val="000000"/>
          <w:sz w:val="24"/>
          <w:lang w:val="cs-CZ"/>
        </w:rPr>
        <w:t>.</w:t>
      </w:r>
    </w:p>
  </w:footnote>
  <w:footnote w:id="3">
    <w:p w:rsidR="00CE2652" w:rsidRPr="00F72783" w:rsidP="00F72783" w14:paraId="22A20E95" w14:textId="64B918B8">
      <w:pPr>
        <w:pStyle w:val="FootnoteText"/>
        <w:ind w:left="567" w:hanging="567"/>
        <w:rPr>
          <w:color w:val="000000"/>
          <w:sz w:val="24"/>
          <w:lang w:val="cs-CZ"/>
        </w:rPr>
      </w:pPr>
      <w:r w:rsidRPr="00F72783">
        <w:rPr>
          <w:rStyle w:val="FootnoteReference"/>
          <w:sz w:val="24"/>
          <w:lang w:val="cs-CZ"/>
        </w:rPr>
        <w:footnoteRef/>
      </w:r>
      <w:r w:rsidRPr="00F72783" w:rsidR="00F72783">
        <w:rPr>
          <w:color w:val="000000"/>
          <w:sz w:val="24"/>
          <w:lang w:val="cs-CZ"/>
        </w:rPr>
        <w:t xml:space="preserve"> </w:t>
      </w:r>
      <w:r w:rsidRPr="00F72783" w:rsidR="00F72783">
        <w:rPr>
          <w:color w:val="000000"/>
          <w:sz w:val="24"/>
          <w:lang w:val="cs-CZ"/>
        </w:rPr>
        <w:tab/>
      </w:r>
      <w:r w:rsidRPr="00F72783">
        <w:rPr>
          <w:color w:val="000000"/>
          <w:sz w:val="24"/>
          <w:lang w:val="cs-CZ"/>
        </w:rPr>
        <w:t>Úř</w:t>
      </w:r>
      <w:r w:rsidRPr="00F72783">
        <w:rPr>
          <w:color w:val="000000"/>
          <w:sz w:val="24"/>
          <w:lang w:val="cs-CZ"/>
        </w:rPr>
        <w:t xml:space="preserve">. </w:t>
      </w:r>
      <w:r w:rsidRPr="00F72783">
        <w:rPr>
          <w:color w:val="000000"/>
          <w:sz w:val="24"/>
          <w:lang w:val="cs-CZ"/>
        </w:rPr>
        <w:t>věst</w:t>
      </w:r>
      <w:r w:rsidRPr="00F72783">
        <w:rPr>
          <w:color w:val="000000"/>
          <w:sz w:val="24"/>
          <w:lang w:val="cs-CZ"/>
        </w:rPr>
        <w:t xml:space="preserve">. L 330, 20.9.2021, s. 1, ELI: </w:t>
      </w:r>
      <w:hyperlink r:id="rId2" w:history="1">
        <w:r w:rsidRPr="00F72783">
          <w:rPr>
            <w:rStyle w:val="Hyperlink"/>
            <w:color w:val="0563C1"/>
            <w:sz w:val="24"/>
            <w:lang w:val="cs-CZ"/>
          </w:rPr>
          <w:t>http://data.europa.eu/eli/reg/2021/1529/oj</w:t>
        </w:r>
      </w:hyperlink>
      <w:r w:rsidRPr="00F72783">
        <w:rPr>
          <w:color w:val="000000"/>
          <w:sz w:val="24"/>
          <w:lang w:val="cs-CZ"/>
        </w:rPr>
        <w:t>.</w:t>
      </w:r>
    </w:p>
  </w:footnote>
  <w:footnote w:id="4">
    <w:p w:rsidR="00CE2652" w:rsidRPr="00F72783" w:rsidP="00F72783" w14:paraId="3E1640E5" w14:textId="1F12066B">
      <w:pPr>
        <w:pStyle w:val="FootnoteText"/>
        <w:ind w:left="567" w:hanging="567"/>
        <w:rPr>
          <w:color w:val="000000"/>
          <w:sz w:val="24"/>
          <w:lang w:val="cs-CZ"/>
        </w:rPr>
      </w:pPr>
      <w:r w:rsidRPr="00F72783">
        <w:rPr>
          <w:rStyle w:val="FootnoteReference"/>
          <w:sz w:val="24"/>
          <w:lang w:val="cs-CZ"/>
        </w:rPr>
        <w:footnoteRef/>
      </w:r>
      <w:r w:rsidRPr="00F72783" w:rsidR="00F72783">
        <w:rPr>
          <w:color w:val="000000"/>
          <w:sz w:val="24"/>
          <w:lang w:val="cs-CZ"/>
        </w:rPr>
        <w:t xml:space="preserve"> </w:t>
      </w:r>
      <w:r w:rsidRPr="00F72783" w:rsidR="00F72783">
        <w:rPr>
          <w:color w:val="000000"/>
          <w:sz w:val="24"/>
          <w:lang w:val="cs-CZ"/>
        </w:rPr>
        <w:tab/>
      </w:r>
      <w:r w:rsidRPr="00F72783">
        <w:rPr>
          <w:color w:val="000000"/>
          <w:sz w:val="24"/>
          <w:lang w:val="cs-CZ"/>
        </w:rPr>
        <w:t>Úř</w:t>
      </w:r>
      <w:r w:rsidRPr="00F72783">
        <w:rPr>
          <w:color w:val="000000"/>
          <w:sz w:val="24"/>
          <w:lang w:val="cs-CZ"/>
        </w:rPr>
        <w:t xml:space="preserve">. </w:t>
      </w:r>
      <w:r w:rsidRPr="00F72783">
        <w:rPr>
          <w:color w:val="000000"/>
          <w:sz w:val="24"/>
          <w:lang w:val="cs-CZ"/>
        </w:rPr>
        <w:t>věst</w:t>
      </w:r>
      <w:r w:rsidRPr="00F72783">
        <w:rPr>
          <w:color w:val="000000"/>
          <w:sz w:val="24"/>
          <w:lang w:val="cs-CZ"/>
        </w:rPr>
        <w:t xml:space="preserve">. L, 2024/1449, 24.5.2024, ELI: </w:t>
      </w:r>
      <w:hyperlink r:id="rId3" w:history="1">
        <w:r w:rsidRPr="00F72783">
          <w:rPr>
            <w:rStyle w:val="Hyperlink"/>
            <w:color w:val="0563C1"/>
            <w:sz w:val="24"/>
            <w:lang w:val="cs-CZ"/>
          </w:rPr>
          <w:t>http://data.europa.eu/eli/reg/2024/1449/oj</w:t>
        </w:r>
      </w:hyperlink>
      <w:r w:rsidRPr="00F72783">
        <w:rPr>
          <w:color w:val="000000"/>
          <w:sz w:val="24"/>
          <w:lang w:val="cs-CZ"/>
        </w:rPr>
        <w:t>.</w:t>
      </w:r>
    </w:p>
  </w:footnote>
  <w:footnote w:id="5">
    <w:p w:rsidR="00CE2652" w:rsidRPr="00F72783" w:rsidP="00F72783" w14:paraId="76C47811" w14:textId="681DD1F2">
      <w:pPr>
        <w:pStyle w:val="FootnoteText"/>
        <w:ind w:left="567" w:hanging="567"/>
        <w:rPr>
          <w:sz w:val="24"/>
          <w:lang w:val="cs-CZ"/>
        </w:rPr>
      </w:pPr>
      <w:r w:rsidRPr="00F72783">
        <w:rPr>
          <w:rStyle w:val="FootnoteReference"/>
          <w:sz w:val="24"/>
          <w:lang w:val="cs-CZ"/>
        </w:rPr>
        <w:footnoteRef/>
      </w:r>
      <w:r w:rsidRPr="00F72783" w:rsidR="00F72783">
        <w:rPr>
          <w:color w:val="000000"/>
          <w:sz w:val="24"/>
          <w:lang w:val="cs-CZ"/>
        </w:rPr>
        <w:t xml:space="preserve"> </w:t>
      </w:r>
      <w:r w:rsidRPr="00F72783" w:rsidR="00F72783">
        <w:rPr>
          <w:color w:val="000000"/>
          <w:sz w:val="24"/>
          <w:lang w:val="cs-CZ"/>
        </w:rPr>
        <w:tab/>
      </w:r>
      <w:r w:rsidRPr="00F72783">
        <w:rPr>
          <w:color w:val="000000"/>
          <w:sz w:val="24"/>
          <w:lang w:val="cs-CZ"/>
        </w:rPr>
        <w:t>Úř</w:t>
      </w:r>
      <w:r w:rsidRPr="00F72783">
        <w:rPr>
          <w:color w:val="000000"/>
          <w:sz w:val="24"/>
          <w:lang w:val="cs-CZ"/>
        </w:rPr>
        <w:t xml:space="preserve">. </w:t>
      </w:r>
      <w:r w:rsidRPr="00F72783">
        <w:rPr>
          <w:color w:val="000000"/>
          <w:sz w:val="24"/>
          <w:lang w:val="cs-CZ"/>
        </w:rPr>
        <w:t>věst</w:t>
      </w:r>
      <w:r w:rsidRPr="00F72783">
        <w:rPr>
          <w:color w:val="000000"/>
          <w:sz w:val="24"/>
          <w:lang w:val="cs-CZ"/>
        </w:rPr>
        <w:t xml:space="preserve">. </w:t>
      </w:r>
      <w:r w:rsidRPr="00F72783">
        <w:rPr>
          <w:sz w:val="24"/>
          <w:lang w:val="cs-CZ"/>
        </w:rPr>
        <w:t>C 202, 28.5.2021, s. 86.</w:t>
      </w:r>
    </w:p>
  </w:footnote>
  <w:footnote w:id="6">
    <w:p w:rsidR="00CE2652" w:rsidRPr="00F72783" w:rsidP="00F72783" w14:paraId="6A3F0D13" w14:textId="7DD09D0D">
      <w:pPr>
        <w:pStyle w:val="FootnoteText"/>
        <w:ind w:left="567" w:hanging="567"/>
        <w:rPr>
          <w:sz w:val="24"/>
          <w:lang w:val="cs-CZ"/>
        </w:rPr>
      </w:pPr>
      <w:r w:rsidRPr="00F72783">
        <w:rPr>
          <w:rStyle w:val="FootnoteReference"/>
          <w:sz w:val="24"/>
          <w:lang w:val="cs-CZ"/>
        </w:rPr>
        <w:footnoteRef/>
      </w:r>
      <w:r w:rsidRPr="00F72783" w:rsidR="00F72783">
        <w:rPr>
          <w:color w:val="000000"/>
          <w:sz w:val="24"/>
          <w:lang w:val="cs-CZ"/>
        </w:rPr>
        <w:t xml:space="preserve"> </w:t>
      </w:r>
      <w:r w:rsidRPr="00F72783" w:rsidR="00F72783">
        <w:rPr>
          <w:color w:val="000000"/>
          <w:sz w:val="24"/>
          <w:lang w:val="cs-CZ"/>
        </w:rPr>
        <w:tab/>
      </w:r>
      <w:r w:rsidRPr="00F72783">
        <w:rPr>
          <w:color w:val="000000"/>
          <w:sz w:val="24"/>
          <w:lang w:val="cs-CZ"/>
        </w:rPr>
        <w:t>Úř</w:t>
      </w:r>
      <w:r w:rsidRPr="00F72783">
        <w:rPr>
          <w:color w:val="000000"/>
          <w:sz w:val="24"/>
          <w:lang w:val="cs-CZ"/>
        </w:rPr>
        <w:t xml:space="preserve">. </w:t>
      </w:r>
      <w:r w:rsidRPr="00F72783">
        <w:rPr>
          <w:color w:val="000000"/>
          <w:sz w:val="24"/>
          <w:lang w:val="cs-CZ"/>
        </w:rPr>
        <w:t>věst</w:t>
      </w:r>
      <w:r w:rsidRPr="00F72783">
        <w:rPr>
          <w:color w:val="000000"/>
          <w:sz w:val="24"/>
          <w:lang w:val="cs-CZ"/>
        </w:rPr>
        <w:t xml:space="preserve">. </w:t>
      </w:r>
      <w:r w:rsidRPr="00F72783">
        <w:rPr>
          <w:sz w:val="24"/>
          <w:lang w:val="cs-CZ"/>
        </w:rPr>
        <w:t xml:space="preserve">C, C/2024/6746, 26.11.2024, ELI: </w:t>
      </w:r>
      <w:hyperlink r:id="rId4" w:history="1">
        <w:r w:rsidRPr="00F72783">
          <w:rPr>
            <w:rStyle w:val="Hyperlink"/>
            <w:sz w:val="24"/>
            <w:lang w:val="cs-CZ"/>
          </w:rPr>
          <w:t>http://data.europa.eu/eli/C/2024/6746/oj</w:t>
        </w:r>
      </w:hyperlink>
      <w:r w:rsidRPr="00F72783">
        <w:rPr>
          <w:sz w:val="24"/>
          <w:lang w:val="cs-CZ"/>
        </w:rPr>
        <w:t xml:space="preserve">. </w:t>
      </w:r>
    </w:p>
  </w:footnote>
  <w:footnote w:id="7">
    <w:p w:rsidR="00CE2652" w:rsidRPr="00F72783" w:rsidP="00F72783" w14:paraId="0FE57722" w14:textId="14B4E213">
      <w:pPr>
        <w:pStyle w:val="FootnoteText"/>
        <w:ind w:left="567" w:hanging="567"/>
        <w:rPr>
          <w:sz w:val="24"/>
          <w:lang w:val="cs-CZ"/>
        </w:rPr>
      </w:pPr>
      <w:r w:rsidRPr="00F72783">
        <w:rPr>
          <w:rStyle w:val="FootnoteReference"/>
          <w:sz w:val="24"/>
          <w:lang w:val="cs-CZ"/>
        </w:rPr>
        <w:footnoteRef/>
      </w:r>
      <w:r w:rsidRPr="00F72783" w:rsidR="00F72783">
        <w:rPr>
          <w:sz w:val="24"/>
          <w:lang w:val="cs-CZ"/>
        </w:rPr>
        <w:t xml:space="preserve"> </w:t>
      </w:r>
      <w:r w:rsidRPr="00F72783" w:rsidR="00F72783">
        <w:rPr>
          <w:sz w:val="24"/>
          <w:lang w:val="cs-CZ"/>
        </w:rPr>
        <w:tab/>
      </w:r>
      <w:r w:rsidRPr="00F72783">
        <w:rPr>
          <w:sz w:val="24"/>
          <w:lang w:val="cs-CZ"/>
        </w:rPr>
        <w:t>Přijaté texty, P10_</w:t>
      </w:r>
      <w:r w:rsidRPr="00F72783">
        <w:rPr>
          <w:sz w:val="24"/>
          <w:lang w:val="cs-CZ"/>
        </w:rPr>
        <w:t>TA(</w:t>
      </w:r>
      <w:r w:rsidRPr="00F72783">
        <w:rPr>
          <w:sz w:val="24"/>
          <w:lang w:val="cs-CZ"/>
        </w:rPr>
        <w:t>2026)0077.</w:t>
      </w:r>
    </w:p>
  </w:footnote>
  <w:footnote w:id="8">
    <w:p w:rsidR="00CE2652" w:rsidRPr="00F72783" w:rsidP="00F72783" w14:paraId="71181609" w14:textId="287FF8AE">
      <w:pPr>
        <w:pStyle w:val="FootnoteText"/>
        <w:ind w:left="567" w:hanging="567"/>
        <w:rPr>
          <w:sz w:val="24"/>
          <w:lang w:val="cs-CZ"/>
        </w:rPr>
      </w:pPr>
      <w:r w:rsidRPr="00F72783">
        <w:rPr>
          <w:rStyle w:val="FootnoteReference"/>
          <w:sz w:val="24"/>
          <w:lang w:val="cs-CZ"/>
        </w:rPr>
        <w:footnoteRef/>
      </w:r>
      <w:r w:rsidRPr="00F72783" w:rsidR="00F72783">
        <w:rPr>
          <w:sz w:val="24"/>
          <w:lang w:val="cs-CZ"/>
        </w:rPr>
        <w:t xml:space="preserve"> </w:t>
      </w:r>
      <w:r w:rsidRPr="00F72783" w:rsidR="00F72783">
        <w:rPr>
          <w:sz w:val="24"/>
          <w:lang w:val="cs-CZ"/>
        </w:rPr>
        <w:tab/>
      </w:r>
      <w:r w:rsidRPr="00F72783">
        <w:rPr>
          <w:sz w:val="24"/>
          <w:lang w:val="cs-CZ"/>
        </w:rPr>
        <w:t>Směrnice Evropského parlamentu a Rady (EU) 2024/1069 ze dne 11. dubna 2024 o ochraně osob zapojených do účasti veřejnosti, před zjevně neopodstatněnými žalobními návrhy nebo zneužívajícími soudními řízeními („strategická soudní řízení proti účasti veřejnosti“) (</w:t>
      </w:r>
      <w:r w:rsidRPr="00F72783">
        <w:rPr>
          <w:sz w:val="24"/>
          <w:lang w:val="cs-CZ"/>
        </w:rPr>
        <w:t>Úř</w:t>
      </w:r>
      <w:r w:rsidRPr="00F72783">
        <w:rPr>
          <w:sz w:val="24"/>
          <w:lang w:val="cs-CZ"/>
        </w:rPr>
        <w:t>. </w:t>
      </w:r>
      <w:r w:rsidRPr="00F72783">
        <w:rPr>
          <w:sz w:val="24"/>
          <w:lang w:val="cs-CZ"/>
        </w:rPr>
        <w:t>věst</w:t>
      </w:r>
      <w:r w:rsidRPr="00F72783">
        <w:rPr>
          <w:sz w:val="24"/>
          <w:lang w:val="cs-CZ"/>
        </w:rPr>
        <w:t xml:space="preserve">. L, 2024/1069, 16.4.2024, ELI: </w:t>
      </w:r>
      <w:hyperlink r:id="rId5" w:history="1">
        <w:r w:rsidRPr="00F72783">
          <w:rPr>
            <w:rStyle w:val="Hyperlink"/>
            <w:sz w:val="24"/>
            <w:lang w:val="cs-CZ"/>
          </w:rPr>
          <w:t>http://data.europa.eu/eli/dir/2024/1069/oj</w:t>
        </w:r>
      </w:hyperlink>
      <w:r w:rsidRPr="00F72783">
        <w:rPr>
          <w:sz w:val="24"/>
          <w:lang w:val="cs-CZ"/>
        </w:rPr>
        <w:t xml:space="preserve">). </w:t>
      </w:r>
    </w:p>
  </w:footnote>
  <w:footnote w:id="9">
    <w:p w:rsidR="00CE2652" w:rsidRPr="00F72783" w:rsidP="00F72783" w14:paraId="44124A6F" w14:textId="24FAE1CD">
      <w:pPr>
        <w:pStyle w:val="FootnoteText"/>
        <w:ind w:left="567" w:hanging="567"/>
        <w:rPr>
          <w:sz w:val="24"/>
          <w:lang w:val="cs-CZ"/>
        </w:rPr>
      </w:pPr>
      <w:r w:rsidRPr="00F72783">
        <w:rPr>
          <w:rStyle w:val="FootnoteReference"/>
          <w:sz w:val="24"/>
          <w:lang w:val="cs-CZ"/>
        </w:rPr>
        <w:footnoteRef/>
      </w:r>
      <w:r w:rsidRPr="00F72783" w:rsidR="00F72783">
        <w:rPr>
          <w:sz w:val="24"/>
          <w:lang w:val="cs-CZ"/>
        </w:rPr>
        <w:t xml:space="preserve"> </w:t>
      </w:r>
      <w:r w:rsidRPr="00F72783" w:rsidR="00F72783">
        <w:rPr>
          <w:sz w:val="24"/>
          <w:lang w:val="cs-CZ"/>
        </w:rPr>
        <w:tab/>
      </w:r>
      <w:r w:rsidRPr="00F72783">
        <w:rPr>
          <w:sz w:val="24"/>
          <w:lang w:val="cs-CZ"/>
        </w:rPr>
        <w:t>Směrnice Evropského parlamentu a Rady 2011/92/EU ze dne 13. prosince 2011 o posuzování vlivů některých veřejných a soukromých záměrů na životní prostředí (</w:t>
      </w:r>
      <w:r w:rsidRPr="00F72783">
        <w:rPr>
          <w:sz w:val="24"/>
          <w:lang w:val="cs-CZ"/>
        </w:rPr>
        <w:t>Úř</w:t>
      </w:r>
      <w:r w:rsidRPr="00F72783">
        <w:rPr>
          <w:sz w:val="24"/>
          <w:lang w:val="cs-CZ"/>
        </w:rPr>
        <w:t>. </w:t>
      </w:r>
      <w:r w:rsidRPr="00F72783">
        <w:rPr>
          <w:sz w:val="24"/>
          <w:lang w:val="cs-CZ"/>
        </w:rPr>
        <w:t>věst</w:t>
      </w:r>
      <w:r w:rsidRPr="00F72783">
        <w:rPr>
          <w:sz w:val="24"/>
          <w:lang w:val="cs-CZ"/>
        </w:rPr>
        <w:t xml:space="preserve">. L 26, 28.1.2012, s. 1, ELI: </w:t>
      </w:r>
      <w:hyperlink r:id="rId6" w:history="1">
        <w:r w:rsidRPr="00F72783">
          <w:rPr>
            <w:rStyle w:val="Hyperlink"/>
            <w:sz w:val="24"/>
            <w:lang w:val="cs-CZ"/>
          </w:rPr>
          <w:t>http://data.europa.eu/eli/dir/2011/92/oj</w:t>
        </w:r>
      </w:hyperlink>
      <w:r w:rsidRPr="00F72783">
        <w:rPr>
          <w:sz w:val="24"/>
          <w:lang w:val="cs-CZ"/>
        </w:rPr>
        <w:t>).</w:t>
      </w:r>
    </w:p>
  </w:footnote>
  <w:footnote w:id="10">
    <w:p w:rsidR="00CE2652" w:rsidRPr="00F72783" w:rsidP="00F72783" w14:paraId="0CBE6536" w14:textId="0ED66296">
      <w:pPr>
        <w:pStyle w:val="FootnoteText"/>
        <w:ind w:left="567" w:hanging="567"/>
        <w:rPr>
          <w:sz w:val="24"/>
          <w:lang w:val="cs-CZ"/>
        </w:rPr>
      </w:pPr>
      <w:r w:rsidRPr="00F72783">
        <w:rPr>
          <w:rStyle w:val="FootnoteReference"/>
          <w:sz w:val="24"/>
          <w:lang w:val="cs-CZ"/>
        </w:rPr>
        <w:footnoteRef/>
      </w:r>
      <w:r w:rsidRPr="00F72783" w:rsidR="00F72783">
        <w:rPr>
          <w:sz w:val="24"/>
          <w:lang w:val="cs-CZ"/>
        </w:rPr>
        <w:t xml:space="preserve"> </w:t>
      </w:r>
      <w:r w:rsidRPr="00F72783" w:rsidR="00F72783">
        <w:rPr>
          <w:sz w:val="24"/>
          <w:lang w:val="cs-CZ"/>
        </w:rPr>
        <w:tab/>
      </w:r>
      <w:r w:rsidRPr="00F72783">
        <w:rPr>
          <w:sz w:val="24"/>
          <w:lang w:val="cs-CZ"/>
        </w:rPr>
        <w:t>Směrnice Evropského parlamentu a Rady 2001/42/ES ze dne 27. června 2001 o posuzování vlivů některých plánů a programů na životní prostředí (</w:t>
      </w:r>
      <w:r w:rsidRPr="00F72783">
        <w:rPr>
          <w:sz w:val="24"/>
          <w:lang w:val="cs-CZ"/>
        </w:rPr>
        <w:t>Úř</w:t>
      </w:r>
      <w:r w:rsidRPr="00F72783">
        <w:rPr>
          <w:sz w:val="24"/>
          <w:lang w:val="cs-CZ"/>
        </w:rPr>
        <w:t xml:space="preserve">. </w:t>
      </w:r>
      <w:r w:rsidRPr="00F72783">
        <w:rPr>
          <w:sz w:val="24"/>
          <w:lang w:val="cs-CZ"/>
        </w:rPr>
        <w:t>věst</w:t>
      </w:r>
      <w:r w:rsidRPr="00F72783">
        <w:rPr>
          <w:sz w:val="24"/>
          <w:lang w:val="cs-CZ"/>
        </w:rPr>
        <w:t xml:space="preserve">. L 197, 21.7.2001, s. 30, http://data.europa.eu/eli/dir/2001/42/oj). </w:t>
      </w:r>
      <w:hyperlink r:id="rId7" w:history="1">
        <w:r w:rsidRPr="00F72783">
          <w:rPr>
            <w:rStyle w:val="Hyperlink"/>
            <w:sz w:val="24"/>
            <w:lang w:val="cs-CZ"/>
          </w:rPr>
          <w:t>http://data.europa.eu/eli/dir/2001/42/oj</w:t>
        </w:r>
      </w:hyperlink>
      <w:r w:rsidRPr="00F72783">
        <w:rPr>
          <w:sz w:val="24"/>
          <w:lang w:val="cs-CZ"/>
        </w:rPr>
        <w:t xml:space="preserve">). </w:t>
      </w:r>
    </w:p>
  </w:footnote>
  <w:footnote w:id="11">
    <w:p w:rsidR="00CE2652" w:rsidRPr="00F72783" w:rsidP="00F72783" w14:paraId="7F3D76C5" w14:textId="3BE6B4A9">
      <w:pPr>
        <w:ind w:left="567" w:hanging="567"/>
      </w:pPr>
      <w:r w:rsidRPr="00F72783">
        <w:rPr>
          <w:rStyle w:val="FootnoteReference"/>
        </w:rPr>
        <w:footnoteRef/>
      </w:r>
      <w:r w:rsidRPr="00F72783" w:rsidR="00F72783">
        <w:t xml:space="preserve"> </w:t>
      </w:r>
      <w:r w:rsidRPr="00F72783" w:rsidR="00F72783">
        <w:tab/>
      </w:r>
      <w:r w:rsidRPr="00F72783">
        <w:t>Směrnice Rady 92/43/EHS ze dne 21. května 1992 o ochraně přírodních stanovišť, volně žijících živočichů a planě rostoucích rostlin (</w:t>
      </w:r>
      <w:r w:rsidRPr="00F72783">
        <w:t>Úř</w:t>
      </w:r>
      <w:r w:rsidRPr="00F72783">
        <w:t>. </w:t>
      </w:r>
      <w:r w:rsidRPr="00F72783">
        <w:t>věst</w:t>
      </w:r>
      <w:r w:rsidRPr="00F72783">
        <w:t xml:space="preserve">. L 206, 22.7.1992, s. 7, ELI: </w:t>
      </w:r>
      <w:hyperlink r:id="rId8" w:history="1">
        <w:r w:rsidRPr="00F72783">
          <w:rPr>
            <w:rStyle w:val="Hyperlink"/>
          </w:rPr>
          <w:t>http://data.europa.eu/eli/dir/1992/43/oj</w:t>
        </w:r>
      </w:hyperlink>
      <w:r w:rsidRPr="00F72783">
        <w:t xml:space="preserve">). </w:t>
      </w:r>
    </w:p>
  </w:footnote>
  <w:footnote w:id="12">
    <w:p w:rsidR="00CE2652" w:rsidRPr="00F72783" w:rsidP="00F72783" w14:paraId="74025F92" w14:textId="495EBFD5">
      <w:pPr>
        <w:pStyle w:val="FootnoteText"/>
        <w:ind w:left="567" w:hanging="567"/>
        <w:rPr>
          <w:sz w:val="24"/>
          <w:lang w:val="cs-CZ"/>
        </w:rPr>
      </w:pPr>
      <w:r w:rsidRPr="00F72783">
        <w:rPr>
          <w:rStyle w:val="FootnoteReference"/>
          <w:sz w:val="24"/>
          <w:lang w:val="cs-CZ"/>
        </w:rPr>
        <w:footnoteRef/>
      </w:r>
      <w:r w:rsidRPr="00F72783" w:rsidR="00F72783">
        <w:rPr>
          <w:sz w:val="24"/>
          <w:lang w:val="cs-CZ"/>
        </w:rPr>
        <w:t xml:space="preserve"> </w:t>
      </w:r>
      <w:r w:rsidRPr="00F72783" w:rsidR="00F72783">
        <w:rPr>
          <w:sz w:val="24"/>
          <w:lang w:val="cs-CZ"/>
        </w:rPr>
        <w:tab/>
      </w:r>
      <w:r w:rsidRPr="00F72783">
        <w:rPr>
          <w:sz w:val="24"/>
          <w:lang w:val="cs-CZ"/>
        </w:rPr>
        <w:t>Směrnice Evropského parlamentu a Rady 2009/147/ES ze dne 30. listopadu 2009 o ochraně volně žijících ptáků (</w:t>
      </w:r>
      <w:r w:rsidRPr="00F72783">
        <w:rPr>
          <w:sz w:val="24"/>
          <w:lang w:val="cs-CZ"/>
        </w:rPr>
        <w:t>Úř</w:t>
      </w:r>
      <w:r w:rsidRPr="00F72783">
        <w:rPr>
          <w:sz w:val="24"/>
          <w:lang w:val="cs-CZ"/>
        </w:rPr>
        <w:t xml:space="preserve">. </w:t>
      </w:r>
      <w:r w:rsidRPr="00F72783">
        <w:rPr>
          <w:sz w:val="24"/>
          <w:lang w:val="cs-CZ"/>
        </w:rPr>
        <w:t>věst</w:t>
      </w:r>
      <w:r w:rsidRPr="00F72783">
        <w:rPr>
          <w:sz w:val="24"/>
          <w:lang w:val="cs-CZ"/>
        </w:rPr>
        <w:t xml:space="preserve">. L 20, 26.1.2010, s. 7, ELI: </w:t>
      </w:r>
      <w:hyperlink r:id="rId9" w:history="1">
        <w:r w:rsidRPr="00F72783">
          <w:rPr>
            <w:rStyle w:val="Hyperlink"/>
            <w:sz w:val="24"/>
            <w:lang w:val="cs-CZ"/>
          </w:rPr>
          <w:t>http://data.europa.eu/eli/dir/2009/147/oj</w:t>
        </w:r>
      </w:hyperlink>
      <w:r w:rsidRPr="00F72783">
        <w:rPr>
          <w:sz w:val="24"/>
          <w:lang w:val="cs-CZ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72783" w14:paraId="7B798D1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72783" w14:paraId="1C40C38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72783" w14:paraId="2D010AF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7694875">
    <w:abstractNumId w:val="9"/>
  </w:num>
  <w:num w:numId="2" w16cid:durableId="296179759">
    <w:abstractNumId w:val="9"/>
  </w:num>
  <w:num w:numId="3" w16cid:durableId="1480733945">
    <w:abstractNumId w:val="7"/>
  </w:num>
  <w:num w:numId="4" w16cid:durableId="334847982">
    <w:abstractNumId w:val="7"/>
  </w:num>
  <w:num w:numId="5" w16cid:durableId="1328750944">
    <w:abstractNumId w:val="6"/>
  </w:num>
  <w:num w:numId="6" w16cid:durableId="1829055519">
    <w:abstractNumId w:val="6"/>
  </w:num>
  <w:num w:numId="7" w16cid:durableId="855000248">
    <w:abstractNumId w:val="5"/>
  </w:num>
  <w:num w:numId="8" w16cid:durableId="989405365">
    <w:abstractNumId w:val="5"/>
  </w:num>
  <w:num w:numId="9" w16cid:durableId="1535194021">
    <w:abstractNumId w:val="4"/>
  </w:num>
  <w:num w:numId="10" w16cid:durableId="571889702">
    <w:abstractNumId w:val="4"/>
  </w:num>
  <w:num w:numId="11" w16cid:durableId="1505586959">
    <w:abstractNumId w:val="8"/>
  </w:num>
  <w:num w:numId="12" w16cid:durableId="122188687">
    <w:abstractNumId w:val="8"/>
  </w:num>
  <w:num w:numId="13" w16cid:durableId="763454996">
    <w:abstractNumId w:val="3"/>
  </w:num>
  <w:num w:numId="14" w16cid:durableId="1559244991">
    <w:abstractNumId w:val="3"/>
  </w:num>
  <w:num w:numId="15" w16cid:durableId="182671484">
    <w:abstractNumId w:val="2"/>
  </w:num>
  <w:num w:numId="16" w16cid:durableId="659693274">
    <w:abstractNumId w:val="2"/>
  </w:num>
  <w:num w:numId="17" w16cid:durableId="1097091586">
    <w:abstractNumId w:val="1"/>
  </w:num>
  <w:num w:numId="18" w16cid:durableId="209726416">
    <w:abstractNumId w:val="1"/>
  </w:num>
  <w:num w:numId="19" w16cid:durableId="1000547164">
    <w:abstractNumId w:val="0"/>
  </w:num>
  <w:num w:numId="20" w16cid:durableId="707950859">
    <w:abstractNumId w:val="0"/>
  </w:num>
  <w:num w:numId="21" w16cid:durableId="151724450">
    <w:abstractNumId w:val="9"/>
  </w:num>
  <w:num w:numId="22" w16cid:durableId="1378166026">
    <w:abstractNumId w:val="7"/>
  </w:num>
  <w:num w:numId="23" w16cid:durableId="1288777551">
    <w:abstractNumId w:val="6"/>
  </w:num>
  <w:num w:numId="24" w16cid:durableId="716245729">
    <w:abstractNumId w:val="5"/>
  </w:num>
  <w:num w:numId="25" w16cid:durableId="33123193">
    <w:abstractNumId w:val="4"/>
  </w:num>
  <w:num w:numId="26" w16cid:durableId="479277185">
    <w:abstractNumId w:val="8"/>
  </w:num>
  <w:num w:numId="27" w16cid:durableId="1130437274">
    <w:abstractNumId w:val="3"/>
  </w:num>
  <w:num w:numId="28" w16cid:durableId="1239901346">
    <w:abstractNumId w:val="2"/>
  </w:num>
  <w:num w:numId="29" w16cid:durableId="1468624575">
    <w:abstractNumId w:val="1"/>
  </w:num>
  <w:num w:numId="30" w16cid:durableId="1763448382">
    <w:abstractNumId w:val="0"/>
  </w:num>
  <w:num w:numId="31" w16cid:durableId="800996911">
    <w:abstractNumId w:val="9"/>
  </w:num>
  <w:num w:numId="32" w16cid:durableId="235284469">
    <w:abstractNumId w:val="7"/>
  </w:num>
  <w:num w:numId="33" w16cid:durableId="1917931335">
    <w:abstractNumId w:val="6"/>
  </w:num>
  <w:num w:numId="34" w16cid:durableId="86469484">
    <w:abstractNumId w:val="5"/>
  </w:num>
  <w:num w:numId="35" w16cid:durableId="1781101726">
    <w:abstractNumId w:val="4"/>
  </w:num>
  <w:num w:numId="36" w16cid:durableId="93668355">
    <w:abstractNumId w:val="8"/>
  </w:num>
  <w:num w:numId="37" w16cid:durableId="1913660908">
    <w:abstractNumId w:val="3"/>
  </w:num>
  <w:num w:numId="38" w16cid:durableId="632053764">
    <w:abstractNumId w:val="2"/>
  </w:num>
  <w:num w:numId="39" w16cid:durableId="1657952611">
    <w:abstractNumId w:val="1"/>
  </w:num>
  <w:num w:numId="40" w16cid:durableId="196282616">
    <w:abstractNumId w:val="0"/>
  </w:num>
  <w:num w:numId="41" w16cid:durableId="30620511">
    <w:abstractNumId w:val="10"/>
  </w:num>
  <w:num w:numId="42" w16cid:durableId="1385594658">
    <w:abstractNumId w:val="10"/>
  </w:num>
  <w:num w:numId="43" w16cid:durableId="1549143818">
    <w:abstractNumId w:val="10"/>
  </w:num>
  <w:num w:numId="44" w16cid:durableId="11712126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48E"/>
    <w:rsid w:val="00002272"/>
    <w:rsid w:val="00064002"/>
    <w:rsid w:val="000677B9"/>
    <w:rsid w:val="000831BA"/>
    <w:rsid w:val="000A42CC"/>
    <w:rsid w:val="000E7DD9"/>
    <w:rsid w:val="0010095E"/>
    <w:rsid w:val="00125B37"/>
    <w:rsid w:val="00183CA6"/>
    <w:rsid w:val="00187494"/>
    <w:rsid w:val="001F32AE"/>
    <w:rsid w:val="002767FF"/>
    <w:rsid w:val="002B18FE"/>
    <w:rsid w:val="002B5493"/>
    <w:rsid w:val="00343214"/>
    <w:rsid w:val="00361C00"/>
    <w:rsid w:val="00361E0D"/>
    <w:rsid w:val="0036415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748E"/>
    <w:rsid w:val="005C2568"/>
    <w:rsid w:val="005F1B17"/>
    <w:rsid w:val="006037C0"/>
    <w:rsid w:val="006631B6"/>
    <w:rsid w:val="00680577"/>
    <w:rsid w:val="006B7138"/>
    <w:rsid w:val="006F74FA"/>
    <w:rsid w:val="00731ADD"/>
    <w:rsid w:val="00734777"/>
    <w:rsid w:val="00747932"/>
    <w:rsid w:val="00751A4A"/>
    <w:rsid w:val="00756632"/>
    <w:rsid w:val="007606A1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9E3"/>
    <w:rsid w:val="00930C23"/>
    <w:rsid w:val="0093147A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CBD"/>
    <w:rsid w:val="00B3727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DEC"/>
    <w:rsid w:val="00CE2652"/>
    <w:rsid w:val="00CF071A"/>
    <w:rsid w:val="00CF700B"/>
    <w:rsid w:val="00D058B8"/>
    <w:rsid w:val="00D56C11"/>
    <w:rsid w:val="00D8140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33AF"/>
    <w:rsid w:val="00F149E9"/>
    <w:rsid w:val="00F219B4"/>
    <w:rsid w:val="00F5134D"/>
    <w:rsid w:val="00F72783"/>
    <w:rsid w:val="00F74202"/>
    <w:rsid w:val="00F87713"/>
    <w:rsid w:val="00FB4360"/>
    <w:rsid w:val="00FD0C70"/>
  </w:rsids>
  <w:docVars>
    <w:docVar w:name="dvdocse" w:val="A10-0162/2026"/>
    <w:docVar w:name="dvlangue" w:val="CS"/>
    <w:docVar w:name="dvnumam" w:val="0"/>
    <w:docVar w:name="dvpe" w:val="784.260"/>
    <w:docVar w:name="dvrapporteur" w:val="Zpravodaj: "/>
    <w:docVar w:name="dvtitre" w:val="Usnesení Evropského parlamentu ze dne 17. června 2026 o zprávě Komise o Severní Makedonii za rok 2025(2025/2254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BC37608"/>
  <w15:chartTrackingRefBased/>
  <w15:docId w15:val="{CE383A86-E782-458D-A476-CBEE081A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E2652"/>
    <w:pPr>
      <w:spacing w:after="240"/>
      <w:ind w:left="567" w:hanging="567"/>
    </w:pPr>
  </w:style>
  <w:style w:type="paragraph" w:customStyle="1" w:styleId="EPComma">
    <w:name w:val="EPComma"/>
    <w:basedOn w:val="Normal"/>
    <w:rsid w:val="00CE2652"/>
    <w:pPr>
      <w:spacing w:before="480" w:after="240"/>
    </w:pPr>
  </w:style>
  <w:style w:type="character" w:styleId="Hyperlink">
    <w:name w:val="Hyperlink"/>
    <w:basedOn w:val="DefaultParagraphFont"/>
    <w:rsid w:val="00CE265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CE2652"/>
    <w:rPr>
      <w:sz w:val="24"/>
      <w:lang w:val="cs-CZ"/>
    </w:rPr>
  </w:style>
  <w:style w:type="paragraph" w:styleId="Revision">
    <w:name w:val="Revision"/>
    <w:hidden/>
    <w:uiPriority w:val="99"/>
    <w:semiHidden/>
    <w:rsid w:val="00B27CBD"/>
    <w:rPr>
      <w:sz w:val="24"/>
      <w:lang w:val="cs-CZ"/>
    </w:rPr>
  </w:style>
  <w:style w:type="character" w:styleId="CommentReference">
    <w:name w:val="annotation reference"/>
    <w:basedOn w:val="DefaultParagraphFont"/>
    <w:rsid w:val="008F29E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F29E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F29E3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8F29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F29E3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04/239(2)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C/2024/6746/oj" TargetMode="External" /><Relationship Id="rId5" Type="http://schemas.openxmlformats.org/officeDocument/2006/relationships/hyperlink" Target="http://data.europa.eu/eli/dir/2024/1069/oj" TargetMode="External" /><Relationship Id="rId6" Type="http://schemas.openxmlformats.org/officeDocument/2006/relationships/hyperlink" Target="http://data.europa.eu/eli/dir/2011/92/oj" TargetMode="External" /><Relationship Id="rId7" Type="http://schemas.openxmlformats.org/officeDocument/2006/relationships/hyperlink" Target="http://data.europa.eu/eli/dir/2001/42/oj" TargetMode="External" /><Relationship Id="rId8" Type="http://schemas.openxmlformats.org/officeDocument/2006/relationships/hyperlink" Target="http://data.europa.eu/eli/dir/1992/43/oj" TargetMode="External" /><Relationship Id="rId9" Type="http://schemas.openxmlformats.org/officeDocument/2006/relationships/hyperlink" Target="http://data.europa.eu/eli/dir/2009/147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6646</Words>
  <Characters>40964</Characters>
  <Application>Microsoft Office Word</Application>
  <DocSecurity>0</DocSecurity>
  <Lines>341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2026-06-17T14:31:00Z</dcterms:created>
  <dcterms:modified xsi:type="dcterms:W3CDTF">2026-06-17T14:31:00Z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A10-0162/2026</vt:lpwstr>
  </property>
  <property fmtid="{D5CDD505-2E9C-101B-9397-08002B2CF9AE}" pid="4" name="&lt;Type&gt;">
    <vt:lpwstr>RR</vt:lpwstr>
  </property>
</Properties>
</file>