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62C365" w14:textId="77777777" w:rsidTr="0010095E">
        <w:tblPrEx>
          <w:tblW w:w="9072" w:type="dxa"/>
          <w:tblLook w:val="01E0"/>
        </w:tblPrEx>
        <w:trPr>
          <w:trHeight w:hRule="exact" w:val="1418"/>
        </w:trPr>
        <w:tc>
          <w:tcPr>
            <w:tcW w:w="6804" w:type="dxa"/>
            <w:shd w:val="clear" w:color="auto" w:fill="auto"/>
            <w:vAlign w:val="center"/>
          </w:tcPr>
          <w:p w:rsidR="00751A4A" w:rsidRPr="00D22AB1" w:rsidP="0010095E" w14:paraId="0F313E77" w14:textId="7DB7C26E">
            <w:pPr>
              <w:pStyle w:val="EPName"/>
            </w:pPr>
            <w:r w:rsidRPr="00D22AB1">
              <w:t>Europa-Parlamentet</w:t>
            </w:r>
          </w:p>
          <w:p w:rsidR="00751A4A" w:rsidRPr="00D22AB1" w:rsidP="005F1B17" w14:paraId="6F361E4A" w14:textId="39A7E9FA">
            <w:pPr>
              <w:pStyle w:val="EPTerm"/>
              <w:rPr>
                <w:rStyle w:val="HideTWBExt"/>
                <w:noProof w:val="0"/>
                <w:vanish w:val="0"/>
                <w:color w:val="auto"/>
              </w:rPr>
            </w:pPr>
            <w:r w:rsidRPr="00D22AB1">
              <w:t>2024</w:t>
            </w:r>
            <w:r w:rsidRPr="00D22AB1" w:rsidR="00817416">
              <w:t>-</w:t>
            </w:r>
            <w:r w:rsidRPr="00D22AB1">
              <w:t>2029</w:t>
            </w:r>
          </w:p>
        </w:tc>
        <w:tc>
          <w:tcPr>
            <w:tcW w:w="2268" w:type="dxa"/>
            <w:shd w:val="clear" w:color="auto" w:fill="auto"/>
          </w:tcPr>
          <w:p w:rsidR="00751A4A" w:rsidRPr="00D22AB1" w:rsidP="0010095E" w14:paraId="0A34EC88" w14:textId="77777777">
            <w:pPr>
              <w:pStyle w:val="EPLogo"/>
            </w:pPr>
            <w:r w:rsidRPr="00D22AB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22AB1" w:rsidP="004C5D52" w14:paraId="06EED70E" w14:textId="77777777">
      <w:pPr>
        <w:pStyle w:val="LineTop"/>
      </w:pPr>
    </w:p>
    <w:p w:rsidR="00680577" w:rsidRPr="00D22AB1" w:rsidP="00680577" w14:paraId="13BCF401" w14:textId="729E5BD5">
      <w:pPr>
        <w:pStyle w:val="EPBodyTA1"/>
      </w:pPr>
      <w:r w:rsidRPr="00D22AB1">
        <w:t>VEDTAGNE TEKSTER</w:t>
      </w:r>
    </w:p>
    <w:p w:rsidR="00D058B8" w:rsidRPr="00D22AB1" w:rsidP="00D058B8" w14:paraId="52E97B84" w14:textId="77777777">
      <w:pPr>
        <w:pStyle w:val="LineBottom"/>
      </w:pPr>
    </w:p>
    <w:p w:rsidR="00B22943" w:rsidRPr="00D22AB1" w:rsidP="00B22943" w14:paraId="2631B554" w14:textId="3C8C4FA7">
      <w:pPr>
        <w:pStyle w:val="ATHeading1"/>
      </w:pPr>
      <w:bookmarkStart w:id="0" w:name="TANumber"/>
      <w:r w:rsidRPr="00D22AB1">
        <w:t>P</w:t>
      </w:r>
      <w:r w:rsidRPr="00D22AB1" w:rsidR="00EE528C">
        <w:t>10</w:t>
      </w:r>
      <w:r w:rsidRPr="00D22AB1">
        <w:t>_TA(</w:t>
      </w:r>
      <w:r w:rsidRPr="00D22AB1" w:rsidR="00EE528C">
        <w:t>2026</w:t>
      </w:r>
      <w:r w:rsidRPr="00D22AB1">
        <w:t>)</w:t>
      </w:r>
      <w:r w:rsidRPr="00D22AB1" w:rsidR="00EE528C">
        <w:t>0</w:t>
      </w:r>
      <w:r w:rsidR="001D3F72">
        <w:t>218</w:t>
      </w:r>
      <w:bookmarkEnd w:id="0"/>
    </w:p>
    <w:p w:rsidR="00B22943" w:rsidRPr="00D22AB1" w:rsidP="00B22943" w14:paraId="17D8A2BF" w14:textId="27FC8621">
      <w:pPr>
        <w:pStyle w:val="ATHeading2"/>
      </w:pPr>
      <w:bookmarkStart w:id="1" w:name="title"/>
      <w:r w:rsidRPr="00D22AB1">
        <w:t xml:space="preserve">Kommissionens </w:t>
      </w:r>
      <w:r w:rsidRPr="00D22AB1" w:rsidR="00EE528C">
        <w:t>2025</w:t>
      </w:r>
      <w:r w:rsidRPr="00D22AB1">
        <w:t>-rapport om Nordmakedonien</w:t>
      </w:r>
      <w:bookmarkEnd w:id="1"/>
    </w:p>
    <w:p w:rsidR="00B22943" w:rsidRPr="00D22AB1" w:rsidP="00B22943" w14:paraId="67E4D85E" w14:textId="4FEFF0FB">
      <w:pPr>
        <w:rPr>
          <w:i/>
          <w:vanish/>
        </w:rPr>
      </w:pPr>
      <w:r>
        <w:rPr>
          <w:i/>
        </w:rPr>
        <w:fldChar w:fldCharType="begin"/>
      </w:r>
      <w:r w:rsidRPr="00D22AB1">
        <w:rPr>
          <w:i/>
        </w:rPr>
        <w:instrText xml:space="preserve"> TC"(</w:instrText>
      </w:r>
      <w:bookmarkStart w:id="2" w:name="DocNumber"/>
      <w:r w:rsidRPr="00D22AB1">
        <w:rPr>
          <w:i/>
        </w:rPr>
        <w:instrText>A</w:instrText>
      </w:r>
      <w:r w:rsidRPr="00D22AB1" w:rsidR="00EE528C">
        <w:rPr>
          <w:i/>
        </w:rPr>
        <w:instrText>10</w:instrText>
      </w:r>
      <w:r w:rsidRPr="00D22AB1">
        <w:rPr>
          <w:i/>
        </w:rPr>
        <w:instrText>-</w:instrText>
      </w:r>
      <w:r w:rsidRPr="00D22AB1" w:rsidR="00EE528C">
        <w:rPr>
          <w:i/>
        </w:rPr>
        <w:instrText>0162</w:instrText>
      </w:r>
      <w:r w:rsidRPr="00D22AB1">
        <w:rPr>
          <w:i/>
        </w:rPr>
        <w:instrText>/</w:instrText>
      </w:r>
      <w:r w:rsidRPr="00D22AB1" w:rsidR="00EE528C">
        <w:rPr>
          <w:i/>
        </w:rPr>
        <w:instrText>20</w:instrText>
      </w:r>
      <w:bookmarkEnd w:id="2"/>
      <w:r w:rsidRPr="00D22AB1" w:rsidR="00EE528C">
        <w:rPr>
          <w:i/>
        </w:rPr>
        <w:instrText>26</w:instrText>
      </w:r>
      <w:r w:rsidRPr="00D22AB1">
        <w:rPr>
          <w:i/>
        </w:rPr>
        <w:instrText xml:space="preserve"> - Ordfører: Thomas </w:instrText>
      </w:r>
      <w:r w:rsidRPr="00D22AB1">
        <w:rPr>
          <w:i/>
        </w:rPr>
        <w:instrText>Waitz</w:instrText>
      </w:r>
      <w:r w:rsidRPr="00D22AB1">
        <w:rPr>
          <w:i/>
        </w:rPr>
        <w:instrText>)"\l</w:instrText>
      </w:r>
      <w:r w:rsidRPr="00D22AB1" w:rsidR="00EE528C">
        <w:rPr>
          <w:i/>
        </w:rPr>
        <w:instrText>3</w:instrText>
      </w:r>
      <w:r w:rsidRPr="00D22AB1">
        <w:rPr>
          <w:i/>
        </w:rPr>
        <w:instrText xml:space="preserve"> \n&gt; \* MERGEFORMAT </w:instrText>
      </w:r>
      <w:r>
        <w:rPr>
          <w:i/>
        </w:rPr>
        <w:fldChar w:fldCharType="end"/>
      </w:r>
    </w:p>
    <w:p w:rsidR="00B22943" w:rsidRPr="00D22AB1" w:rsidP="00B22943" w14:paraId="07008020" w14:textId="77777777">
      <w:pPr>
        <w:rPr>
          <w:vanish/>
        </w:rPr>
      </w:pPr>
      <w:bookmarkStart w:id="3" w:name="Commission"/>
      <w:r w:rsidRPr="00D22AB1">
        <w:rPr>
          <w:vanish/>
        </w:rPr>
        <w:t>Udenrigsudvalget</w:t>
      </w:r>
      <w:bookmarkEnd w:id="3"/>
    </w:p>
    <w:p w:rsidR="00B22943" w:rsidRPr="00D22AB1" w:rsidP="00B22943" w14:paraId="6AD4F434" w14:textId="1824441C">
      <w:pPr>
        <w:rPr>
          <w:vanish/>
        </w:rPr>
      </w:pPr>
      <w:bookmarkStart w:id="4" w:name="PE"/>
      <w:r w:rsidRPr="00D22AB1">
        <w:rPr>
          <w:vanish/>
        </w:rPr>
        <w:t>PE</w:t>
      </w:r>
      <w:r w:rsidRPr="00D22AB1" w:rsidR="00EE528C">
        <w:rPr>
          <w:vanish/>
        </w:rPr>
        <w:t>784</w:t>
      </w:r>
      <w:r w:rsidRPr="00D22AB1">
        <w:rPr>
          <w:vanish/>
        </w:rPr>
        <w:t>.</w:t>
      </w:r>
      <w:r w:rsidRPr="00D22AB1" w:rsidR="00EE528C">
        <w:rPr>
          <w:vanish/>
        </w:rPr>
        <w:t>2</w:t>
      </w:r>
      <w:bookmarkEnd w:id="4"/>
      <w:r w:rsidRPr="00D22AB1" w:rsidR="00EE528C">
        <w:rPr>
          <w:vanish/>
        </w:rPr>
        <w:t>60</w:t>
      </w:r>
    </w:p>
    <w:p w:rsidR="00B22943" w:rsidRPr="00D22AB1" w:rsidP="00B22943" w14:paraId="1088D020" w14:textId="22ED82DD">
      <w:pPr>
        <w:pStyle w:val="ATHeading3"/>
      </w:pPr>
      <w:bookmarkStart w:id="5" w:name="Sujet"/>
      <w:r w:rsidRPr="00D22AB1">
        <w:t xml:space="preserve">Europa-Parlamentets beslutning af </w:t>
      </w:r>
      <w:r w:rsidRPr="00D22AB1" w:rsidR="00EE528C">
        <w:t>17</w:t>
      </w:r>
      <w:r w:rsidRPr="00D22AB1">
        <w:t xml:space="preserve">. juni </w:t>
      </w:r>
      <w:r w:rsidRPr="00D22AB1" w:rsidR="00EE528C">
        <w:t>2026</w:t>
      </w:r>
      <w:r w:rsidRPr="00D22AB1">
        <w:t xml:space="preserve"> om Kommissionens </w:t>
      </w:r>
      <w:r w:rsidRPr="00D22AB1" w:rsidR="00EE528C">
        <w:t>2025</w:t>
      </w:r>
      <w:r w:rsidRPr="00D22AB1">
        <w:t>-rapport om Nordmakedonien</w:t>
      </w:r>
      <w:bookmarkEnd w:id="5"/>
      <w:r w:rsidRPr="00D22AB1">
        <w:t xml:space="preserve"> </w:t>
      </w:r>
      <w:bookmarkStart w:id="6" w:name="References"/>
      <w:r w:rsidRPr="00D22AB1">
        <w:t>(</w:t>
      </w:r>
      <w:r w:rsidRPr="00D22AB1" w:rsidR="00EE528C">
        <w:t>2025</w:t>
      </w:r>
      <w:r w:rsidRPr="00D22AB1">
        <w:t>/</w:t>
      </w:r>
      <w:r w:rsidRPr="00D22AB1" w:rsidR="00EE528C">
        <w:t>2254</w:t>
      </w:r>
      <w:r w:rsidRPr="00D22AB1">
        <w:t>(INI))</w:t>
      </w:r>
      <w:bookmarkEnd w:id="6"/>
    </w:p>
    <w:p w:rsidR="00D561A2" w:rsidRPr="00D22AB1" w:rsidP="00D561A2" w14:paraId="5BE17EA8" w14:textId="77777777">
      <w:pPr>
        <w:pStyle w:val="EPComma"/>
      </w:pPr>
      <w:r w:rsidRPr="00D22AB1">
        <w:rPr>
          <w:i/>
        </w:rPr>
        <w:t>Europa-Parlamentet</w:t>
      </w:r>
      <w:r w:rsidRPr="00D22AB1">
        <w:t>,</w:t>
      </w:r>
    </w:p>
    <w:p w:rsidR="00D561A2" w:rsidRPr="00D22AB1" w:rsidP="00D561A2" w14:paraId="74C4DCFA" w14:textId="77777777">
      <w:pPr>
        <w:pStyle w:val="NormalHanging12a"/>
      </w:pPr>
      <w:r w:rsidRPr="00D22AB1">
        <w:t>–</w:t>
      </w:r>
      <w:r w:rsidRPr="00D22AB1">
        <w:tab/>
        <w:t>der henviser til stabiliserings- og associeringsaftalen mellem De Europæiske Fællesskaber og deres medlemsstater på den ene side og Republikken Nordmakedonien på den anden side</w:t>
      </w:r>
      <w:r>
        <w:rPr>
          <w:vertAlign w:val="superscript"/>
        </w:rPr>
        <w:footnoteReference w:id="2"/>
      </w:r>
      <w:r w:rsidRPr="00D22AB1">
        <w:t>,</w:t>
      </w:r>
    </w:p>
    <w:p w:rsidR="00D561A2" w:rsidRPr="00D22AB1" w:rsidP="00D561A2" w14:paraId="3F5E5CE1" w14:textId="7A984201">
      <w:pPr>
        <w:pStyle w:val="NormalHanging12a"/>
      </w:pPr>
      <w:r w:rsidRPr="00D22AB1">
        <w:t>–</w:t>
      </w:r>
      <w:r w:rsidRPr="00D22AB1">
        <w:tab/>
        <w:t xml:space="preserve">der henviser til Nordmakedoniens ansøgning om medlemskab af Den Europæiske Union, som blev indgivet den </w:t>
      </w:r>
      <w:r w:rsidRPr="00D22AB1" w:rsidR="00EE528C">
        <w:t>22</w:t>
      </w:r>
      <w:r w:rsidRPr="00D22AB1">
        <w:t>. marts </w:t>
      </w:r>
      <w:r w:rsidRPr="00D22AB1" w:rsidR="00EE528C">
        <w:t>2004</w:t>
      </w:r>
      <w:r w:rsidRPr="00D22AB1">
        <w:t>,</w:t>
      </w:r>
    </w:p>
    <w:p w:rsidR="00D561A2" w:rsidRPr="00D22AB1" w:rsidP="00D561A2" w14:paraId="221DF989" w14:textId="233CCE1A">
      <w:pPr>
        <w:pStyle w:val="NormalHanging12a"/>
      </w:pPr>
      <w:r w:rsidRPr="00D22AB1">
        <w:t>–</w:t>
      </w:r>
      <w:r w:rsidRPr="00D22AB1">
        <w:tab/>
        <w:t xml:space="preserve">der henviser til Det Europæiske Råds beslutning af </w:t>
      </w:r>
      <w:r w:rsidRPr="00D22AB1" w:rsidR="00EE528C">
        <w:t>16</w:t>
      </w:r>
      <w:r w:rsidRPr="00D22AB1">
        <w:t>. december </w:t>
      </w:r>
      <w:r w:rsidRPr="00D22AB1" w:rsidR="00EE528C">
        <w:t>2005</w:t>
      </w:r>
      <w:r w:rsidRPr="00D22AB1">
        <w:t xml:space="preserve"> om at give Nordmakedonien status som kandidatland til medlemskab af EU,</w:t>
      </w:r>
    </w:p>
    <w:p w:rsidR="00D561A2" w:rsidRPr="00D22AB1" w:rsidP="00D561A2" w14:paraId="72FAAF6B" w14:textId="175B39BB">
      <w:pPr>
        <w:spacing w:after="240"/>
        <w:ind w:left="567" w:hanging="567"/>
        <w:rPr>
          <w:bCs/>
          <w:iCs/>
        </w:rPr>
      </w:pPr>
      <w:r w:rsidRPr="00D22AB1">
        <w:t>–</w:t>
      </w:r>
      <w:r w:rsidRPr="00D22AB1">
        <w:tab/>
        <w:t xml:space="preserve">der henviser til Rådets konklusioner af </w:t>
      </w:r>
      <w:r w:rsidRPr="00D22AB1" w:rsidR="00EE528C">
        <w:t>18</w:t>
      </w:r>
      <w:r w:rsidRPr="00D22AB1">
        <w:t xml:space="preserve">. juli </w:t>
      </w:r>
      <w:r w:rsidRPr="00D22AB1" w:rsidR="00EE528C">
        <w:t>2022</w:t>
      </w:r>
      <w:r w:rsidRPr="00D22AB1">
        <w:t xml:space="preserve"> om udvidelse – Nordmakedonien og Albanien og af </w:t>
      </w:r>
      <w:r w:rsidRPr="00D22AB1" w:rsidR="00EE528C">
        <w:t>17</w:t>
      </w:r>
      <w:r w:rsidRPr="00D22AB1">
        <w:t xml:space="preserve">. december </w:t>
      </w:r>
      <w:r w:rsidRPr="00D22AB1" w:rsidR="00EE528C">
        <w:t>2024</w:t>
      </w:r>
      <w:r w:rsidRPr="00D22AB1">
        <w:t xml:space="preserve"> om udvidelsen,</w:t>
      </w:r>
    </w:p>
    <w:p w:rsidR="00D561A2" w:rsidRPr="00D22AB1" w:rsidP="00D561A2" w14:paraId="162893FC" w14:textId="4BCD22CF">
      <w:pPr>
        <w:pStyle w:val="NormalHanging12a"/>
      </w:pPr>
      <w:r w:rsidRPr="00D22AB1">
        <w:t>–</w:t>
      </w:r>
      <w:r w:rsidRPr="00D22AB1">
        <w:tab/>
        <w:t xml:space="preserve">der henviser til Europa-Parlamentets og Rådets forordning (EU) </w:t>
      </w:r>
      <w:r w:rsidRPr="00D22AB1" w:rsidR="00EE528C">
        <w:t>2021</w:t>
      </w:r>
      <w:r w:rsidRPr="00D22AB1">
        <w:t>/</w:t>
      </w:r>
      <w:r w:rsidRPr="00D22AB1" w:rsidR="00EE528C">
        <w:t>1529</w:t>
      </w:r>
      <w:r w:rsidRPr="00D22AB1">
        <w:t xml:space="preserve"> af </w:t>
      </w:r>
      <w:r w:rsidRPr="00D22AB1" w:rsidR="00EE528C">
        <w:t>15</w:t>
      </w:r>
      <w:r w:rsidRPr="00D22AB1">
        <w:t xml:space="preserve">. september </w:t>
      </w:r>
      <w:r w:rsidRPr="00D22AB1" w:rsidR="00EE528C">
        <w:t>2021</w:t>
      </w:r>
      <w:r w:rsidRPr="00D22AB1">
        <w:t xml:space="preserve"> om oprettelse af et instrument til </w:t>
      </w:r>
      <w:r w:rsidRPr="00D22AB1">
        <w:t>førtiltrædelsesbistand</w:t>
      </w:r>
      <w:r w:rsidRPr="00D22AB1">
        <w:t xml:space="preserve"> (IPA III)</w:t>
      </w:r>
      <w:r>
        <w:rPr>
          <w:vertAlign w:val="superscript"/>
        </w:rPr>
        <w:footnoteReference w:id="3"/>
      </w:r>
      <w:r w:rsidRPr="00D22AB1">
        <w:t>,</w:t>
      </w:r>
    </w:p>
    <w:p w:rsidR="00D561A2" w:rsidRPr="00D22AB1" w:rsidP="00D561A2" w14:paraId="2DC1E49E" w14:textId="20050DFC">
      <w:pPr>
        <w:pStyle w:val="NormalHanging12a"/>
      </w:pPr>
      <w:r w:rsidRPr="00D22AB1">
        <w:t>–</w:t>
      </w:r>
      <w:r w:rsidRPr="00D22AB1">
        <w:tab/>
        <w:t xml:space="preserve">der henviser til Europa-Parlamentets og Rådets forordning (EU) </w:t>
      </w:r>
      <w:r w:rsidRPr="00D22AB1" w:rsidR="00EE528C">
        <w:t>2024</w:t>
      </w:r>
      <w:r w:rsidRPr="00D22AB1">
        <w:t>/</w:t>
      </w:r>
      <w:r w:rsidRPr="00D22AB1" w:rsidR="00EE528C">
        <w:t>1449</w:t>
      </w:r>
      <w:r w:rsidRPr="00D22AB1">
        <w:t xml:space="preserve"> af </w:t>
      </w:r>
      <w:r w:rsidRPr="00D22AB1" w:rsidR="00EE528C">
        <w:t>14</w:t>
      </w:r>
      <w:r w:rsidRPr="00D22AB1">
        <w:t xml:space="preserve">. maj </w:t>
      </w:r>
      <w:r w:rsidRPr="00D22AB1" w:rsidR="00EE528C">
        <w:t>2024</w:t>
      </w:r>
      <w:r w:rsidRPr="00D22AB1">
        <w:t xml:space="preserve"> om oprettelse af reform- og vækstfaciliteten for Vestbalkan</w:t>
      </w:r>
      <w:r>
        <w:rPr>
          <w:vertAlign w:val="superscript"/>
        </w:rPr>
        <w:footnoteReference w:id="4"/>
      </w:r>
      <w:r w:rsidRPr="00D22AB1">
        <w:t>,</w:t>
      </w:r>
    </w:p>
    <w:p w:rsidR="00D561A2" w:rsidRPr="00D22AB1" w:rsidP="00D561A2" w14:paraId="026C527A" w14:textId="0B430AC2">
      <w:pPr>
        <w:pStyle w:val="NormalHanging12a"/>
      </w:pPr>
      <w:r w:rsidRPr="00D22AB1">
        <w:t>–</w:t>
      </w:r>
      <w:r w:rsidRPr="00D22AB1">
        <w:tab/>
        <w:t xml:space="preserve">der henviser til Nordmakedoniens reformdagsorden, som den </w:t>
      </w:r>
      <w:r w:rsidRPr="00D22AB1" w:rsidR="00EE528C">
        <w:t>23</w:t>
      </w:r>
      <w:r w:rsidRPr="00D22AB1">
        <w:t>. oktober </w:t>
      </w:r>
      <w:r w:rsidRPr="00D22AB1" w:rsidR="00EE528C">
        <w:t>2024</w:t>
      </w:r>
      <w:r w:rsidRPr="00D22AB1">
        <w:t xml:space="preserve"> blev godkendt af Kommissionen inden for rammerne af reform- og vækstfaciliteten for Vestbalkan,</w:t>
      </w:r>
    </w:p>
    <w:p w:rsidR="00D561A2" w:rsidRPr="00D22AB1" w:rsidP="00D561A2" w14:paraId="10A4B3F7" w14:textId="73197D04">
      <w:pPr>
        <w:pStyle w:val="NormalHanging12a"/>
      </w:pPr>
      <w:r w:rsidRPr="00D22AB1">
        <w:t>–</w:t>
      </w:r>
      <w:r w:rsidRPr="00D22AB1">
        <w:tab/>
        <w:t xml:space="preserve">der henviser til Kommissionens meddelelse af </w:t>
      </w:r>
      <w:r w:rsidRPr="00D22AB1" w:rsidR="00EE528C">
        <w:t>5</w:t>
      </w:r>
      <w:r w:rsidRPr="00D22AB1">
        <w:t xml:space="preserve">. februar </w:t>
      </w:r>
      <w:r w:rsidRPr="00D22AB1" w:rsidR="00EE528C">
        <w:t>2020</w:t>
      </w:r>
      <w:r w:rsidRPr="00D22AB1">
        <w:t xml:space="preserve"> med titlen "Styrkelse af tiltrædelsesprocessen – Et troværdigt EU-perspektiv for landene på Vestbalkan" </w:t>
      </w:r>
      <w:r w:rsidRPr="00D22AB1">
        <w:t>(COM(</w:t>
      </w:r>
      <w:r w:rsidRPr="00D22AB1" w:rsidR="00EE528C">
        <w:t>2020</w:t>
      </w:r>
      <w:r w:rsidRPr="00D22AB1">
        <w:t>)</w:t>
      </w:r>
      <w:r w:rsidRPr="00D22AB1" w:rsidR="00EE528C">
        <w:t>0057</w:t>
      </w:r>
      <w:r w:rsidRPr="00D22AB1">
        <w:t>),</w:t>
      </w:r>
    </w:p>
    <w:p w:rsidR="00D561A2" w:rsidRPr="00D22AB1" w:rsidP="00D561A2" w14:paraId="1998D391" w14:textId="0431683C">
      <w:pPr>
        <w:pStyle w:val="NormalHanging12a"/>
      </w:pPr>
      <w:r w:rsidRPr="00D22AB1">
        <w:t>–</w:t>
      </w:r>
      <w:r w:rsidRPr="00D22AB1">
        <w:tab/>
        <w:t xml:space="preserve">der henviser til Kommissionens meddelelse af </w:t>
      </w:r>
      <w:r w:rsidRPr="00D22AB1" w:rsidR="00EE528C">
        <w:t>8</w:t>
      </w:r>
      <w:r w:rsidRPr="00D22AB1">
        <w:t>. november </w:t>
      </w:r>
      <w:r w:rsidRPr="00D22AB1" w:rsidR="00EE528C">
        <w:t>2023</w:t>
      </w:r>
      <w:r w:rsidRPr="00D22AB1">
        <w:t xml:space="preserve"> med titlen "Ny vækstplan for landene på Vestbalkan" (COM(</w:t>
      </w:r>
      <w:r w:rsidRPr="00D22AB1" w:rsidR="00EE528C">
        <w:t>2023</w:t>
      </w:r>
      <w:r w:rsidRPr="00D22AB1">
        <w:t>)</w:t>
      </w:r>
      <w:r w:rsidRPr="00D22AB1" w:rsidR="00EE528C">
        <w:t>0691</w:t>
      </w:r>
      <w:r w:rsidRPr="00D22AB1">
        <w:t>),</w:t>
      </w:r>
    </w:p>
    <w:p w:rsidR="00D561A2" w:rsidRPr="00D22AB1" w:rsidP="00D561A2" w14:paraId="16F91B13" w14:textId="6D02FA89">
      <w:pPr>
        <w:pStyle w:val="NormalHanging12a"/>
      </w:pPr>
      <w:r w:rsidRPr="00D22AB1">
        <w:t>–</w:t>
      </w:r>
      <w:r w:rsidRPr="00D22AB1">
        <w:tab/>
        <w:t xml:space="preserve">der henviser til Kommissionens meddelelse af </w:t>
      </w:r>
      <w:r w:rsidRPr="00D22AB1" w:rsidR="00EE528C">
        <w:t>20</w:t>
      </w:r>
      <w:r w:rsidRPr="00D22AB1">
        <w:t xml:space="preserve">. marts </w:t>
      </w:r>
      <w:r w:rsidRPr="00D22AB1" w:rsidR="00EE528C">
        <w:t>2024</w:t>
      </w:r>
      <w:r w:rsidRPr="00D22AB1">
        <w:t xml:space="preserve"> om </w:t>
      </w:r>
      <w:r w:rsidRPr="00D22AB1">
        <w:t>førudvidelsesreformer</w:t>
      </w:r>
      <w:r w:rsidRPr="00D22AB1">
        <w:t xml:space="preserve"> og gennemgang af politikker (COM(</w:t>
      </w:r>
      <w:r w:rsidRPr="00D22AB1" w:rsidR="00EE528C">
        <w:t>2024</w:t>
      </w:r>
      <w:r w:rsidRPr="00D22AB1">
        <w:t>)</w:t>
      </w:r>
      <w:r w:rsidRPr="00D22AB1" w:rsidR="00EE528C">
        <w:t>0146</w:t>
      </w:r>
      <w:r w:rsidRPr="00D22AB1">
        <w:t>),</w:t>
      </w:r>
    </w:p>
    <w:p w:rsidR="00D561A2" w:rsidRPr="00D22AB1" w:rsidP="00D561A2" w14:paraId="6D90609F" w14:textId="0FA205AA">
      <w:pPr>
        <w:pStyle w:val="NormalHanging12a"/>
      </w:pPr>
      <w:r w:rsidRPr="00D22AB1">
        <w:t>–</w:t>
      </w:r>
      <w:r w:rsidRPr="00D22AB1">
        <w:tab/>
        <w:t xml:space="preserve">der henviser til Kommissionens meddelelse af </w:t>
      </w:r>
      <w:r w:rsidRPr="00D22AB1" w:rsidR="00EE528C">
        <w:t>8</w:t>
      </w:r>
      <w:r w:rsidRPr="00D22AB1">
        <w:t>. juli </w:t>
      </w:r>
      <w:r w:rsidRPr="00D22AB1" w:rsidR="00EE528C">
        <w:t>2025</w:t>
      </w:r>
      <w:r w:rsidRPr="00D22AB1">
        <w:t xml:space="preserve"> med titlen "Rapport om retsstatssituationen </w:t>
      </w:r>
      <w:r w:rsidRPr="00D22AB1" w:rsidR="00EE528C">
        <w:t>2025</w:t>
      </w:r>
      <w:r w:rsidRPr="00D22AB1">
        <w:t>" (COM(</w:t>
      </w:r>
      <w:r w:rsidRPr="00D22AB1" w:rsidR="00EE528C">
        <w:t>2025</w:t>
      </w:r>
      <w:r w:rsidRPr="00D22AB1">
        <w:t>)</w:t>
      </w:r>
      <w:r w:rsidRPr="00D22AB1" w:rsidR="00EE528C">
        <w:t>0900</w:t>
      </w:r>
      <w:r w:rsidRPr="00D22AB1">
        <w:t>), som blev ledsaget af et arbejdsdokument fra Kommissionens tjenestegrene med titlen "</w:t>
      </w:r>
      <w:r w:rsidRPr="00D22AB1" w:rsidR="00EE528C">
        <w:t>2025</w:t>
      </w:r>
      <w:r w:rsidRPr="00D22AB1">
        <w:t xml:space="preserve"> </w:t>
      </w:r>
      <w:r w:rsidRPr="00D22AB1">
        <w:t>Rule</w:t>
      </w:r>
      <w:r w:rsidRPr="00D22AB1">
        <w:t xml:space="preserve"> of Law Report – Country </w:t>
      </w:r>
      <w:r w:rsidRPr="00D22AB1">
        <w:t>Chapter</w:t>
      </w:r>
      <w:r w:rsidRPr="00D22AB1">
        <w:t xml:space="preserve"> on the </w:t>
      </w:r>
      <w:r w:rsidRPr="00D22AB1">
        <w:t>rule</w:t>
      </w:r>
      <w:r w:rsidRPr="00D22AB1">
        <w:t xml:space="preserve"> of </w:t>
      </w:r>
      <w:r w:rsidRPr="00D22AB1">
        <w:t>law</w:t>
      </w:r>
      <w:r w:rsidRPr="00D22AB1">
        <w:t xml:space="preserve"> situation in </w:t>
      </w:r>
      <w:r w:rsidRPr="00D22AB1">
        <w:t>Albania</w:t>
      </w:r>
      <w:r w:rsidRPr="00D22AB1">
        <w:t xml:space="preserve">" (Rapport om retsstatssituationen </w:t>
      </w:r>
      <w:r w:rsidRPr="00D22AB1" w:rsidR="00EE528C">
        <w:t>2025</w:t>
      </w:r>
      <w:r w:rsidRPr="00D22AB1">
        <w:t xml:space="preserve"> – Landekapitlet om retsstatsprincippet i Nordmakedonien) (SWD(</w:t>
      </w:r>
      <w:r w:rsidRPr="00D22AB1" w:rsidR="00EE528C">
        <w:t>2025</w:t>
      </w:r>
      <w:r w:rsidRPr="00D22AB1">
        <w:t>)</w:t>
      </w:r>
      <w:r w:rsidRPr="00D22AB1" w:rsidR="00EE528C">
        <w:t>0930</w:t>
      </w:r>
      <w:r w:rsidRPr="00D22AB1">
        <w:t>),</w:t>
      </w:r>
    </w:p>
    <w:p w:rsidR="00D561A2" w:rsidRPr="00D22AB1" w:rsidP="00D561A2" w14:paraId="56D7A0DB" w14:textId="24C380DD">
      <w:pPr>
        <w:pStyle w:val="NormalHanging12a"/>
      </w:pPr>
      <w:r w:rsidRPr="00D22AB1">
        <w:t>–</w:t>
      </w:r>
      <w:r w:rsidRPr="00D22AB1">
        <w:tab/>
        <w:t xml:space="preserve">der henviser til Kommissionens meddelelse af </w:t>
      </w:r>
      <w:r w:rsidRPr="00D22AB1" w:rsidR="00EE528C">
        <w:t>4</w:t>
      </w:r>
      <w:r w:rsidRPr="00D22AB1">
        <w:t xml:space="preserve">. november </w:t>
      </w:r>
      <w:r w:rsidRPr="00D22AB1" w:rsidR="00EE528C">
        <w:t>2025</w:t>
      </w:r>
      <w:r w:rsidRPr="00D22AB1">
        <w:t xml:space="preserve"> med titlen "Meddelelse om EU's udvidelsespolitik </w:t>
      </w:r>
      <w:r w:rsidRPr="00D22AB1" w:rsidR="00EE528C">
        <w:t>2025</w:t>
      </w:r>
      <w:r w:rsidRPr="00D22AB1">
        <w:t>" (COM(</w:t>
      </w:r>
      <w:r w:rsidRPr="00D22AB1" w:rsidR="00EE528C">
        <w:t>2025</w:t>
      </w:r>
      <w:r w:rsidRPr="00D22AB1">
        <w:t>)</w:t>
      </w:r>
      <w:r w:rsidRPr="00D22AB1" w:rsidR="00EE528C">
        <w:t>0690</w:t>
      </w:r>
      <w:r w:rsidRPr="00D22AB1">
        <w:t xml:space="preserve">), som blev ledsaget af et arbejdsdokument fra Kommissionens tjenestegrene med titlen "North </w:t>
      </w:r>
      <w:r w:rsidRPr="00D22AB1">
        <w:t>Macedonia</w:t>
      </w:r>
      <w:r w:rsidRPr="00D22AB1">
        <w:t xml:space="preserve"> </w:t>
      </w:r>
      <w:r w:rsidRPr="00D22AB1" w:rsidR="00EE528C">
        <w:t>2025</w:t>
      </w:r>
      <w:r w:rsidRPr="00D22AB1">
        <w:t xml:space="preserve"> Report" (rapport om Nordmakedonien for </w:t>
      </w:r>
      <w:r w:rsidRPr="00D22AB1" w:rsidR="00EE528C">
        <w:t>2025</w:t>
      </w:r>
      <w:r w:rsidRPr="00D22AB1">
        <w:t>) (SWD(</w:t>
      </w:r>
      <w:r w:rsidRPr="00D22AB1" w:rsidR="00EE528C">
        <w:t>202</w:t>
      </w:r>
      <w:r w:rsidR="00FA1062">
        <w:t>5</w:t>
      </w:r>
      <w:r w:rsidRPr="00D22AB1">
        <w:t>)</w:t>
      </w:r>
      <w:r w:rsidRPr="00D22AB1" w:rsidR="00EE528C">
        <w:t>0753</w:t>
      </w:r>
      <w:r w:rsidRPr="00D22AB1">
        <w:t>),</w:t>
      </w:r>
    </w:p>
    <w:p w:rsidR="00D561A2" w:rsidRPr="00D22AB1" w:rsidP="00D561A2" w14:paraId="2942DD62" w14:textId="77777777">
      <w:pPr>
        <w:spacing w:after="240"/>
        <w:ind w:left="567" w:hanging="567"/>
        <w:rPr>
          <w:bCs/>
          <w:iCs/>
        </w:rPr>
      </w:pPr>
      <w:r w:rsidRPr="00D22AB1">
        <w:t>–</w:t>
      </w:r>
      <w:r w:rsidRPr="00D22AB1">
        <w:tab/>
        <w:t xml:space="preserve">der henviser til den europæiske menneskerettighedskonvention og Den Europæiske Menneskerettighedsdomstols retspraksis, </w:t>
      </w:r>
    </w:p>
    <w:p w:rsidR="00D561A2" w:rsidRPr="00D22AB1" w:rsidP="00D561A2" w14:paraId="0533BAB1" w14:textId="4CCB9C79">
      <w:pPr>
        <w:spacing w:after="240"/>
        <w:ind w:left="567" w:hanging="567"/>
        <w:rPr>
          <w:bCs/>
          <w:iCs/>
        </w:rPr>
      </w:pPr>
      <w:r w:rsidRPr="00D22AB1">
        <w:t>–</w:t>
      </w:r>
      <w:r w:rsidRPr="00D22AB1">
        <w:tab/>
        <w:t xml:space="preserve">der henviser til topmøderne mellem EU og Vestbalkan i Sofia, Zagreb og </w:t>
      </w:r>
      <w:r w:rsidRPr="00D22AB1">
        <w:t>Brdo</w:t>
      </w:r>
      <w:r w:rsidRPr="00D22AB1">
        <w:t xml:space="preserve"> </w:t>
      </w:r>
      <w:r w:rsidRPr="00D22AB1">
        <w:t>pri</w:t>
      </w:r>
      <w:r w:rsidRPr="00D22AB1">
        <w:t xml:space="preserve"> </w:t>
      </w:r>
      <w:r w:rsidRPr="00D22AB1">
        <w:t>Kranju</w:t>
      </w:r>
      <w:r w:rsidRPr="00D22AB1">
        <w:t xml:space="preserve"> i henholdsvis </w:t>
      </w:r>
      <w:r w:rsidRPr="00D22AB1" w:rsidR="00EE528C">
        <w:t>2018</w:t>
      </w:r>
      <w:r w:rsidRPr="00D22AB1">
        <w:t xml:space="preserve">, </w:t>
      </w:r>
      <w:r w:rsidRPr="00D22AB1" w:rsidR="00EE528C">
        <w:t>2020</w:t>
      </w:r>
      <w:r w:rsidRPr="00D22AB1">
        <w:t xml:space="preserve"> og </w:t>
      </w:r>
      <w:r w:rsidRPr="00D22AB1" w:rsidR="00EE528C">
        <w:t>2021</w:t>
      </w:r>
      <w:r w:rsidRPr="00D22AB1">
        <w:t xml:space="preserve"> samt erklæringerne fra disse møder, </w:t>
      </w:r>
    </w:p>
    <w:p w:rsidR="00D561A2" w:rsidRPr="00D22AB1" w:rsidP="00D561A2" w14:paraId="2C8DD3B8" w14:textId="31F4C2D9">
      <w:pPr>
        <w:pStyle w:val="NormalHanging12a"/>
      </w:pPr>
      <w:r w:rsidRPr="00D22AB1">
        <w:t>–</w:t>
      </w:r>
      <w:r w:rsidRPr="00D22AB1">
        <w:tab/>
        <w:t xml:space="preserve">der henviser til erklæringen fra topmødet mellem EU og Vestbalkan i Bruxelles den </w:t>
      </w:r>
      <w:r w:rsidRPr="00D22AB1" w:rsidR="00EE528C">
        <w:t>17</w:t>
      </w:r>
      <w:r w:rsidRPr="00D22AB1">
        <w:t>. december </w:t>
      </w:r>
      <w:r w:rsidRPr="00D22AB1" w:rsidR="00EE528C">
        <w:t>2025</w:t>
      </w:r>
      <w:r w:rsidRPr="00D22AB1">
        <w:t>,</w:t>
      </w:r>
    </w:p>
    <w:p w:rsidR="00D561A2" w:rsidRPr="00D22AB1" w:rsidP="00D561A2" w14:paraId="58001541" w14:textId="507F0028">
      <w:pPr>
        <w:pStyle w:val="NormalHanging12a"/>
      </w:pPr>
      <w:r w:rsidRPr="00D22AB1">
        <w:t>–</w:t>
      </w:r>
      <w:r w:rsidRPr="00D22AB1">
        <w:tab/>
        <w:t xml:space="preserve">der henviser til den endelige rapport af </w:t>
      </w:r>
      <w:r w:rsidRPr="00D22AB1" w:rsidR="00EE528C">
        <w:t>23</w:t>
      </w:r>
      <w:r w:rsidRPr="00D22AB1">
        <w:t>. september </w:t>
      </w:r>
      <w:r w:rsidRPr="00D22AB1" w:rsidR="00EE528C">
        <w:t>2024</w:t>
      </w:r>
      <w:r w:rsidRPr="00D22AB1">
        <w:t xml:space="preserve"> fra valgobservationsmissionen i Kontoret for Demokratiske Institutioner og Menneskerettigheder (ODIHR) under Organisationen for Sikkerhed og Samarbejde i Europa (OSCE) om Nordmakedoniens præsidentvalg den </w:t>
      </w:r>
      <w:r w:rsidRPr="00D22AB1" w:rsidR="00EE528C">
        <w:t>24</w:t>
      </w:r>
      <w:r w:rsidRPr="00D22AB1">
        <w:t>. april </w:t>
      </w:r>
      <w:r w:rsidRPr="00D22AB1" w:rsidR="00EE528C">
        <w:t>2024</w:t>
      </w:r>
      <w:r w:rsidRPr="00D22AB1">
        <w:t xml:space="preserve"> og parlamentsvalg den </w:t>
      </w:r>
      <w:r w:rsidRPr="00D22AB1" w:rsidR="00EE528C">
        <w:t>8</w:t>
      </w:r>
      <w:r w:rsidRPr="00D22AB1">
        <w:t>. maj </w:t>
      </w:r>
      <w:r w:rsidRPr="00D22AB1" w:rsidR="00EE528C">
        <w:t>2024</w:t>
      </w:r>
      <w:r w:rsidRPr="00D22AB1">
        <w:t>,</w:t>
      </w:r>
    </w:p>
    <w:p w:rsidR="00D561A2" w:rsidRPr="00D22AB1" w:rsidP="00D561A2" w14:paraId="163C4F88" w14:textId="34522948">
      <w:pPr>
        <w:spacing w:after="240"/>
        <w:ind w:left="567" w:hanging="567"/>
        <w:rPr>
          <w:bCs/>
          <w:iCs/>
        </w:rPr>
      </w:pPr>
      <w:r w:rsidRPr="00D22AB1">
        <w:t>–</w:t>
      </w:r>
      <w:r w:rsidRPr="00D22AB1">
        <w:tab/>
        <w:t xml:space="preserve">der henviser til det </w:t>
      </w:r>
      <w:r w:rsidRPr="00D22AB1" w:rsidR="00EE528C">
        <w:t>19</w:t>
      </w:r>
      <w:r w:rsidRPr="00D22AB1">
        <w:t xml:space="preserve">. møde i stabiliserings- og associeringsudvalget mellem Den Europæiske Union og Republikken Nordmakedonien, </w:t>
      </w:r>
    </w:p>
    <w:p w:rsidR="00D561A2" w:rsidRPr="00D22AB1" w:rsidP="00D561A2" w14:paraId="22C3E3FB" w14:textId="573242B3">
      <w:pPr>
        <w:pStyle w:val="NormalHanging12a"/>
      </w:pPr>
      <w:r w:rsidRPr="00D22AB1">
        <w:t>–</w:t>
      </w:r>
      <w:r w:rsidRPr="00D22AB1">
        <w:tab/>
        <w:t xml:space="preserve">der henviser til de fælles henstillinger, der blev vedtaget på det </w:t>
      </w:r>
      <w:r w:rsidRPr="00D22AB1" w:rsidR="00EE528C">
        <w:t>24</w:t>
      </w:r>
      <w:r w:rsidRPr="00D22AB1">
        <w:t xml:space="preserve">. møde i Det Blandede Parlamentariske Udvalg EU-Nordmakedonien den </w:t>
      </w:r>
      <w:r w:rsidRPr="00D22AB1" w:rsidR="00EE528C">
        <w:t>26</w:t>
      </w:r>
      <w:r w:rsidRPr="00D22AB1">
        <w:t>.-</w:t>
      </w:r>
      <w:r w:rsidRPr="00D22AB1" w:rsidR="00EE528C">
        <w:t>27</w:t>
      </w:r>
      <w:r w:rsidRPr="00D22AB1">
        <w:t>. november </w:t>
      </w:r>
      <w:r w:rsidRPr="00D22AB1" w:rsidR="00EE528C">
        <w:t>2025</w:t>
      </w:r>
      <w:r w:rsidRPr="00D22AB1">
        <w:t xml:space="preserve"> i Strasbourg,</w:t>
      </w:r>
    </w:p>
    <w:p w:rsidR="00D561A2" w:rsidRPr="00D22AB1" w:rsidP="00D561A2" w14:paraId="500DEA47" w14:textId="30AB01BE">
      <w:pPr>
        <w:pStyle w:val="NormalHanging12a"/>
      </w:pPr>
      <w:r w:rsidRPr="00D22AB1">
        <w:t>–</w:t>
      </w:r>
      <w:r w:rsidRPr="00D22AB1">
        <w:tab/>
        <w:t xml:space="preserve">der henviser til sine tidligere beslutninger om Nordmakedonien, navnlig sin </w:t>
      </w:r>
      <w:bookmarkStart w:id="7" w:name="_Hlk222322460"/>
      <w:r w:rsidRPr="00D22AB1">
        <w:t xml:space="preserve">beslutning af </w:t>
      </w:r>
      <w:r w:rsidRPr="00D22AB1" w:rsidR="00EE528C">
        <w:t>24</w:t>
      </w:r>
      <w:r w:rsidRPr="00D22AB1">
        <w:t xml:space="preserve">. oktober </w:t>
      </w:r>
      <w:r w:rsidRPr="00D22AB1" w:rsidR="00EE528C">
        <w:t>2019</w:t>
      </w:r>
      <w:r w:rsidRPr="00D22AB1">
        <w:t xml:space="preserve"> om indledning af tiltrædelsesforhandlinger med Nordmakedonien og Albanien</w:t>
      </w:r>
      <w:r>
        <w:rPr>
          <w:rStyle w:val="FootnoteReference"/>
        </w:rPr>
        <w:footnoteReference w:id="5"/>
      </w:r>
      <w:bookmarkEnd w:id="7"/>
      <w:r w:rsidRPr="00D22AB1">
        <w:t>,</w:t>
      </w:r>
    </w:p>
    <w:p w:rsidR="00D561A2" w:rsidRPr="00D22AB1" w:rsidP="00D561A2" w14:paraId="40E17451" w14:textId="16FA797E">
      <w:pPr>
        <w:spacing w:after="240"/>
        <w:ind w:left="567" w:hanging="567"/>
        <w:rPr>
          <w:bCs/>
          <w:iCs/>
        </w:rPr>
      </w:pPr>
      <w:r w:rsidRPr="00D22AB1">
        <w:t>–</w:t>
      </w:r>
      <w:r w:rsidRPr="00D22AB1">
        <w:tab/>
        <w:t xml:space="preserve">der henviser til sin beslutning af </w:t>
      </w:r>
      <w:r w:rsidRPr="00D22AB1" w:rsidR="00EE528C">
        <w:t>29</w:t>
      </w:r>
      <w:r w:rsidRPr="00D22AB1">
        <w:t xml:space="preserve">. februar </w:t>
      </w:r>
      <w:r w:rsidRPr="00D22AB1" w:rsidR="00EE528C">
        <w:t>2024</w:t>
      </w:r>
      <w:r w:rsidRPr="00D22AB1">
        <w:t xml:space="preserve"> om uddybning af EU-integrationen med henblik på fremtidige udvidelser</w:t>
      </w:r>
      <w:r>
        <w:rPr>
          <w:rStyle w:val="FootnoteReference"/>
          <w:bCs/>
          <w:iCs/>
        </w:rPr>
        <w:footnoteReference w:id="6"/>
      </w:r>
      <w:r w:rsidRPr="00D22AB1">
        <w:t>,</w:t>
      </w:r>
    </w:p>
    <w:p w:rsidR="00D561A2" w:rsidRPr="00D22AB1" w:rsidP="00D561A2" w14:paraId="24382F0E" w14:textId="1FA15544">
      <w:pPr>
        <w:spacing w:after="240"/>
        <w:ind w:left="567" w:hanging="567"/>
        <w:rPr>
          <w:bCs/>
          <w:iCs/>
        </w:rPr>
      </w:pPr>
      <w:r w:rsidRPr="00D22AB1">
        <w:t>–</w:t>
      </w:r>
      <w:r w:rsidRPr="00D22AB1">
        <w:tab/>
        <w:t xml:space="preserve">der henviser til sin beslutning af </w:t>
      </w:r>
      <w:r w:rsidRPr="00D22AB1" w:rsidR="00EE528C">
        <w:t>11</w:t>
      </w:r>
      <w:r w:rsidRPr="00D22AB1">
        <w:t xml:space="preserve">. marts </w:t>
      </w:r>
      <w:r w:rsidRPr="00D22AB1" w:rsidR="00EE528C">
        <w:t>2026</w:t>
      </w:r>
      <w:r w:rsidRPr="00D22AB1">
        <w:t xml:space="preserve"> om EU's udvidelsesstrategi</w:t>
      </w:r>
      <w:r>
        <w:rPr>
          <w:rStyle w:val="FootnoteReference"/>
          <w:bCs/>
          <w:iCs/>
        </w:rPr>
        <w:footnoteReference w:id="7"/>
      </w:r>
      <w:r w:rsidRPr="00D22AB1">
        <w:t>,</w:t>
      </w:r>
    </w:p>
    <w:p w:rsidR="00D561A2" w:rsidRPr="00D22AB1" w:rsidP="00D561A2" w14:paraId="1A71E795" w14:textId="519C81E3">
      <w:pPr>
        <w:spacing w:after="240"/>
        <w:ind w:left="567" w:hanging="567"/>
        <w:rPr>
          <w:bCs/>
          <w:iCs/>
        </w:rPr>
      </w:pPr>
      <w:r w:rsidRPr="00D22AB1">
        <w:t>–</w:t>
      </w:r>
      <w:r w:rsidRPr="00D22AB1">
        <w:tab/>
        <w:t xml:space="preserve">der henviser til </w:t>
      </w:r>
      <w:r w:rsidRPr="00D22AB1">
        <w:t>Ohridrammeaftalen</w:t>
      </w:r>
      <w:r w:rsidRPr="00D22AB1">
        <w:t xml:space="preserve"> fra </w:t>
      </w:r>
      <w:r w:rsidRPr="00D22AB1" w:rsidR="00EE528C">
        <w:t>2001</w:t>
      </w:r>
      <w:r w:rsidRPr="00D22AB1">
        <w:t>,</w:t>
      </w:r>
    </w:p>
    <w:p w:rsidR="00D561A2" w:rsidRPr="00D22AB1" w:rsidP="00D561A2" w14:paraId="1ECDFB26" w14:textId="01EEE791">
      <w:pPr>
        <w:pStyle w:val="NormalHanging12a"/>
      </w:pPr>
      <w:r w:rsidRPr="00D22AB1">
        <w:t>–</w:t>
      </w:r>
      <w:r w:rsidRPr="00D22AB1">
        <w:tab/>
        <w:t xml:space="preserve">der henviser til traktaten om venskab, godt naboskab og samarbejde mellem Bulgarien og Nordmakedonien, der blev undertegnet den </w:t>
      </w:r>
      <w:r w:rsidRPr="00D22AB1" w:rsidR="00EE528C">
        <w:t>1</w:t>
      </w:r>
      <w:r w:rsidRPr="00D22AB1">
        <w:t xml:space="preserve">. august </w:t>
      </w:r>
      <w:r w:rsidRPr="00D22AB1" w:rsidR="00EE528C">
        <w:t>2017</w:t>
      </w:r>
      <w:r w:rsidRPr="00D22AB1">
        <w:t xml:space="preserve"> og ratificeret i januar </w:t>
      </w:r>
      <w:r w:rsidRPr="00D22AB1" w:rsidR="00EE528C">
        <w:t>2018</w:t>
      </w:r>
      <w:r w:rsidRPr="00D22AB1">
        <w:t>,</w:t>
      </w:r>
    </w:p>
    <w:p w:rsidR="00D561A2" w:rsidRPr="00D22AB1" w:rsidP="00D561A2" w14:paraId="5F28A73C" w14:textId="3C5835F5">
      <w:pPr>
        <w:pStyle w:val="NormalHanging12a"/>
      </w:pPr>
      <w:r w:rsidRPr="00D22AB1">
        <w:t>–</w:t>
      </w:r>
      <w:r w:rsidRPr="00D22AB1">
        <w:tab/>
        <w:t xml:space="preserve">der henviser til den endelige aftale om løsning af uoverensstemmelserne som beskrevet i FN's Sikkerhedsråds resolution </w:t>
      </w:r>
      <w:r w:rsidRPr="00D22AB1" w:rsidR="00EE528C">
        <w:t>817</w:t>
      </w:r>
      <w:r w:rsidRPr="00D22AB1">
        <w:t xml:space="preserve"> (</w:t>
      </w:r>
      <w:r w:rsidRPr="00D22AB1" w:rsidR="00EE528C">
        <w:t>1993</w:t>
      </w:r>
      <w:r w:rsidRPr="00D22AB1">
        <w:t xml:space="preserve">) og </w:t>
      </w:r>
      <w:r w:rsidRPr="00D22AB1" w:rsidR="00EE528C">
        <w:t>845</w:t>
      </w:r>
      <w:r w:rsidRPr="00D22AB1">
        <w:t xml:space="preserve"> (</w:t>
      </w:r>
      <w:r w:rsidRPr="00D22AB1" w:rsidR="00EE528C">
        <w:t>1993</w:t>
      </w:r>
      <w:r w:rsidRPr="00D22AB1">
        <w:t xml:space="preserve">), ophævelse af interimsaftalen fra </w:t>
      </w:r>
      <w:r w:rsidRPr="00D22AB1" w:rsidR="00EE528C">
        <w:t>1995</w:t>
      </w:r>
      <w:r w:rsidRPr="00D22AB1">
        <w:t xml:space="preserve"> og etablering af et strategisk partnerskab mellem Grækenland og Nordmakedonien den </w:t>
      </w:r>
      <w:r w:rsidRPr="00D22AB1" w:rsidR="00EE528C">
        <w:t>17</w:t>
      </w:r>
      <w:r w:rsidRPr="00D22AB1">
        <w:t xml:space="preserve">. juni </w:t>
      </w:r>
      <w:r w:rsidRPr="00D22AB1" w:rsidR="00EE528C">
        <w:t>2018</w:t>
      </w:r>
      <w:r w:rsidRPr="00D22AB1">
        <w:t xml:space="preserve">, også kaldet </w:t>
      </w:r>
      <w:r w:rsidRPr="00D22AB1">
        <w:t>Prespaaftalen</w:t>
      </w:r>
      <w:r w:rsidRPr="00D22AB1">
        <w:t>,</w:t>
      </w:r>
    </w:p>
    <w:p w:rsidR="00D561A2" w:rsidRPr="00D22AB1" w:rsidP="00D561A2" w14:paraId="35A49F1C" w14:textId="0E14B5E5">
      <w:pPr>
        <w:pStyle w:val="NormalHanging12a"/>
      </w:pPr>
      <w:r w:rsidRPr="00D22AB1">
        <w:t>–</w:t>
      </w:r>
      <w:r w:rsidRPr="00D22AB1">
        <w:tab/>
        <w:t xml:space="preserve">der henviser til FN's tredje konference om standardisering af geografiske betegnelser i </w:t>
      </w:r>
      <w:r w:rsidRPr="00D22AB1" w:rsidR="00EE528C">
        <w:t>1977</w:t>
      </w:r>
      <w:r w:rsidRPr="00D22AB1">
        <w:t>,</w:t>
      </w:r>
    </w:p>
    <w:p w:rsidR="00D561A2" w:rsidRPr="00D22AB1" w:rsidP="00D561A2" w14:paraId="0778C7BF" w14:textId="0961EB48">
      <w:pPr>
        <w:pStyle w:val="NormalHanging12a"/>
      </w:pPr>
      <w:r w:rsidRPr="00D22AB1">
        <w:t>–</w:t>
      </w:r>
      <w:r w:rsidRPr="00D22AB1">
        <w:tab/>
        <w:t xml:space="preserve">der henviser til efterovervågningsdialogen med Nordmakedonien og den respektive rapport, der blev vedtaget af Europarådets Parlamentariske Forsamling (PACE) den </w:t>
      </w:r>
      <w:r w:rsidRPr="00D22AB1" w:rsidR="00EE528C">
        <w:t>8</w:t>
      </w:r>
      <w:r w:rsidRPr="00D22AB1">
        <w:t xml:space="preserve">. januar </w:t>
      </w:r>
      <w:r w:rsidRPr="00D22AB1" w:rsidR="00EE528C">
        <w:t>2026</w:t>
      </w:r>
      <w:r w:rsidRPr="00D22AB1">
        <w:t>,</w:t>
      </w:r>
    </w:p>
    <w:p w:rsidR="00D561A2" w:rsidRPr="00D22AB1" w:rsidP="00D561A2" w14:paraId="3F93A44F" w14:textId="3B851B35">
      <w:pPr>
        <w:spacing w:after="240"/>
        <w:ind w:left="567" w:hanging="567"/>
        <w:rPr>
          <w:bCs/>
          <w:iCs/>
        </w:rPr>
      </w:pPr>
      <w:r w:rsidRPr="00D22AB1">
        <w:t>–</w:t>
      </w:r>
      <w:r w:rsidRPr="00D22AB1">
        <w:tab/>
        <w:t xml:space="preserve">der henviser til den sjette rapport fra Den Europæiske Kommission mod Racisme og Intolerance om Nordmakedonien, som blev vedtaget den </w:t>
      </w:r>
      <w:r w:rsidRPr="00D22AB1" w:rsidR="00EE528C">
        <w:t>29</w:t>
      </w:r>
      <w:r w:rsidRPr="00D22AB1">
        <w:t xml:space="preserve">. juni </w:t>
      </w:r>
      <w:r w:rsidRPr="00D22AB1" w:rsidR="00EE528C">
        <w:t>2023</w:t>
      </w:r>
      <w:r w:rsidRPr="00D22AB1">
        <w:t>,</w:t>
      </w:r>
    </w:p>
    <w:p w:rsidR="00D561A2" w:rsidRPr="00D22AB1" w:rsidP="00D561A2" w14:paraId="1E132DD6" w14:textId="1D9A0654">
      <w:pPr>
        <w:spacing w:after="240"/>
        <w:ind w:left="567" w:hanging="567"/>
        <w:rPr>
          <w:bCs/>
          <w:iCs/>
        </w:rPr>
      </w:pPr>
      <w:r w:rsidRPr="00D22AB1">
        <w:t>–</w:t>
      </w:r>
      <w:r w:rsidRPr="00D22AB1">
        <w:tab/>
        <w:t>der henviser til det fælles arbejdsdokument fra tjenestegrenene med titlen "</w:t>
      </w:r>
      <w:r w:rsidRPr="00D22AB1">
        <w:t>Objectives</w:t>
      </w:r>
      <w:r w:rsidRPr="00D22AB1">
        <w:t xml:space="preserve"> and </w:t>
      </w:r>
      <w:r w:rsidRPr="00D22AB1">
        <w:t>indicators</w:t>
      </w:r>
      <w:r w:rsidRPr="00D22AB1">
        <w:t xml:space="preserve"> to frame the </w:t>
      </w:r>
      <w:r w:rsidRPr="00D22AB1">
        <w:t>implementation</w:t>
      </w:r>
      <w:r w:rsidRPr="00D22AB1">
        <w:t xml:space="preserve"> of GAP III</w:t>
      </w:r>
      <w:r w:rsidRPr="00D22AB1" w:rsidR="0013622E">
        <w:t xml:space="preserve"> (</w:t>
      </w:r>
      <w:r w:rsidRPr="00D22AB1" w:rsidR="00EE528C">
        <w:t>2021</w:t>
      </w:r>
      <w:r w:rsidRPr="00D22AB1" w:rsidR="0013622E">
        <w:t>-</w:t>
      </w:r>
      <w:r w:rsidRPr="00D22AB1" w:rsidR="00EE528C">
        <w:t>25</w:t>
      </w:r>
      <w:r w:rsidRPr="00D22AB1" w:rsidR="0013622E">
        <w:t>)</w:t>
      </w:r>
      <w:r w:rsidRPr="00D22AB1">
        <w:t>" (Mål og indikatorer som grundlag for gennemførelse af kønshandlingsplan III) (SWD(</w:t>
      </w:r>
      <w:r w:rsidRPr="00D22AB1" w:rsidR="00EE528C">
        <w:t>2020</w:t>
      </w:r>
      <w:r w:rsidRPr="00D22AB1">
        <w:t>)</w:t>
      </w:r>
      <w:r w:rsidRPr="00D22AB1" w:rsidR="00EE528C">
        <w:t>0284</w:t>
      </w:r>
      <w:r w:rsidRPr="00D22AB1">
        <w:t xml:space="preserve">), der ledsager den fælles meddelelse fra Kommissionen og Unionens højtstående repræsentant for udenrigsanliggender og sikkerhedspolitik af </w:t>
      </w:r>
      <w:r w:rsidRPr="00D22AB1" w:rsidR="00EE528C">
        <w:t>25</w:t>
      </w:r>
      <w:r w:rsidRPr="00D22AB1">
        <w:t xml:space="preserve">. november </w:t>
      </w:r>
      <w:r w:rsidRPr="00D22AB1" w:rsidR="00EE528C">
        <w:t>2020</w:t>
      </w:r>
      <w:r w:rsidRPr="00D22AB1">
        <w:t xml:space="preserve"> med titlen "EU's kønshandlingsplan III – En ambitiøs dagsorden for ligestilling mellem kønnene og styrkelse af kvinders indflydelse og status i EU's optræden udadtil" (JOIN(</w:t>
      </w:r>
      <w:r w:rsidRPr="00D22AB1" w:rsidR="00EE528C">
        <w:t>2020</w:t>
      </w:r>
      <w:r w:rsidRPr="00D22AB1">
        <w:t>)</w:t>
      </w:r>
      <w:r w:rsidRPr="00D22AB1" w:rsidR="00EE528C">
        <w:t>0017</w:t>
      </w:r>
      <w:r w:rsidRPr="00D22AB1">
        <w:t>) samt gennemførelsesplanen på landeniveau for Nordmakedonien,</w:t>
      </w:r>
    </w:p>
    <w:p w:rsidR="00D561A2" w:rsidRPr="00D22AB1" w:rsidP="00D561A2" w14:paraId="60D23AFD" w14:textId="2DDBD32F">
      <w:pPr>
        <w:pStyle w:val="NormalHanging12a"/>
      </w:pPr>
      <w:r w:rsidRPr="00D22AB1">
        <w:t>–</w:t>
      </w:r>
      <w:r w:rsidRPr="00D22AB1">
        <w:tab/>
        <w:t>der henviser til forretningsordenens artikel </w:t>
      </w:r>
      <w:r w:rsidRPr="00D22AB1" w:rsidR="00EE528C">
        <w:t>55</w:t>
      </w:r>
      <w:r w:rsidRPr="00D22AB1">
        <w:t>,</w:t>
      </w:r>
    </w:p>
    <w:p w:rsidR="00D561A2" w:rsidRPr="00D22AB1" w:rsidP="00D561A2" w14:paraId="7C2DEA5A" w14:textId="6EEE7235">
      <w:pPr>
        <w:pStyle w:val="NormalHanging12a"/>
      </w:pPr>
      <w:r w:rsidRPr="00D22AB1">
        <w:t>–</w:t>
      </w:r>
      <w:r w:rsidRPr="00D22AB1">
        <w:tab/>
        <w:t>der henviser til betænkning fra Udenrigsudvalget (A</w:t>
      </w:r>
      <w:r w:rsidRPr="00D22AB1" w:rsidR="00EE528C">
        <w:t>10</w:t>
      </w:r>
      <w:r w:rsidRPr="00D22AB1">
        <w:t>-</w:t>
      </w:r>
      <w:r w:rsidRPr="00D22AB1" w:rsidR="00EE528C">
        <w:t>0162</w:t>
      </w:r>
      <w:r w:rsidRPr="00D22AB1">
        <w:t>/</w:t>
      </w:r>
      <w:r w:rsidRPr="00D22AB1" w:rsidR="00EE528C">
        <w:t>2026</w:t>
      </w:r>
      <w:r w:rsidRPr="00D22AB1">
        <w:t>),</w:t>
      </w:r>
    </w:p>
    <w:p w:rsidR="00D561A2" w:rsidRPr="00D22AB1" w:rsidP="00D561A2" w14:paraId="088474DC" w14:textId="71F78F70">
      <w:pPr>
        <w:pStyle w:val="NormalHanging12a"/>
      </w:pPr>
      <w:bookmarkStart w:id="8" w:name="_Hlk221624356"/>
      <w:r w:rsidRPr="00D22AB1">
        <w:t>A.</w:t>
      </w:r>
      <w:r w:rsidRPr="00D22AB1">
        <w:tab/>
        <w:t xml:space="preserve">der henviser til, at Nordmakedonien har haft status som kandidatland til medlemskab af EU siden </w:t>
      </w:r>
      <w:r w:rsidRPr="00D22AB1" w:rsidR="00EE528C">
        <w:t>2005</w:t>
      </w:r>
      <w:r w:rsidRPr="00D22AB1">
        <w:t xml:space="preserve"> og med succes afsluttede screeningsprocessen i december </w:t>
      </w:r>
      <w:r w:rsidRPr="00D22AB1" w:rsidR="00EE528C">
        <w:t>2023</w:t>
      </w:r>
      <w:r w:rsidRPr="00D22AB1">
        <w:t>;</w:t>
      </w:r>
    </w:p>
    <w:p w:rsidR="00D561A2" w:rsidRPr="00D22AB1" w:rsidP="00D561A2" w14:paraId="5C83E0A1" w14:textId="613F31BB">
      <w:pPr>
        <w:pStyle w:val="NormalHanging12a"/>
      </w:pPr>
      <w:r w:rsidRPr="00D22AB1">
        <w:t>B.</w:t>
      </w:r>
      <w:r w:rsidRPr="00D22AB1">
        <w:tab/>
        <w:t xml:space="preserve">der henviser til, at Nordmakedoniens strategiske engagement i EU-tiltrædelse og den nationale konsensus blandt de politiske partier er urokkelige, og at støtten blandt borgerne til EU-medlemskab er steget med næsten </w:t>
      </w:r>
      <w:r w:rsidRPr="00D22AB1" w:rsidR="00EE528C">
        <w:t>10</w:t>
      </w:r>
      <w:r w:rsidRPr="00D22AB1">
        <w:t xml:space="preserve"> % til </w:t>
      </w:r>
      <w:r w:rsidRPr="00D22AB1" w:rsidR="00EE528C">
        <w:t>71</w:t>
      </w:r>
      <w:r w:rsidRPr="00D22AB1">
        <w:t xml:space="preserve"> % sammenlignet med i </w:t>
      </w:r>
      <w:r w:rsidRPr="00D22AB1" w:rsidR="00EE528C">
        <w:t>2024</w:t>
      </w:r>
      <w:r w:rsidRPr="00D22AB1">
        <w:t>;</w:t>
      </w:r>
    </w:p>
    <w:p w:rsidR="00D561A2" w:rsidRPr="00D22AB1" w:rsidP="00D561A2" w14:paraId="4A4D6FFB" w14:textId="77777777">
      <w:pPr>
        <w:spacing w:after="240"/>
        <w:ind w:left="567" w:hanging="567"/>
        <w:rPr>
          <w:bCs/>
        </w:rPr>
      </w:pPr>
      <w:r w:rsidRPr="00D22AB1">
        <w:t>C.</w:t>
      </w:r>
      <w:r w:rsidRPr="00D22AB1">
        <w:tab/>
        <w:t xml:space="preserve">der henviser til, at EU's udvidelsespolitik fortsat er en strategisk investering i fred, demokrati, stabilitet og velstand på det europæiske kontinent, og at tiltrædelsesprocessens troværdighed afhænger af streng </w:t>
      </w:r>
      <w:r w:rsidRPr="00D22AB1">
        <w:t>konditionalitet</w:t>
      </w:r>
      <w:r w:rsidRPr="00D22AB1">
        <w:t xml:space="preserve"> og en retfærdig behandling af kandidatlandene; der henviser til, at kandidatlandene fuldt ud skal opfylde Københavnskriterierne og tilslutte sig de europæiske værdier; der henviser til, at bilaterale spørgsmål bør løses bilateralt og i overensstemmelse med folkeretten og ikke bør anvendes til at blokere for eller yderligere politisere udvidelsesprocessen; der henviser til, at troværdigheden af EU's udvidelsespolitik i lige høj grad afhænger af, at kandidatlandene gennemfører reformer, og at EU opfylder sine forpligtelser, når alle betingelser er opfyldt;</w:t>
      </w:r>
    </w:p>
    <w:p w:rsidR="00D561A2" w:rsidRPr="00D22AB1" w:rsidP="00D561A2" w14:paraId="17CDD4D1" w14:textId="77777777">
      <w:pPr>
        <w:spacing w:after="240"/>
        <w:ind w:left="567" w:hanging="567"/>
      </w:pPr>
      <w:r w:rsidRPr="00D22AB1">
        <w:t>D.</w:t>
      </w:r>
      <w:r w:rsidRPr="00D22AB1">
        <w:tab/>
        <w:t>der henviser til, at Parlamentet konsekvent har støttet Nordmakedoniens europæiske perspektiv og ført en løbende dialog med Nordmakedoniens myndigheder, interessenter og civilsamfundet og understreget nødvendigheden af vedvarende reformer, respekt for demokratiske værdier, retsstatsprincippet og menneskerettighederne og opfyldelse af de aftalte forpligtelser;</w:t>
      </w:r>
    </w:p>
    <w:p w:rsidR="00D561A2" w:rsidRPr="00D22AB1" w:rsidP="00D561A2" w14:paraId="4E6A073A" w14:textId="77777777">
      <w:pPr>
        <w:spacing w:after="240"/>
        <w:ind w:left="567" w:hanging="567"/>
        <w:rPr>
          <w:bCs/>
          <w:iCs/>
        </w:rPr>
      </w:pPr>
      <w:r w:rsidRPr="00D22AB1">
        <w:t>E.</w:t>
      </w:r>
      <w:r w:rsidRPr="00D22AB1">
        <w:tab/>
        <w:t>der henviser til, at udvandring fortsat påvirker Nordmakedonien negativt og medfører langsigtede risici for den finansielle bæredygtighed af væsentlige offentlige tjenester;</w:t>
      </w:r>
    </w:p>
    <w:p w:rsidR="00D561A2" w:rsidRPr="00D22AB1" w:rsidP="00D561A2" w14:paraId="54A429D7" w14:textId="77777777">
      <w:pPr>
        <w:spacing w:after="240"/>
        <w:ind w:left="567" w:hanging="567"/>
        <w:rPr>
          <w:b/>
          <w:bCs/>
        </w:rPr>
      </w:pPr>
      <w:r w:rsidRPr="00D22AB1">
        <w:t>F.</w:t>
      </w:r>
      <w:r w:rsidRPr="00D22AB1">
        <w:tab/>
        <w:t>der henviser til, at politisk polarisering, begrænset samarbejde på tværs af partierne og en langsom gennemførelse af reformer fortsat mindsker offentlighedens tillid og engagement;</w:t>
      </w:r>
    </w:p>
    <w:p w:rsidR="00D561A2" w:rsidRPr="00D22AB1" w:rsidP="00D561A2" w14:paraId="38E5FAEB" w14:textId="77777777">
      <w:pPr>
        <w:spacing w:after="240"/>
        <w:ind w:left="567" w:hanging="567"/>
        <w:rPr>
          <w:iCs/>
        </w:rPr>
      </w:pPr>
      <w:r w:rsidRPr="00D22AB1">
        <w:t>G.</w:t>
      </w:r>
      <w:r w:rsidRPr="00D22AB1">
        <w:tab/>
        <w:t>der henviser til, at spørgsmål om sprog, identitet og kultur, navnlig i komplekse historiske sammenhænge, i sagens natur er følsomme; der henviser til, at tilføjelsen af sådanne spørgsmål til udvidelsesdrøftelserne risikerer at komplicere og politisere kandidatlandenes tiltrædelsesproces og derfor bør håndteres med tilbageholdenhed og ansvarlighed på en måde, der bevarer integriteten af EU's udvidelsespolitik;</w:t>
      </w:r>
    </w:p>
    <w:p w:rsidR="00D561A2" w:rsidRPr="00D22AB1" w:rsidP="00D561A2" w14:paraId="69D7CCBB" w14:textId="77777777">
      <w:pPr>
        <w:spacing w:after="240"/>
        <w:ind w:left="567" w:hanging="567"/>
        <w:rPr>
          <w:bCs/>
          <w:iCs/>
        </w:rPr>
      </w:pPr>
      <w:r w:rsidRPr="00D22AB1">
        <w:t>H.</w:t>
      </w:r>
      <w:r w:rsidRPr="00D22AB1">
        <w:tab/>
        <w:t>der henviser til, at Nordmakedonien har gjort målbare, om end langsomme, fremskridt med gennemførelsen af landets reformdagsorden, der hovedsagelig omfatter reformer på andre områder end de grundlæggende elementer; der henviser til, at gennemførelsen af reformdagsordenen bidrager til at modernisere og udvikle Nordmakedoniens samfund, økonomi og institutioner;</w:t>
      </w:r>
    </w:p>
    <w:p w:rsidR="00D561A2" w:rsidRPr="00D22AB1" w:rsidP="00D561A2" w14:paraId="16D60717" w14:textId="77777777">
      <w:pPr>
        <w:spacing w:after="240"/>
        <w:ind w:left="567" w:hanging="567"/>
        <w:rPr>
          <w:bCs/>
          <w:iCs/>
        </w:rPr>
      </w:pPr>
      <w:r w:rsidRPr="00D22AB1">
        <w:t>I.</w:t>
      </w:r>
      <w:r w:rsidRPr="00D22AB1">
        <w:tab/>
        <w:t>der henviser til, at Rådet har konkluderet, at det er rede til at holde en regeringskonference uden yderligere forsinkelser eller yderligere politiske beslutninger, så snart Nordmakedonien har opfyldt sit tilsagn om at gennemføre de krævede forfatningsmæssige ændringer i overensstemmelse med sine interne procedurer.</w:t>
      </w:r>
    </w:p>
    <w:p w:rsidR="00D561A2" w:rsidP="00D561A2" w14:paraId="2BDAB913" w14:textId="77777777">
      <w:pPr>
        <w:pStyle w:val="NormalHanging12a"/>
      </w:pPr>
      <w:r w:rsidRPr="00D22AB1">
        <w:t>J.</w:t>
      </w:r>
      <w:r w:rsidRPr="00D22AB1">
        <w:tab/>
        <w:t>der henviser til, at enkelte EU-medlemsstater har givet udtryk for deres holdninger til forhandlingsrammen for Nordmakedonien;</w:t>
      </w:r>
    </w:p>
    <w:p w:rsidR="00AC2677" w:rsidRPr="00D22AB1" w:rsidP="00D561A2" w14:paraId="477BCF7F" w14:textId="3A4E1293">
      <w:pPr>
        <w:pStyle w:val="NormalHanging12a"/>
      </w:pPr>
      <w:r>
        <w:t>K</w:t>
      </w:r>
      <w:r w:rsidRPr="00AC2677">
        <w:t>.</w:t>
      </w:r>
      <w:r w:rsidRPr="00AC2677">
        <w:tab/>
        <w:t>der henviser til, at det grundlag, hvorpå Bulgarien og Nordmakedonien bør opbygge deres fremtidige forbindelser, er at finde en fælles tilgang til at kommunikere og forholde sig til fortiden og etablere en erindringskultur på en gensidigt respektfuld måde; der henviser til, at forholdet mellem de fremtidige generationer i Nordmakedonien og Bulgarien vil være en afspejling af uddannelsesprocesserne i de to lande;</w:t>
      </w:r>
    </w:p>
    <w:p w:rsidR="00D561A2" w:rsidRPr="00D22AB1" w:rsidP="00D561A2" w14:paraId="00FADED4" w14:textId="03271AF5">
      <w:pPr>
        <w:pStyle w:val="NormalHanging12a"/>
        <w:rPr>
          <w:bCs/>
          <w:iCs/>
        </w:rPr>
      </w:pPr>
      <w:r w:rsidRPr="00D22AB1">
        <w:t>1</w:t>
      </w:r>
      <w:r w:rsidRPr="00D22AB1">
        <w:t>.</w:t>
      </w:r>
      <w:r w:rsidRPr="00D22AB1">
        <w:tab/>
        <w:t xml:space="preserve">gentager sin fulde støtte til Nordmakedoniens engagement i EU-medlemskab, som er baseret på klare og målbare fremskridt og streng, men retfærdig </w:t>
      </w:r>
      <w:r w:rsidRPr="00D22AB1">
        <w:t>konditionalitet</w:t>
      </w:r>
      <w:r w:rsidRPr="00D22AB1">
        <w:t>, samt til de gennemgribende ændringer, der kræves for at opfylde tiltrædelseskriterierne; roser landets engagement i europæisk integration og tilskynder til fortsatte bestræbelser på at fremme EU-tilpassede reformer; minder imidlertid om, at fremskridt i tiltrædelsesforhandlingerne fortsat afhænger af vedvarende og dybtgående reformer og er strengt meritbaserede;</w:t>
      </w:r>
    </w:p>
    <w:p w:rsidR="00D561A2" w:rsidRPr="00D22AB1" w:rsidP="00D561A2" w14:paraId="33432516" w14:textId="40E1B5CD">
      <w:pPr>
        <w:pStyle w:val="NormalHanging12a"/>
      </w:pPr>
      <w:r w:rsidRPr="00D22AB1">
        <w:t>2</w:t>
      </w:r>
      <w:r w:rsidRPr="00D22AB1">
        <w:t>.</w:t>
      </w:r>
      <w:r w:rsidRPr="00D22AB1">
        <w:tab/>
        <w:t xml:space="preserve">bemærker med beklagelse manglen på fremskridt siden den sidste rapport; understreger, at reformtempoet kræver fornyet politisk engagement og klar handling, herunder de nødvendige forfatningsændringer, konstruktivt samarbejde på tværs af partier og effektiv parlamentarisk kontrol; anerkender, at forfatningsændringerne er et vigtigt, men </w:t>
      </w:r>
      <w:r w:rsidRPr="00D22AB1">
        <w:t>kontroversielt emne i et land, der har overvundet mange udfordringer på sin vej mod at blive en uafhængig nation; understreger i den forbindelse, at alle politiske interessenter, der er engageret i landets vej mod EU, hurtigst muligt bør forene kræfterne for at gennemføre de nødvendige forfatningsmæssige ændringer, der vil gøre det muligt at åbne den første forhandlingsklynge; minder om, at samarbejde på tværs af partierne fortsat vil være afgørende i forbindelse med tilpasningen af den nationale lovgivning til gældende EU-ret under hele forhandlingsforløbet;</w:t>
      </w:r>
    </w:p>
    <w:p w:rsidR="00D561A2" w:rsidRPr="00D22AB1" w:rsidP="00D561A2" w14:paraId="31F28E11" w14:textId="547DDE9D">
      <w:pPr>
        <w:pStyle w:val="NormalHanging12a"/>
      </w:pPr>
      <w:r w:rsidRPr="00D22AB1">
        <w:t>3</w:t>
      </w:r>
      <w:r w:rsidRPr="00D22AB1">
        <w:t>.</w:t>
      </w:r>
      <w:r w:rsidRPr="00D22AB1">
        <w:tab/>
        <w:t>glæder sig over de seneste politiske signaler i Nordmakedonien om et fornyet engagement i at gennemføre reformer; understreger imidlertid, at landet kun vil blive vurderet på grundlag af de reformer, der er gennemført; understreger, at manglen på samarbejde på tværs af partierne for at fremme forfatningsændringer ikke er en undskyldning for at udskyde andre nødvendige reformer, som vil være til gavn for landet og dets borgere uanset dets vej mod EU;</w:t>
      </w:r>
    </w:p>
    <w:p w:rsidR="00D561A2" w:rsidRPr="00D22AB1" w:rsidP="00D561A2" w14:paraId="4140F5AF" w14:textId="0D3417DB">
      <w:pPr>
        <w:pStyle w:val="NormalHanging12a"/>
        <w:rPr>
          <w:bCs/>
          <w:iCs/>
        </w:rPr>
      </w:pPr>
      <w:r w:rsidRPr="00D22AB1">
        <w:t>4</w:t>
      </w:r>
      <w:r w:rsidRPr="00D22AB1">
        <w:t>.</w:t>
      </w:r>
      <w:r w:rsidRPr="00D22AB1">
        <w:tab/>
        <w:t xml:space="preserve">opfordrer medlemsstaterne, Rådet og Kommissionen til at sikre en forudsigelig og troværdig tiltrædelsesproces, også med henblik på at bevare den folkelige støtte til tiltrædelse i udvidelseslandene; opfordrer i den forbindelse indtrængende Det Europæiske Råd og medlemsstaterne til offentligt og utvetydigt at meddele, at Rådet har til hensigt hurtigt og betingelsesløst at nå til enighed om at indlede næste fase af tiltrædelsesforhandlingerne med Nordmakedonien, når betingelserne i dets konklusioner af </w:t>
      </w:r>
      <w:r w:rsidRPr="00D22AB1">
        <w:t>18</w:t>
      </w:r>
      <w:r w:rsidRPr="00D22AB1">
        <w:t xml:space="preserve">. juli </w:t>
      </w:r>
      <w:r w:rsidRPr="00D22AB1">
        <w:t>2022</w:t>
      </w:r>
      <w:r w:rsidRPr="00D22AB1">
        <w:t xml:space="preserve"> er opfyldt; bemærker, at Nordmakedonien blev kandidatland for to årtier siden og dermed er et af de lande, der har haft kandidatstatus i længst tid; understreger, at Det Europæiske Råds gentagne udsættelse af indledningen af tiltrædelsesforhandlinger med Nordmakedonien har medvirket til, at der blandt landets politiske interessenter og borgere hersker en negativ opfattelse af udsigterne til tiltrædelse af EU;</w:t>
      </w:r>
    </w:p>
    <w:p w:rsidR="00D561A2" w:rsidRPr="00D22AB1" w:rsidP="00D561A2" w14:paraId="741E120D" w14:textId="40F02706">
      <w:pPr>
        <w:pStyle w:val="NormalHanging12a"/>
        <w:rPr>
          <w:bCs/>
          <w:iCs/>
        </w:rPr>
      </w:pPr>
      <w:r w:rsidRPr="00D22AB1">
        <w:t>5</w:t>
      </w:r>
      <w:r w:rsidRPr="00D22AB1">
        <w:t>.</w:t>
      </w:r>
      <w:r w:rsidRPr="00D22AB1">
        <w:tab/>
        <w:t xml:space="preserve">gentager Det Europæiske Råds opfordring fra dets konklusioner fra </w:t>
      </w:r>
      <w:r w:rsidRPr="00D22AB1">
        <w:t>2024</w:t>
      </w:r>
      <w:r w:rsidRPr="00D22AB1">
        <w:t xml:space="preserve"> om Nordmakedonien om at fremskynde fuldførelsen af de forfatningsmæssige ændringer; minder om, at Rådet har bekræftet, at det er rede til at indkalde til endnu en regeringskonference uden yderligere forsinkelse eller yderligere politiske beslutninger, så snart Nordmakedonien har opfyldt sit tilsagn i overensstemmelse med sine interne procedurer, og at Rådet derefter vil være rede til at åbne den første forhandlingsklynge så hurtigt som muligt i overensstemmelse med forhandlingsrammen;</w:t>
      </w:r>
    </w:p>
    <w:p w:rsidR="00D561A2" w:rsidRPr="00D22AB1" w:rsidP="00D561A2" w14:paraId="40A76C37" w14:textId="69F07F8B">
      <w:pPr>
        <w:pStyle w:val="NormalHanging12a"/>
      </w:pPr>
      <w:r w:rsidRPr="00D22AB1">
        <w:t>6</w:t>
      </w:r>
      <w:r w:rsidRPr="00D22AB1">
        <w:t>.</w:t>
      </w:r>
      <w:r w:rsidRPr="00D22AB1">
        <w:tab/>
        <w:t>roser Nordmakedoniens borgeres engagement i EU-integration og den støtte, de viser til dette projekt to årtier efter processens begyndelse; opfordrer Kommissionen til at fremlægge klare forslag til, hvordan man kan anvende instrumenter til gradvis integration og sikre deres effektive gennemførelse, herunder instrumenterne under vækstplanen for Vestbalkan, som et supplement til og ikke som en erstatning for fuldt medlemskab på så mange områder som muligt, så Nordmakedoniens borgere kan nyde godt af EU-integration inden tiltrædelsen;</w:t>
      </w:r>
    </w:p>
    <w:p w:rsidR="00D561A2" w:rsidRPr="00D22AB1" w:rsidP="00D561A2" w14:paraId="71EF5E9B" w14:textId="09B12954">
      <w:pPr>
        <w:pStyle w:val="NormalHanging12a"/>
      </w:pPr>
      <w:bookmarkStart w:id="9" w:name="_Hlk221624932"/>
      <w:r w:rsidRPr="00D22AB1">
        <w:t>7</w:t>
      </w:r>
      <w:r w:rsidRPr="00D22AB1">
        <w:t>.</w:t>
      </w:r>
      <w:r w:rsidRPr="00D22AB1">
        <w:tab/>
        <w:t>minder om behovet for enstemmige beslutninger om indledning og afslutning af tiltrædelsesforhandlinger som vigtige politiske milepæle i udvidelsesprocessen; gentager sin opfordring til at styrke EU's evne til at handle gennem forenklede processer, eksempelvis anvendelse af afstemning med kvalificeret flertal i de mellemliggende trin i udvidelsesprocessen, i fuld overensstemmelse med traktaterne;</w:t>
      </w:r>
    </w:p>
    <w:p w:rsidR="00D561A2" w:rsidRPr="00D22AB1" w:rsidP="00D561A2" w14:paraId="070D5E57" w14:textId="41FA05C9">
      <w:pPr>
        <w:pStyle w:val="NormalHanging12a"/>
      </w:pPr>
      <w:r w:rsidRPr="00D22AB1">
        <w:t>8</w:t>
      </w:r>
      <w:r w:rsidRPr="00D22AB1">
        <w:t>.</w:t>
      </w:r>
      <w:r w:rsidRPr="00D22AB1">
        <w:tab/>
        <w:t xml:space="preserve">minder om, at bilaterale tvister mellem lande bør løses gennem åben dialog med inddragelse af civilsamfundet og eksperter og reelt samarbejde i god tro og i </w:t>
      </w:r>
      <w:r w:rsidRPr="00D22AB1">
        <w:t>overensstemmelse med international ret og ikke bør instrumentaliseres som led i tiltrædelsesprocessen;</w:t>
      </w:r>
      <w:bookmarkEnd w:id="9"/>
    </w:p>
    <w:p w:rsidR="00D561A2" w:rsidRPr="00D22AB1" w:rsidP="00D561A2" w14:paraId="26E8F72A" w14:textId="7565EC9A">
      <w:pPr>
        <w:pStyle w:val="NormalHanging12a"/>
        <w:rPr>
          <w:bCs/>
          <w:iCs/>
        </w:rPr>
      </w:pPr>
      <w:r w:rsidRPr="00D22AB1">
        <w:t>9</w:t>
      </w:r>
      <w:r w:rsidRPr="00D22AB1">
        <w:t>.</w:t>
      </w:r>
      <w:r w:rsidRPr="00D22AB1">
        <w:tab/>
        <w:t xml:space="preserve">understreger, at sproglige, kulturelle og nationale identiteter er det sande fundament for ethvert land og ikke bør betvivles af tredjeparter; bemærker endvidere, at sådanne spørgsmål ikke bør påvirke EU-tiltrædelsesprocessen, som fokuserer på gennemførelsen af gældende EU-ret og tilpasningen til EU's værdier og principper som fastsat i Københavnskriterierne og principperne om gode naboskabsforbindelser, og som bør styres af objektive kriterier og udelukkende baseres på fortjeneste; afviser på det kraftigste </w:t>
      </w:r>
      <w:r w:rsidRPr="00D22AB1">
        <w:t>etnonationalistisk</w:t>
      </w:r>
      <w:r w:rsidRPr="00D22AB1">
        <w:t xml:space="preserve"> retorik, herunder fra politiske aktører, der skaber splittelse og undergraver gode naboskabsforbindelser og forbindelser mellem etniske grupper og samfund; opfordrer EU til at intensivere sin indsats for at begrænse en sådan retorik og dens virkninger;</w:t>
      </w:r>
    </w:p>
    <w:p w:rsidR="00D561A2" w:rsidRPr="00D22AB1" w:rsidP="00D561A2" w14:paraId="525ECBA4" w14:textId="400DC188">
      <w:pPr>
        <w:pStyle w:val="NormalHanging12a"/>
      </w:pPr>
      <w:r w:rsidRPr="00D22AB1">
        <w:t>10</w:t>
      </w:r>
      <w:r w:rsidRPr="00D22AB1">
        <w:t>.</w:t>
      </w:r>
      <w:r w:rsidRPr="00D22AB1">
        <w:tab/>
        <w:t xml:space="preserve">glæder sig over stabiliteten i forbindelserne mellem de etniske grupper i Nordmakedonien og gennemførelsen af </w:t>
      </w:r>
      <w:r w:rsidRPr="00D22AB1">
        <w:t>Ohridrammeaftalen</w:t>
      </w:r>
      <w:r w:rsidRPr="00D22AB1">
        <w:t>, herunder gennem mekanismer for ligelig repræsentation; opfordrer alle aktører til at bevare grundlaget for landets stabilitet og integritet, fremme forbindelser, samarbejde og udvekslinger mellem etniske grupper og minoritetsgrupper og andre befolkningsgrupper og undgå splittende retorik;</w:t>
      </w:r>
    </w:p>
    <w:p w:rsidR="00D561A2" w:rsidRPr="00D22AB1" w:rsidP="00D561A2" w14:paraId="19B73410" w14:textId="52503047">
      <w:pPr>
        <w:pStyle w:val="NormalHanging12a"/>
        <w:rPr>
          <w:bCs/>
          <w:iCs/>
        </w:rPr>
      </w:pPr>
      <w:r w:rsidRPr="00D22AB1">
        <w:t>11</w:t>
      </w:r>
      <w:r w:rsidRPr="00D22AB1">
        <w:t>.</w:t>
      </w:r>
      <w:r w:rsidRPr="00D22AB1">
        <w:tab/>
        <w:t xml:space="preserve">noterer sig Nordmakedoniens forfatningsdomstols afgørelse af </w:t>
      </w:r>
      <w:r w:rsidRPr="00D22AB1">
        <w:t>18</w:t>
      </w:r>
      <w:r w:rsidRPr="00D22AB1">
        <w:t xml:space="preserve">. september </w:t>
      </w:r>
      <w:r w:rsidRPr="00D22AB1">
        <w:t>2024</w:t>
      </w:r>
      <w:r w:rsidRPr="00D22AB1">
        <w:t xml:space="preserve"> om annullering af visse bestemmelser om kvoter for repræsentanter for albanske og andre befolkningsgrupper i offentlige institutioner; understreger, at landets administration bør afspejle dets multietniske sammensætning; opfordrer myndighederne til at sikre en passende og retfærdig repræsentation af alle befolkningsgrupper i overensstemmelse med </w:t>
      </w:r>
      <w:r w:rsidRPr="00D22AB1">
        <w:t>Ohridrammeaftalen</w:t>
      </w:r>
      <w:r w:rsidRPr="00D22AB1">
        <w:t xml:space="preserve"> og til at ændre og gennemføre det respektive lovforslag i fuld overensstemmelse med Venedigkommissionens udtalelse og EU's standarder;</w:t>
      </w:r>
      <w:r w:rsidR="001D3F72">
        <w:t xml:space="preserve"> </w:t>
      </w:r>
      <w:r w:rsidRPr="001D3F72" w:rsidR="001D3F72">
        <w:t xml:space="preserve">opfordrer indtrængende Nordmakedoniens myndigheder til hurtigt at løse spørgsmålet om anvendelse af albansk til statseksaminer for at sikre den praktiske gennemførelse af </w:t>
      </w:r>
      <w:r w:rsidRPr="001D3F72" w:rsidR="001D3F72">
        <w:t>Ohridrammeaftalen</w:t>
      </w:r>
      <w:r w:rsidRPr="001D3F72" w:rsidR="001D3F72">
        <w:t xml:space="preserve"> i både lovgivning og ånd og til ikke upålideligt at fremstille de studerendes protester som politisk motiverede eller som en destabiliserende faktor;</w:t>
      </w:r>
    </w:p>
    <w:p w:rsidR="00D561A2" w:rsidRPr="00D22AB1" w:rsidP="00D561A2" w14:paraId="2455095B" w14:textId="50501456">
      <w:pPr>
        <w:pStyle w:val="NormalHanging12a"/>
        <w:rPr>
          <w:bCs/>
          <w:iCs/>
        </w:rPr>
      </w:pPr>
      <w:r w:rsidRPr="00D22AB1">
        <w:t>12</w:t>
      </w:r>
      <w:r w:rsidRPr="00D22AB1">
        <w:t>.</w:t>
      </w:r>
      <w:r w:rsidRPr="00D22AB1">
        <w:tab/>
      </w:r>
      <w:bookmarkStart w:id="10" w:name="_Hlk228954086"/>
      <w:r w:rsidRPr="00D22AB1">
        <w:t xml:space="preserve">bemærker, at stabiliserings- og associeringsudvalget for nylig udtrykte glæde over fremskridtene med hensyn til at nå </w:t>
      </w:r>
      <w:r w:rsidRPr="00D22AB1">
        <w:t>benchmarkene</w:t>
      </w:r>
      <w:r w:rsidRPr="00D22AB1">
        <w:t xml:space="preserve"> for åbning af grundprincipklyngen gennem køreplaner for reformer af den offentlige forvaltning og for retsstatskapitlerne; </w:t>
      </w:r>
      <w:bookmarkEnd w:id="10"/>
      <w:r w:rsidRPr="00D22AB1">
        <w:t xml:space="preserve">opfordrer Nordmakedonien til at forberede og afslutte alt arbejde vedrørende </w:t>
      </w:r>
      <w:r w:rsidRPr="00D22AB1">
        <w:t>åbningsbenchmarkene</w:t>
      </w:r>
      <w:r w:rsidRPr="00D22AB1">
        <w:t xml:space="preserve"> for grundprincipklyngen i en gennemsigtig og meningsfuld høringsproces med alle relevante interessenter, herunder civilsamfundet;</w:t>
      </w:r>
    </w:p>
    <w:p w:rsidR="00D561A2" w:rsidRPr="00D22AB1" w:rsidP="00D561A2" w14:paraId="6D549CBB" w14:textId="77777777">
      <w:pPr>
        <w:pStyle w:val="NormalHanging12a"/>
        <w:rPr>
          <w:b/>
          <w:i/>
          <w:iCs/>
        </w:rPr>
      </w:pPr>
      <w:r w:rsidRPr="00D22AB1">
        <w:rPr>
          <w:b/>
          <w:i/>
        </w:rPr>
        <w:t>De demokratiske institutioners funktion</w:t>
      </w:r>
    </w:p>
    <w:p w:rsidR="00D561A2" w:rsidRPr="00D22AB1" w:rsidP="00D561A2" w14:paraId="620DA65F" w14:textId="0EB03885">
      <w:pPr>
        <w:pStyle w:val="NormalHanging12a"/>
      </w:pPr>
      <w:r w:rsidRPr="00D22AB1">
        <w:t>13</w:t>
      </w:r>
      <w:r w:rsidRPr="00D22AB1">
        <w:t>.</w:t>
      </w:r>
      <w:r w:rsidRPr="00D22AB1">
        <w:tab/>
        <w:t>bemærker, at de demokratiske institutioner i Nordmakedonien fungerer tilfredsstillende, men at der stadig er politisk polarisering, som forsinker stærkt tiltrængte reformer og udnævnelser; beklager, at det ikke er blevet forsøgt at indføre de forfatningsmæssige ændringer, som landet har forpligtet sig til, og som er nødvendige, for at grundprincipklyngen kan åbnes; opfordrer indtrængende alle politiske partier, der er repræsenteret i Republikken Nordmakedoniens parlament, til at lægge den ophedede kampagneretorik til side og arbejde sammen på tværs af partier for at nå til enighed om de nødvendige reformer; opfordrer EU-institutionerne og medlemsstaterne til at styrke deres indsats for at fremme en løsning af dette problem, herunder gennem teknisk bistand og fremme af dialog;</w:t>
      </w:r>
    </w:p>
    <w:p w:rsidR="00D561A2" w:rsidRPr="00D22AB1" w:rsidP="00D561A2" w14:paraId="40B46ED7" w14:textId="6E3D5E35">
      <w:pPr>
        <w:pStyle w:val="NormalHanging12a"/>
      </w:pPr>
      <w:r w:rsidRPr="00D22AB1">
        <w:t>14</w:t>
      </w:r>
      <w:r w:rsidRPr="00D22AB1">
        <w:t>.</w:t>
      </w:r>
      <w:r w:rsidRPr="00D22AB1">
        <w:tab/>
        <w:t>understreger, at den parlamentariske kontrol med den udøvende magt bør styrkes yderligere, og efterlyser forbedrede kontrolmekanismer, herunder større inddragelse af oppositionspartier og civilsamfundsaktører;</w:t>
      </w:r>
    </w:p>
    <w:p w:rsidR="00D561A2" w:rsidRPr="00D22AB1" w:rsidP="00D561A2" w14:paraId="650D1042" w14:textId="424749EC">
      <w:pPr>
        <w:pStyle w:val="NormalHanging12a"/>
        <w:rPr>
          <w:bCs/>
          <w:iCs/>
        </w:rPr>
      </w:pPr>
      <w:r w:rsidRPr="00D22AB1">
        <w:t>15</w:t>
      </w:r>
      <w:r w:rsidRPr="00D22AB1">
        <w:t>.</w:t>
      </w:r>
      <w:r w:rsidRPr="00D22AB1">
        <w:tab/>
        <w:t xml:space="preserve">glæder sig over, at de lokalvalgene i oktober og november </w:t>
      </w:r>
      <w:r w:rsidRPr="00D22AB1">
        <w:t>2025</w:t>
      </w:r>
      <w:r w:rsidRPr="00D22AB1">
        <w:t xml:space="preserve"> generelt var konkurrenceprægede, og at valgadministrationen håndterede valgforberedelserne på en overvejende effektiv måde på trods af visse proceduremæssige mangler; bemærker, at der stadig mangler en omfattende valgreform; gentager sin opfordring til gennemførelse af de udestående henstillinger fra OSCE/ODIHR og Venedigkommissionen på en gennemsigtig måde, der inddrager alle relevante interessenter; opfordrer endvidere til større gennemsigtighed med hensyn til politiske partiers finansiering og udgifter og politisk reklame, både i traditionelle medier og online, især på sociale medier; opfordrer Nordmakedonien til at lukke lovgivningsmæssige huller, der muliggør skjult påvirkning af valg, især ved at regulere politisk reklame online, herunder gennem obligatorisk identifikation af sponsorer, gennemsigtighed i udgifter og meningsfuld offentliggørelse af målretningskriterier, og ved at håndtere tredjepartsfinansiering og kampagnerelaterede udgiftskanaler; opfordrer til retfærdig statslig finansiering og til, at alle politiske partier og uafhængige kandidater får lige adgang til medierne;</w:t>
      </w:r>
    </w:p>
    <w:p w:rsidR="00D561A2" w:rsidRPr="00D22AB1" w:rsidP="00D561A2" w14:paraId="4135B23B" w14:textId="16175C63">
      <w:pPr>
        <w:pStyle w:val="NormalHanging12a"/>
        <w:rPr>
          <w:bCs/>
          <w:iCs/>
        </w:rPr>
      </w:pPr>
      <w:r w:rsidRPr="00D22AB1">
        <w:t>16</w:t>
      </w:r>
      <w:r w:rsidRPr="00D22AB1">
        <w:t>.</w:t>
      </w:r>
      <w:r w:rsidRPr="00D22AB1">
        <w:tab/>
        <w:t>opfordrer til en oprigtig og meningsfuld styrkelse af kvinders politiske indflydelse og status på lokalt, regionalt og nationalt plan for at forbedre deres deltagelse i valgprocessen og den politiske beslutningstagning; anbefaler endvidere at indføre kønskvoter, hvor de endnu ikke er på plads, for at sikre overholdelse af den forpligtelse til ligelig kønsfordeling, der er fastsat i den nationale strategi for ligestilling mellem kønnene;</w:t>
      </w:r>
    </w:p>
    <w:p w:rsidR="00D561A2" w:rsidRPr="00D22AB1" w:rsidP="00D561A2" w14:paraId="44035DBF" w14:textId="0BC601C9">
      <w:pPr>
        <w:pStyle w:val="NormalHanging12a"/>
      </w:pPr>
      <w:r w:rsidRPr="00D22AB1">
        <w:t>17</w:t>
      </w:r>
      <w:r w:rsidRPr="00D22AB1">
        <w:t>.</w:t>
      </w:r>
      <w:r w:rsidRPr="00D22AB1">
        <w:tab/>
        <w:t xml:space="preserve">anerkender, at der er gjort moderate fremskridt med reformer af den offentlige forvaltning og den digitale omstilling, som øger gennemsigtigheden og effektiviteten i den offentlige sektor, herunder gennem den nyligt vedtagne lovgivning om elektronisk identifikation i overensstemmelse med EU-forordninger; bemærker imidlertid, at der er behov for yderligere bestræbelser, herunder reformer vedrørende lokalt selvstyre og en stærkere gennemførelse af strategien for offentlig forvaltning for </w:t>
      </w:r>
      <w:r w:rsidRPr="00D22AB1">
        <w:t>2023</w:t>
      </w:r>
      <w:r w:rsidRPr="00D22AB1">
        <w:t>-</w:t>
      </w:r>
      <w:r w:rsidRPr="00D22AB1">
        <w:t>2030</w:t>
      </w:r>
      <w:r w:rsidRPr="00D22AB1">
        <w:t>, som vil sætte de lokale forvaltninger i stand til at levere bedre tjenester til borgerne, udvikle og gennemføre lokale og regionale udviklingsstrategier og sikre, at den nødvendige administrative kapacitet er på plads;</w:t>
      </w:r>
    </w:p>
    <w:p w:rsidR="00D561A2" w:rsidRPr="00D22AB1" w:rsidP="00D561A2" w14:paraId="503039D5" w14:textId="2D5589F6">
      <w:pPr>
        <w:pStyle w:val="NormalHanging12a"/>
        <w:rPr>
          <w:bCs/>
        </w:rPr>
      </w:pPr>
      <w:r w:rsidRPr="00D22AB1">
        <w:t>18</w:t>
      </w:r>
      <w:r w:rsidRPr="00D22AB1">
        <w:t>.</w:t>
      </w:r>
      <w:r w:rsidRPr="00D22AB1">
        <w:tab/>
        <w:t>opfordrer indtrængende til en yderligere afpolitisering af den offentlige forvaltning og fuld gennemførelse af meritbaserede rekrutteringsprocedurer og udvælgelsesprocedurer for ledende medarbejdere i overensstemmelse med EU-standarder;</w:t>
      </w:r>
    </w:p>
    <w:p w:rsidR="00D561A2" w:rsidRPr="00D22AB1" w:rsidP="00D561A2" w14:paraId="65278B3A" w14:textId="13185576">
      <w:pPr>
        <w:pStyle w:val="NormalHanging12a"/>
        <w:rPr>
          <w:bCs/>
        </w:rPr>
      </w:pPr>
      <w:r w:rsidRPr="00D22AB1">
        <w:t>19</w:t>
      </w:r>
      <w:r w:rsidRPr="00D22AB1">
        <w:t>.</w:t>
      </w:r>
      <w:r w:rsidRPr="00D22AB1">
        <w:tab/>
        <w:t>glæder sig over den nylige udnævnelse af den nye ombudsmand; bemærker med tilfredshed formatet for offentlige høringer i forbindelse med udnævnelser til offentlige stillinger, som øger gennemsigtigheden og den offentlige kontrol; udtrykker dog bekymring over tegnene på politisk favorisering i udnævnelsesprocessen for medlemmer af kommissionen for forebyggelse af og beskyttelse mod forskelsbehandling; understreger, at ligestillingsorganer skal fungere uafhængigt og uden politisk indblanding;</w:t>
      </w:r>
    </w:p>
    <w:p w:rsidR="00D561A2" w:rsidRPr="00D22AB1" w:rsidP="00D561A2" w14:paraId="39150AA9" w14:textId="77777777">
      <w:pPr>
        <w:pStyle w:val="NormalHanging12a"/>
        <w:rPr>
          <w:b/>
        </w:rPr>
      </w:pPr>
      <w:r w:rsidRPr="00D22AB1">
        <w:rPr>
          <w:b/>
          <w:i/>
        </w:rPr>
        <w:t>Medier og civilsamfundet</w:t>
      </w:r>
    </w:p>
    <w:p w:rsidR="00D561A2" w:rsidRPr="00D22AB1" w:rsidP="00D561A2" w14:paraId="7746C005" w14:textId="6FF1992A">
      <w:pPr>
        <w:pStyle w:val="NormalHanging12a"/>
        <w:rPr>
          <w:bCs/>
          <w:iCs/>
        </w:rPr>
      </w:pPr>
      <w:r w:rsidRPr="00D22AB1">
        <w:t>20</w:t>
      </w:r>
      <w:r w:rsidRPr="00D22AB1">
        <w:t>.</w:t>
      </w:r>
      <w:r w:rsidRPr="00D22AB1">
        <w:tab/>
        <w:t xml:space="preserve">glæder sig over, at Nordmakedonien giver tilstrækkelige retlige garantier for ytringsfriheden; bemærker imidlertid, at der er behov for yderligere forbedringer i </w:t>
      </w:r>
      <w:r w:rsidRPr="00D22AB1">
        <w:t xml:space="preserve">retning af et reelt gunstigt miljø for frie og uafhængige medier; opfordrer medierne til at udvise tilbageholdenhed med at offentliggøre retorik, der kan underminere forholdet mellem etniske grupper og befolkningsgrupper; understreger behovet for, at sociale medieplatforme styrker </w:t>
      </w:r>
      <w:r w:rsidRPr="00D22AB1">
        <w:t>indholdsmoderering</w:t>
      </w:r>
      <w:r w:rsidRPr="00D22AB1">
        <w:t>, navnlig i forbindelse med hadefuld tale rettet mod etniske grupper; tilskynder endvidere til udvikling af lokale og regionale private medier;</w:t>
      </w:r>
    </w:p>
    <w:p w:rsidR="00D561A2" w:rsidRPr="00D22AB1" w:rsidP="00D561A2" w14:paraId="70417CB8" w14:textId="3220489E">
      <w:pPr>
        <w:pStyle w:val="NormalHanging12a"/>
        <w:rPr>
          <w:bCs/>
          <w:iCs/>
        </w:rPr>
      </w:pPr>
      <w:r w:rsidRPr="00D22AB1">
        <w:t>21</w:t>
      </w:r>
      <w:r w:rsidRPr="00D22AB1">
        <w:t>.</w:t>
      </w:r>
      <w:r w:rsidRPr="00D22AB1">
        <w:tab/>
        <w:t>bemærker, at der fortsat er udfordringer forbundet med en effektiv gennemførelse af lovbestemmelserne til beskyttelse af journalister, især i tilfælde af onlinechikane og kønsbaseret vold rettet mod kvindelige journalister; udtrykker bekymring over, at manglen på konkret lovgivning til bekæmpelse af strategiske retssager mod offentligt engagement (</w:t>
      </w:r>
      <w:r w:rsidRPr="00D22AB1">
        <w:t>SLAPP'er</w:t>
      </w:r>
      <w:r w:rsidRPr="00D22AB1">
        <w:t xml:space="preserve">) og den begrænsede bevidsthed om dette problem blandt dommere, advokater og journalister fortsat hindrer en effektiv beskyttelse af journalister og offentlige kritikere mod </w:t>
      </w:r>
      <w:r w:rsidRPr="00D22AB1">
        <w:t>SLAPP'er</w:t>
      </w:r>
      <w:r w:rsidRPr="00D22AB1">
        <w:t>; understreger behovet for at vedtage national lovgivning, der er i overensstemmelse med direktivet om bekæmpelse af SLAPP</w:t>
      </w:r>
      <w:r>
        <w:rPr>
          <w:rStyle w:val="FootnoteReference"/>
          <w:bCs/>
          <w:iCs/>
        </w:rPr>
        <w:footnoteReference w:id="8"/>
      </w:r>
      <w:r w:rsidRPr="00D22AB1">
        <w:t xml:space="preserve">; udtrykker bekymring over den socioøkonomiske usikkerhed for mediearbejdere, især for kvinder, der arbejder i mediebranchen; opfordrer de retshåndhævende myndigheder og </w:t>
      </w:r>
      <w:r w:rsidRPr="00D22AB1">
        <w:t>retsembedsmænd</w:t>
      </w:r>
      <w:r w:rsidRPr="00D22AB1">
        <w:t xml:space="preserve"> til at sikre effektiv efterforskning af og effektive sanktioner for angreb, trusler, chikane og pres mod journalister med særligt fokus på kvindelige journalister; opfordrer indtrængende de relevante myndigheder til proaktivt at forebygge og systematisk retsforfølge alle tilfælde af hadefuld tale, hadforbrydelser og intimidering, til grundigt at efterforske relaterede angreb og til at sikre sikkerheden for ofrene herfor, herunder journalister og personer, der tilhører mindretal, lokalsamfund og andre sårbare grupper;</w:t>
      </w:r>
    </w:p>
    <w:p w:rsidR="00D561A2" w:rsidRPr="00D22AB1" w:rsidP="00D561A2" w14:paraId="1B5A9742" w14:textId="6E6A09D5">
      <w:pPr>
        <w:pStyle w:val="NormalHanging12a"/>
        <w:rPr>
          <w:bCs/>
          <w:iCs/>
        </w:rPr>
      </w:pPr>
      <w:r w:rsidRPr="00D22AB1">
        <w:t>22</w:t>
      </w:r>
      <w:r w:rsidRPr="00D22AB1">
        <w:t>.</w:t>
      </w:r>
      <w:r w:rsidRPr="00D22AB1">
        <w:tab/>
        <w:t xml:space="preserve">bemærker med bekymring den stigende koncentration af medieejerskab og risikoen for skjult kontrol gennem mellemled; efterlyser stærkere garantier for redaktionel uafhængighed, gennemsigtig praksis med statslig reklame og beskyttelse af journalister; fremhæver det presserende behov for en effektiv mediereform og vedtagelse af effektive foranstaltninger mod mediekoncentration, herunder fuld gennemsigtighed i medieejerskab og i tildelingen af offentlige midler til statslig reklame, samt overholdelse af reglerne om konkurrence, statsstøtte og intellektuelle ejendomsrettigheder; fremhæver, at mediepluralisme er afgørende for demokratisk modstandsdygtighed; understreger behovet for at styrke uafhængigheden og kapaciteten hos medietilsynsmyndigheden, public service-radio- og </w:t>
      </w:r>
      <w:r w:rsidRPr="00D22AB1">
        <w:t>TV-selskabet</w:t>
      </w:r>
      <w:r w:rsidRPr="00D22AB1">
        <w:t xml:space="preserve"> og tilsynsmyndigheden for elektronisk kommunikation;</w:t>
      </w:r>
    </w:p>
    <w:p w:rsidR="00D561A2" w:rsidRPr="00D22AB1" w:rsidP="00D561A2" w14:paraId="7D696E8D" w14:textId="24C447B1">
      <w:pPr>
        <w:pStyle w:val="NormalHanging12a"/>
        <w:rPr>
          <w:bCs/>
          <w:iCs/>
        </w:rPr>
      </w:pPr>
      <w:r w:rsidRPr="00D22AB1">
        <w:t>23</w:t>
      </w:r>
      <w:r w:rsidRPr="00D22AB1">
        <w:t>.</w:t>
      </w:r>
      <w:r w:rsidRPr="00D22AB1">
        <w:tab/>
        <w:t xml:space="preserve">udtrykker bekymring over ungarske medielederes strategiske opkøb af centrale </w:t>
      </w:r>
      <w:r w:rsidRPr="00D22AB1">
        <w:t>TV-stationer</w:t>
      </w:r>
      <w:r w:rsidRPr="00D22AB1">
        <w:t xml:space="preserve"> og nyhedsportaler, som har gjort det muligt at lade den offentlige debat i Nordmakedonien gennemsyre af </w:t>
      </w:r>
      <w:r w:rsidRPr="00D22AB1">
        <w:t>antieuropæiske</w:t>
      </w:r>
      <w:r w:rsidRPr="00D22AB1">
        <w:t xml:space="preserve"> narrativer;</w:t>
      </w:r>
    </w:p>
    <w:p w:rsidR="00D561A2" w:rsidRPr="00D22AB1" w:rsidP="00D561A2" w14:paraId="50C32489" w14:textId="43EABBF9">
      <w:pPr>
        <w:pStyle w:val="NormalHanging12a"/>
        <w:rPr>
          <w:bCs/>
          <w:iCs/>
        </w:rPr>
      </w:pPr>
      <w:r w:rsidRPr="00D22AB1">
        <w:t>24</w:t>
      </w:r>
      <w:r w:rsidRPr="00D22AB1">
        <w:t>.</w:t>
      </w:r>
      <w:r w:rsidRPr="00D22AB1">
        <w:tab/>
        <w:t xml:space="preserve">udtrykker alvorlig bekymring over vedvarende forsøg på at fordreje den offentlige debat og undergrave tilliden til demokratiske institutioner og landets europæiske kurs gennem koordineret manipulation af informationsmiljøet, herunder skjulte påvirkningsoperationer og skadelige narrativer; opfordrer EU og dets medlemsstater til at gøre en yderligere indsats for at støtte Nordmakedonien i bekæmpelsen af skadelig udenlandsk indblanding i landet, herunder gennem teknisk bistand; understreger, at </w:t>
      </w:r>
      <w:r w:rsidRPr="00D22AB1">
        <w:t xml:space="preserve">skadelig udenlandsk indblanding svækker institutionernes troværdighed og polariserer samfundet; opfordrer myndighederne til at etablere en omfattende og institutionaliseret ramme for demokratisk modstandsdygtighed med klart definerede ansvarsområder, regelmæssige risikovurderinger og offentlig rapportering i overensstemmelse med udviklingen i EU's standarder for beskyttelsen af demokratiske processer; opfordrer endvidere til at styrke </w:t>
      </w:r>
      <w:r w:rsidRPr="00D22AB1">
        <w:t>mediekendskab</w:t>
      </w:r>
      <w:r w:rsidRPr="00D22AB1">
        <w:t xml:space="preserve"> og digital kunnen, fremme faktatjek, bekæmpe hadefuld tale i alle dens former og styrke modstandsdygtigheden over for hybride trusler, der truer demokratiske værdier og landets mål om EU-medlemskab;</w:t>
      </w:r>
    </w:p>
    <w:p w:rsidR="00D561A2" w:rsidRPr="00D22AB1" w:rsidP="00D561A2" w14:paraId="695D8BC9" w14:textId="32D14DE9">
      <w:pPr>
        <w:pStyle w:val="NormalHanging12a"/>
        <w:rPr>
          <w:bCs/>
          <w:iCs/>
        </w:rPr>
      </w:pPr>
      <w:r w:rsidRPr="00D22AB1">
        <w:t>25</w:t>
      </w:r>
      <w:r w:rsidRPr="00D22AB1">
        <w:t>.</w:t>
      </w:r>
      <w:r w:rsidRPr="00D22AB1">
        <w:tab/>
        <w:t>bemærker, at manglen på udsigter til tiltrædelse af EU i de senere år har åbnet for et øget engagement i landet fra autoritære aktørers side; opfordrer til gennemsigtig og faktabaseret offentlig kommunikation om reformer med tilknytning til EU og tiltrædelsesprocessen for at opretholde en bred opbakning i samfundet og bekæmpe desinformation; opfordrer i den forbindelse indtrængende Kommissionen til at kommunikere mere effektivt med den nordmakedonske offentlighed om den vedvarende mangel på politisk vilje til at gøre fremskridt med reformer, der tager fat på spørgsmål, der berører alle makedonere;</w:t>
      </w:r>
    </w:p>
    <w:p w:rsidR="00D561A2" w:rsidRPr="00D22AB1" w:rsidP="00D561A2" w14:paraId="44C88D10" w14:textId="5BEAFD64">
      <w:pPr>
        <w:pStyle w:val="NormalHanging12a"/>
        <w:rPr>
          <w:b/>
          <w:i/>
        </w:rPr>
      </w:pPr>
      <w:r w:rsidRPr="00D22AB1">
        <w:t>26</w:t>
      </w:r>
      <w:r w:rsidRPr="00D22AB1">
        <w:t>.</w:t>
      </w:r>
      <w:r w:rsidRPr="00D22AB1">
        <w:tab/>
        <w:t>glæder sig over det overordnet set gunstige miljø for civilsamfundsorganisationer, men understreger samtidig, at der er behov for i højere grad at inddrage civilsamfundet på prioriterede områder og i offentlige høringer; noterer sig reaktiveringen af rådet for samarbejde mellem regeringen og civilsamfundet; opfordrer til gennemsigtighed i offentlige midler til civilsamfundsorganisationer, forbedring af lovgivningen og tilpasning heraf til internationale standarder såsom henstillinger fra Venedigkommissionen og Den Europæiske Kommission mod Racisme og Intolerance; understreger vigtigheden af at sikre inkluderende høringer og gennemsigtighed over for civilsamfundsorganisationer; opfordrer Kommissionen til at støtte civilsamfundsorganisationer, der nøje overvåger og om nødvendigt kritiserer gennemførelsen af EU-relaterede reformer;</w:t>
      </w:r>
    </w:p>
    <w:p w:rsidR="00D561A2" w:rsidRPr="00D22AB1" w:rsidP="00D561A2" w14:paraId="5CD87FFE" w14:textId="77777777">
      <w:pPr>
        <w:pStyle w:val="NormalHanging12a"/>
        <w:rPr>
          <w:b/>
          <w:i/>
          <w:iCs/>
        </w:rPr>
      </w:pPr>
      <w:r w:rsidRPr="00D22AB1">
        <w:rPr>
          <w:b/>
          <w:i/>
        </w:rPr>
        <w:t>Grundlæggende rettigheder</w:t>
      </w:r>
    </w:p>
    <w:p w:rsidR="00D561A2" w:rsidRPr="00D22AB1" w:rsidP="00D561A2" w14:paraId="78B323AA" w14:textId="44CB599B">
      <w:pPr>
        <w:pStyle w:val="NormalHanging12a"/>
        <w:rPr>
          <w:bCs/>
          <w:iCs/>
        </w:rPr>
      </w:pPr>
      <w:r w:rsidRPr="00D22AB1">
        <w:t>27</w:t>
      </w:r>
      <w:r w:rsidRPr="00D22AB1">
        <w:t>.</w:t>
      </w:r>
      <w:r w:rsidRPr="00D22AB1">
        <w:tab/>
        <w:t>understreger, at alle Europarådets medlemsstater er forpligtet til straks at gennemføre verserende domme fra Den Europæiske Menneskerettighedsdomstol; fremhæver, at eventuelle lovgivningsmæssige ændringer bør opfylde internationale standarder og henstillinger fra Venedigkommissionen og være i overensstemmelse med henstillinger fra Den Europæiske Kommission mod Racisme og Intolerance, herunder loven om foreninger og fonde og gennemførelsen af retsafgørelser vedrørende registrering af foreninger;</w:t>
      </w:r>
    </w:p>
    <w:p w:rsidR="00D561A2" w:rsidRPr="00D22AB1" w:rsidP="00D561A2" w14:paraId="0B6C1C49" w14:textId="3E130ABF">
      <w:pPr>
        <w:pStyle w:val="NormalHanging12a"/>
        <w:rPr>
          <w:bCs/>
          <w:iCs/>
        </w:rPr>
      </w:pPr>
      <w:r w:rsidRPr="00D22AB1">
        <w:t>28</w:t>
      </w:r>
      <w:r w:rsidRPr="00D22AB1">
        <w:t>.</w:t>
      </w:r>
      <w:r w:rsidRPr="00D22AB1">
        <w:tab/>
        <w:t>bemærker, at den generelle retlige ramme for grundlæggende rettigheder i vid udstrækning er i overensstemmelse med europæiske standarder; opfordrer imidlertid Nordmakedoniens regering til at styrke sin gennemførelse i praksis, navnlig ved at forbedre de institutionelle rammer for ligestilling mellem kønnene og sikre effektive mekanismer til beskyttelse mod kønsbaseret vold og vold i hjemmet, adgang til sundhedsydelser og tildeling af tilstrækkelige ressourcer til støttetjenester for ofre;  opfordrer til endelig vedtagelse af loven om ligestilling mellem kønnene, loven om arbejdsmarkedsrelationer og loven om forebyggelse af og beskyttelse mod chikane på arbejdspladsen i overensstemmelse med internationale standarder og gældende EU-ret med henblik på at forbedre kvinders livskvalitet ved at løse centrale ligestillingsspørgsmål, navnlig med hensyn til adgang til det politiske, økonomiske og sociale liv;</w:t>
      </w:r>
    </w:p>
    <w:p w:rsidR="00D561A2" w:rsidRPr="00D22AB1" w:rsidP="00D561A2" w14:paraId="4D85C2CF" w14:textId="47EEF160">
      <w:pPr>
        <w:pStyle w:val="NormalHanging12a"/>
        <w:rPr>
          <w:bCs/>
          <w:iCs/>
        </w:rPr>
      </w:pPr>
      <w:r w:rsidRPr="00D22AB1">
        <w:t>29</w:t>
      </w:r>
      <w:r w:rsidRPr="00D22AB1">
        <w:t>.</w:t>
      </w:r>
      <w:bookmarkStart w:id="11" w:name="_Hlk228277705"/>
      <w:r w:rsidRPr="00D22AB1">
        <w:tab/>
        <w:t xml:space="preserve">glæder sig over ændringerne fra </w:t>
      </w:r>
      <w:r w:rsidRPr="00D22AB1">
        <w:t>2023</w:t>
      </w:r>
      <w:r w:rsidRPr="00D22AB1">
        <w:t xml:space="preserve"> af straffeloven, der bringer den nationale lovgivning i overensstemmelse med Istanbulkonventionen</w:t>
      </w:r>
      <w:bookmarkEnd w:id="11"/>
      <w:r w:rsidRPr="00D22AB1">
        <w:t xml:space="preserve">; bemærker navnlig overgangen til en samtykkebaseret definition af voldtægt og den udtrykkelige anerkendelse af kønsbaseret vold; glæder sig endvidere over ændringerne fra </w:t>
      </w:r>
      <w:r w:rsidRPr="00D22AB1">
        <w:t>2026</w:t>
      </w:r>
      <w:r w:rsidRPr="00D22AB1">
        <w:t>, der styrker retsforfølgelsen af vold i hjemmet og kønsbaseret vold og kriminaliserer udbredelse af intime billeder uden samtykke; mener, at disse reformer udgør en meningsfuld tilpasning til europæiske standarder;</w:t>
      </w:r>
    </w:p>
    <w:p w:rsidR="00D561A2" w:rsidRPr="00D22AB1" w:rsidP="00D561A2" w14:paraId="1F8F5212" w14:textId="64356BA6">
      <w:pPr>
        <w:pStyle w:val="NormalHanging12a"/>
        <w:rPr>
          <w:bCs/>
          <w:iCs/>
        </w:rPr>
      </w:pPr>
      <w:r w:rsidRPr="00D22AB1">
        <w:t>30</w:t>
      </w:r>
      <w:r w:rsidRPr="00D22AB1">
        <w:t>.</w:t>
      </w:r>
      <w:r w:rsidRPr="00D22AB1">
        <w:tab/>
        <w:t xml:space="preserve">understreger behovet for fortsat at arbejde for at forbedre situationen for mindretalssamfund, herunder med hensyn til brugen af sprog, samt for at bekæmpe forskelsbehandling og fremme mangfoldighed; glæder sig over fremskridtene med handlingsplanen for beskyttelse af rettigheder for personer, der tilhører mindretal eller lokalsamfund, og opfordrer Nordmakedonien til at færdiggøre den på en inklusiv måde ved at fastsætte klare </w:t>
      </w:r>
      <w:r w:rsidRPr="00D22AB1">
        <w:t>benchmarks</w:t>
      </w:r>
      <w:r w:rsidRPr="00D22AB1">
        <w:t>, målbare indikatorer og en særlig overvågningsmekanisme med det formål at sikre effektiv beskyttelse mod forskelsbehandling og forbedre de grundlæggende rettigheder for alle borgere i Nordmakedonien; opfordrer indtrængende de relevante politiske aktører til at afstå fra polariserende og eskalerende sprogbrug, der kan påvirke forholdet mellem lokalsamfund og mindretal;</w:t>
      </w:r>
      <w:bookmarkStart w:id="12" w:name="_Hlk224741163"/>
    </w:p>
    <w:p w:rsidR="00D561A2" w:rsidRPr="00D22AB1" w:rsidP="00D561A2" w14:paraId="584C5255" w14:textId="63836509">
      <w:pPr>
        <w:pStyle w:val="NormalHanging12a"/>
        <w:rPr>
          <w:bCs/>
          <w:iCs/>
        </w:rPr>
      </w:pPr>
      <w:r w:rsidRPr="00D22AB1">
        <w:t>31</w:t>
      </w:r>
      <w:r w:rsidRPr="00D22AB1">
        <w:t>.</w:t>
      </w:r>
      <w:r w:rsidRPr="00D22AB1">
        <w:tab/>
        <w:t xml:space="preserve">understreger, at Nordmakedoniens etniske og kulturelle mangfoldighed udgør et uvurderligt aktiv og bør udnyttes som en styrke til yderligere at konsolidere demokratisk og inklusiv regeringsførelse og fremskynde Nordmakedoniens vej mod tiltrædelse af EU; opfordrer Nordmakedonien til at inkludere alle sine etniske samfund i sin forfatning, fremme </w:t>
      </w:r>
      <w:r w:rsidRPr="00D22AB1">
        <w:t>inklusivitet</w:t>
      </w:r>
      <w:r w:rsidRPr="00D22AB1">
        <w:t>, beskytte mangfoldighed, bekæmpe forskelsbehandling og styrke den sociale samhørighed i overensstemmelse med europæiske værdier og demokratiske principper og fuldt ud garantere lige rettigheder og muligheder for alle;</w:t>
      </w:r>
    </w:p>
    <w:bookmarkEnd w:id="12"/>
    <w:p w:rsidR="00D561A2" w:rsidRPr="00D22AB1" w:rsidP="00D561A2" w14:paraId="02FF5FE6" w14:textId="63BB0603">
      <w:pPr>
        <w:pStyle w:val="NormalHanging12a"/>
        <w:rPr>
          <w:bCs/>
          <w:iCs/>
        </w:rPr>
      </w:pPr>
      <w:r w:rsidRPr="00D22AB1">
        <w:t>32</w:t>
      </w:r>
      <w:r w:rsidRPr="00D22AB1">
        <w:t>.</w:t>
      </w:r>
      <w:r w:rsidRPr="00D22AB1">
        <w:tab/>
        <w:t xml:space="preserve">opfordrer til en intensiveret indsats for at tackle den vedvarende socioøkonomiske udstødelse af romaer; opfordrer indtrængende myndighederne til at sikre en effektiv gennemførelse af strategien for integration af romaer med målbare indikatorer, passende institutionel overvågning og passende budgetbevillinger; udtrykker bekymring over den fortsatte praksis med segregering i skoler i visse kommuner og opfordrer til proaktive foranstaltninger til </w:t>
      </w:r>
      <w:r w:rsidRPr="00D22AB1">
        <w:t>desegregering</w:t>
      </w:r>
      <w:r w:rsidRPr="00D22AB1">
        <w:t>;</w:t>
      </w:r>
    </w:p>
    <w:p w:rsidR="00D561A2" w:rsidRPr="00D22AB1" w:rsidP="00D561A2" w14:paraId="1A0EA5F1" w14:textId="26FF0486">
      <w:pPr>
        <w:pStyle w:val="NormalHanging12a"/>
        <w:tabs>
          <w:tab w:val="left" w:pos="1977"/>
        </w:tabs>
        <w:rPr>
          <w:bCs/>
          <w:iCs/>
        </w:rPr>
      </w:pPr>
      <w:r w:rsidRPr="00D22AB1">
        <w:t>33</w:t>
      </w:r>
      <w:r w:rsidRPr="00D22AB1">
        <w:t>.</w:t>
      </w:r>
      <w:r w:rsidRPr="00D22AB1">
        <w:tab/>
        <w:t>bemærker med bekymring, at der stort set ikke er gjort fremskridt med hensyn til at mindske de hindringer, som personer med handicap oplever i de fleste aspekter af deres liv; tilskynder til en større indsats for at fuldføre de retlige og institutionelle rammer for rettigheder for personer med handicap og forbedre gennemførelsen og håndhævelsen; bemærker de vedvarende strukturelle udfordringer i arbejdet i Nordmakedoniens kommission for forebyggelse af og beskyttelse mod forskelsbehandling som følge af manglende ressourcer;</w:t>
      </w:r>
    </w:p>
    <w:p w:rsidR="00D561A2" w:rsidRPr="00D22AB1" w:rsidP="00D561A2" w14:paraId="3F00C88C" w14:textId="7BF7B99C">
      <w:pPr>
        <w:pStyle w:val="NormalHanging12a"/>
        <w:rPr>
          <w:bCs/>
          <w:iCs/>
        </w:rPr>
      </w:pPr>
      <w:r w:rsidRPr="00D22AB1">
        <w:t>34</w:t>
      </w:r>
      <w:r w:rsidRPr="00D22AB1">
        <w:t>.</w:t>
      </w:r>
      <w:r w:rsidRPr="00D22AB1">
        <w:tab/>
        <w:t>opfordrer til, at den retlige beskyttelse af LGBTIQ+-personers rettigheder forbedres, og at der sættes ind over for hadefuld tale mod denne gruppe, herunder online; er dybt foruroliget over optrapningen af hadet mod LGBTIQ+-personer og civilsamfundsorganisationer i Nordmakedonien;</w:t>
      </w:r>
    </w:p>
    <w:p w:rsidR="00D561A2" w:rsidRPr="00D22AB1" w:rsidP="00D561A2" w14:paraId="1C1A83F8" w14:textId="6522DE7C">
      <w:pPr>
        <w:pStyle w:val="NormalHanging12a"/>
        <w:rPr>
          <w:bCs/>
          <w:iCs/>
        </w:rPr>
      </w:pPr>
      <w:r w:rsidRPr="00D22AB1">
        <w:t>35</w:t>
      </w:r>
      <w:r w:rsidRPr="00D22AB1">
        <w:t>.</w:t>
      </w:r>
      <w:r w:rsidRPr="00D22AB1">
        <w:tab/>
        <w:t xml:space="preserve">opfordrer indtrængende alle politiske aktører til at ændre loven om folkeregistret og sikre en hurtig, tilgængelig og uhindret juridisk anerkendelse af køn og indføre en gennemsigtig retlig procedure i overensstemmelse med internationale standarder og den </w:t>
      </w:r>
      <w:r w:rsidRPr="00D22AB1">
        <w:t xml:space="preserve">relevante dom fra Den Europæiske Menneskerettighedsdomstol fra </w:t>
      </w:r>
      <w:r w:rsidRPr="00D22AB1">
        <w:t>2019</w:t>
      </w:r>
      <w:r w:rsidRPr="00D22AB1">
        <w:t>;</w:t>
      </w:r>
    </w:p>
    <w:p w:rsidR="00D561A2" w:rsidRPr="00D22AB1" w:rsidP="00D561A2" w14:paraId="40458428" w14:textId="0D20C37C">
      <w:pPr>
        <w:pStyle w:val="NormalHanging12a"/>
        <w:rPr>
          <w:bCs/>
          <w:iCs/>
        </w:rPr>
      </w:pPr>
      <w:r w:rsidRPr="00D22AB1">
        <w:t>36</w:t>
      </w:r>
      <w:r w:rsidRPr="00D22AB1">
        <w:t>.</w:t>
      </w:r>
      <w:r w:rsidRPr="00D22AB1">
        <w:tab/>
        <w:t>opfordrer indtrængende myndighederne til at genindføre central terminologi vedrørende bekæmpelse af forskelsbehandling i loven om grundskoleuddannelse og opfordrer til genindførelse af bestemmelser om obligatorisk indberetning af vold i skolerne for at beskytte sårbare grupper;</w:t>
      </w:r>
    </w:p>
    <w:p w:rsidR="00D561A2" w:rsidRPr="00D22AB1" w:rsidP="00D561A2" w14:paraId="45EBBBD0" w14:textId="66736F40">
      <w:pPr>
        <w:pStyle w:val="NormalHanging12a"/>
        <w:rPr>
          <w:bCs/>
          <w:iCs/>
        </w:rPr>
      </w:pPr>
      <w:r w:rsidRPr="00D22AB1">
        <w:t>37</w:t>
      </w:r>
      <w:r w:rsidRPr="00D22AB1">
        <w:t>.</w:t>
      </w:r>
      <w:r w:rsidRPr="00D22AB1">
        <w:tab/>
        <w:t>bemærker med bekymring levevilkårene i fængslerne i Nordmakedonien, som der skal gøres noget ved hurtigst muligt;</w:t>
      </w:r>
    </w:p>
    <w:p w:rsidR="00D561A2" w:rsidP="00D561A2" w14:paraId="7F90E6C3" w14:textId="2C635B61">
      <w:pPr>
        <w:pStyle w:val="NormalHanging12a"/>
      </w:pPr>
      <w:r w:rsidRPr="00D22AB1">
        <w:t>38</w:t>
      </w:r>
      <w:r w:rsidRPr="00D22AB1">
        <w:t>.</w:t>
      </w:r>
      <w:r w:rsidRPr="00D22AB1">
        <w:tab/>
        <w:t xml:space="preserve">glæder sig over det styrkede samarbejde om grænseforvaltning og opfordrer Nordmakedonien til at styrke migrationsstyringen og bekæmpe kriminelle netværk af migrantsmuglere, </w:t>
      </w:r>
      <w:r w:rsidRPr="00D22AB1">
        <w:t>menneskehandlere</w:t>
      </w:r>
      <w:r w:rsidRPr="00D22AB1">
        <w:t xml:space="preserve"> og andre typer organiseret kriminalitet, forbedre tilpasningen til gældende EU-ret og tackle vedvarende udfordringer med håndteringen af regulær og irregulær migration under fuld overholdelse af menneskerettighederne og folkeretten; understreger, at ulovlige </w:t>
      </w:r>
      <w:r w:rsidRPr="00D22AB1">
        <w:t>tilbagedrivelser</w:t>
      </w:r>
      <w:r w:rsidRPr="00D22AB1">
        <w:t xml:space="preserve"> ved Nordmakedoniens grænser skal forhindres;</w:t>
      </w:r>
    </w:p>
    <w:p w:rsidR="001D3F72" w:rsidRPr="00D22AB1" w:rsidP="00D561A2" w14:paraId="46EDF545" w14:textId="413710C5">
      <w:pPr>
        <w:pStyle w:val="NormalHanging12a"/>
        <w:rPr>
          <w:bCs/>
          <w:iCs/>
        </w:rPr>
      </w:pPr>
      <w:r w:rsidRPr="001D3F72">
        <w:rPr>
          <w:bCs/>
          <w:iCs/>
        </w:rPr>
        <w:t>3</w:t>
      </w:r>
      <w:r>
        <w:rPr>
          <w:bCs/>
          <w:iCs/>
        </w:rPr>
        <w:t>9</w:t>
      </w:r>
      <w:r w:rsidRPr="001D3F72">
        <w:rPr>
          <w:bCs/>
          <w:iCs/>
        </w:rPr>
        <w:t>.</w:t>
      </w:r>
      <w:r w:rsidRPr="001D3F72">
        <w:rPr>
          <w:bCs/>
          <w:iCs/>
        </w:rPr>
        <w:tab/>
        <w:t xml:space="preserve">roser Nordmakedoniens regering for dens hurtige reaktion på det antisemitiske brandattentat mod en bygning i det jødiske samfund i Skopje den 12. april 2026; </w:t>
      </w:r>
    </w:p>
    <w:p w:rsidR="00D561A2" w:rsidRPr="00D22AB1" w:rsidP="00D561A2" w14:paraId="74F1BCA0" w14:textId="77777777">
      <w:pPr>
        <w:pStyle w:val="NormalHanging12a"/>
        <w:rPr>
          <w:b/>
          <w:i/>
          <w:iCs/>
        </w:rPr>
      </w:pPr>
      <w:r w:rsidRPr="00D22AB1">
        <w:rPr>
          <w:b/>
          <w:i/>
        </w:rPr>
        <w:t>Retsstatsprincippet</w:t>
      </w:r>
    </w:p>
    <w:p w:rsidR="00D561A2" w:rsidRPr="00D22AB1" w:rsidP="00D561A2" w14:paraId="78DE34A4" w14:textId="5B9960B9">
      <w:pPr>
        <w:pStyle w:val="NormalHanging12a"/>
        <w:rPr>
          <w:bCs/>
          <w:iCs/>
        </w:rPr>
      </w:pPr>
      <w:r>
        <w:t>40</w:t>
      </w:r>
      <w:r w:rsidRPr="00D22AB1">
        <w:t>.</w:t>
      </w:r>
      <w:r w:rsidRPr="00D22AB1">
        <w:tab/>
        <w:t xml:space="preserve">udtrykker bekymring over, at man ikke er nået tilstrækkelig langt med hensyn til retssystemet, domstolenes og anklagemyndighedens uafhængighed og bestræbelserne på at styrke retsstatsprincippet og rammerne for bekæmpelse af korruption; opfordrer de politiske aktører til hurtigst muligt at afstå fra politisk indblanding i retsvæsenet; bemærker med bekymring dybe strukturelle svagheder og negative tendenser i retsvæsenets funktionsmåde, herunder utilstrækkelig finansiering og bemanding af domstolsinstitutioner, som underminerer dets uafhængighed; opfordrer derfor Nordmakedonien til at fremskynde gennemførelsen af strategien for reform af retsvæsenet </w:t>
      </w:r>
      <w:r w:rsidRPr="00D22AB1" w:rsidR="00EE528C">
        <w:t>2024</w:t>
      </w:r>
      <w:r w:rsidRPr="00D22AB1">
        <w:t>-</w:t>
      </w:r>
      <w:r w:rsidRPr="00D22AB1" w:rsidR="00EE528C">
        <w:t>2028</w:t>
      </w:r>
      <w:r w:rsidRPr="00D22AB1">
        <w:t>;</w:t>
      </w:r>
    </w:p>
    <w:p w:rsidR="00D561A2" w:rsidRPr="00D22AB1" w:rsidP="00D561A2" w14:paraId="7F9674C8" w14:textId="262087F4">
      <w:pPr>
        <w:pStyle w:val="NormalHanging12a"/>
        <w:rPr>
          <w:bCs/>
          <w:iCs/>
        </w:rPr>
      </w:pPr>
      <w:r>
        <w:t>41</w:t>
      </w:r>
      <w:r w:rsidRPr="00D22AB1">
        <w:t>.</w:t>
      </w:r>
      <w:r w:rsidRPr="00D22AB1">
        <w:tab/>
        <w:t xml:space="preserve">understreger vigtigheden af at sikre retsvæsenets integritet og uafhængighed, herunder ved at styrke domstolsrådet i overensstemmelse med henstillingen og udtalelsen fra Venedigkommissionens </w:t>
      </w:r>
      <w:r w:rsidRPr="00D22AB1">
        <w:t>peerevalueringsmission</w:t>
      </w:r>
      <w:r w:rsidRPr="00D22AB1">
        <w:t xml:space="preserve"> i </w:t>
      </w:r>
      <w:r w:rsidRPr="00D22AB1" w:rsidR="00EE528C">
        <w:t>2023</w:t>
      </w:r>
      <w:r w:rsidRPr="00D22AB1">
        <w:t>;</w:t>
      </w:r>
    </w:p>
    <w:p w:rsidR="00D561A2" w:rsidRPr="00D22AB1" w:rsidP="00D561A2" w14:paraId="4A0B0A93" w14:textId="490C60F3">
      <w:pPr>
        <w:pStyle w:val="NormalHanging12a"/>
        <w:rPr>
          <w:bCs/>
          <w:iCs/>
        </w:rPr>
      </w:pPr>
      <w:r>
        <w:t>42</w:t>
      </w:r>
      <w:r w:rsidRPr="00D22AB1">
        <w:t>.</w:t>
      </w:r>
      <w:r w:rsidRPr="00D22AB1">
        <w:tab/>
        <w:t>udtrykker bekymring over, at ændringerne af straffeloven i Nordmakedonien, som har forkortet forældelsesfristerne og reduceret sanktionerne for korruption på højt niveau og embedsmisbrug, har undergravet igangværende retssager, herunder højt profilerede sager, hvilket har skabt en opfattelse af straffrihed for fremtrædende politiske aktører og yderligere svækket offentlighedens tillid til retsvæsenet;</w:t>
      </w:r>
    </w:p>
    <w:p w:rsidR="00D561A2" w:rsidRPr="00D22AB1" w:rsidP="00D561A2" w14:paraId="24A1953A" w14:textId="7AF024CA">
      <w:pPr>
        <w:pStyle w:val="NormalHanging12a"/>
      </w:pPr>
      <w:r>
        <w:t>43</w:t>
      </w:r>
      <w:r w:rsidRPr="00D22AB1">
        <w:t>.</w:t>
      </w:r>
      <w:r w:rsidRPr="00D22AB1">
        <w:tab/>
        <w:t>opfordrer de kompetente myndigheder til at sikre tilstrækkelig opfølgning på sager om potentielle hadforbrydelser, herunder vedrørende etniske grupper og samfund;</w:t>
      </w:r>
    </w:p>
    <w:p w:rsidR="00D561A2" w:rsidRPr="00D22AB1" w:rsidP="00D561A2" w14:paraId="65E69428" w14:textId="69C04367">
      <w:pPr>
        <w:pStyle w:val="NormalHanging12a"/>
        <w:rPr>
          <w:bCs/>
          <w:iCs/>
        </w:rPr>
      </w:pPr>
      <w:r>
        <w:t>44</w:t>
      </w:r>
      <w:r w:rsidRPr="00D22AB1">
        <w:t>.</w:t>
      </w:r>
      <w:r w:rsidRPr="00D22AB1">
        <w:tab/>
        <w:t xml:space="preserve">bemærker med bekymring, at der ikke er gjort fremskridt med hensyn til at forebygge og bekæmpe korruption, og at korruption fortsat er udbredt inden for mange områder; understreger, at der fortsat er en betydelig og uforklarlig kløft mellem formelt bebudede korruptionsundersøgelser og retslige afgørelser om skyld i korruptionssager på højt plan; opfordrer Nordmakedoniens regering til at forbedre gennemførelsen af sin nationale strategi til forebyggelse af korruption og interessekonflikter og vedtage en ny straffelov i overensstemmelse med gældende EU-ret og internationale standarder; </w:t>
      </w:r>
      <w:r w:rsidRPr="00D22AB1">
        <w:t>opfordrer endvidere til en styrket beskyttelse af whistleblowere, da den fortsat er svag, hvilket afskrækker enkeltpersoner fra at indberette tilfælde af korruption; glæder sig ikke desto mindre over Nordmakedoniens aktive deltagelse i den internationale traktat om udveksling af data til kontrol af formueangivelser, der placerer landet som et regionalt referencepunkt i denne mekanisme;</w:t>
      </w:r>
    </w:p>
    <w:p w:rsidR="00D561A2" w:rsidRPr="00D22AB1" w:rsidP="00D561A2" w14:paraId="59CEA450" w14:textId="0FE6C786">
      <w:pPr>
        <w:pStyle w:val="NormalHanging12a"/>
        <w:rPr>
          <w:bCs/>
          <w:iCs/>
        </w:rPr>
      </w:pPr>
      <w:r>
        <w:t>45</w:t>
      </w:r>
      <w:r w:rsidRPr="00D22AB1">
        <w:t>.</w:t>
      </w:r>
      <w:r w:rsidRPr="00D22AB1">
        <w:tab/>
        <w:t xml:space="preserve">opfordrer indtrængende til rettidig vedtagelse af en omfattende strategi for bekæmpelse af korruption for </w:t>
      </w:r>
      <w:r w:rsidRPr="00D22AB1" w:rsidR="00EE528C">
        <w:t>2026</w:t>
      </w:r>
      <w:r w:rsidRPr="00D22AB1">
        <w:t>-</w:t>
      </w:r>
      <w:r w:rsidRPr="00D22AB1" w:rsidR="00EE528C">
        <w:t>2030</w:t>
      </w:r>
      <w:r w:rsidRPr="00D22AB1">
        <w:t xml:space="preserve"> med klare ansvarsområder og målbare mål og opfordrer til gennemførelse af de udestående henstillinger fra Sammenslutningen af Stater mod Korruption (GRECO);</w:t>
      </w:r>
    </w:p>
    <w:p w:rsidR="00D561A2" w:rsidRPr="00D22AB1" w:rsidP="00D561A2" w14:paraId="67826C79" w14:textId="238111E2">
      <w:pPr>
        <w:pStyle w:val="NormalHanging12a"/>
      </w:pPr>
      <w:r>
        <w:t>46</w:t>
      </w:r>
      <w:r w:rsidRPr="00D22AB1">
        <w:t>.</w:t>
      </w:r>
      <w:r w:rsidRPr="00D22AB1">
        <w:tab/>
        <w:t>bemærker med bekymring, at forsinkelser i retssager og ressourcemæssige begrænsninger fortsat hindrer solide resultater, hvad angår korruptionssager på højt plan; opfordrer navnlig til efterforskning og endelig domfældelse i sager om korruption på højt plan, der kan tjene som eksempel på, at der sættes ind over for korruption på alle niveauer, og at der ikke vil være straffrihed;</w:t>
      </w:r>
    </w:p>
    <w:p w:rsidR="00D561A2" w:rsidRPr="00D22AB1" w:rsidP="00D561A2" w14:paraId="11884EE1" w14:textId="2997D967">
      <w:pPr>
        <w:pStyle w:val="NormalHanging12a"/>
        <w:rPr>
          <w:bCs/>
        </w:rPr>
      </w:pPr>
      <w:r>
        <w:t>47</w:t>
      </w:r>
      <w:r w:rsidRPr="00D22AB1">
        <w:t>.</w:t>
      </w:r>
      <w:r w:rsidRPr="00D22AB1">
        <w:tab/>
        <w:t>bemærker, at den opfattede grad af tillid til retsvæsenet fortsat er meget lav, og at der er behov for en yderligere indsats for at forhindre utilbørlig påvirkning og intimidering;</w:t>
      </w:r>
    </w:p>
    <w:p w:rsidR="00D561A2" w:rsidRPr="00D22AB1" w:rsidP="00D561A2" w14:paraId="3546B6F3" w14:textId="417C1724">
      <w:pPr>
        <w:pStyle w:val="NormalHanging12a"/>
        <w:rPr>
          <w:bCs/>
        </w:rPr>
      </w:pPr>
      <w:r>
        <w:t>48</w:t>
      </w:r>
      <w:r w:rsidRPr="00D22AB1">
        <w:t>.</w:t>
      </w:r>
      <w:r w:rsidRPr="00D22AB1">
        <w:tab/>
        <w:t>opfordrer Nordmakedonien til at øge sin indsats for at bekæmpe hvidvask af penge;</w:t>
      </w:r>
    </w:p>
    <w:p w:rsidR="00D561A2" w:rsidRPr="00D22AB1" w:rsidP="00D561A2" w14:paraId="74E55E5E" w14:textId="509087EF">
      <w:pPr>
        <w:pStyle w:val="NormalHanging12a"/>
        <w:rPr>
          <w:bCs/>
        </w:rPr>
      </w:pPr>
      <w:r>
        <w:t>49</w:t>
      </w:r>
      <w:r w:rsidRPr="00D22AB1">
        <w:t>.</w:t>
      </w:r>
      <w:r w:rsidRPr="00D22AB1">
        <w:tab/>
        <w:t xml:space="preserve">opfordrer til en mere koordineret indsats for at bekæmpe organiseret kriminalitet effektivt; opfordrer Nordmakedoniens regering til at tilpasse den nationale lovgivning om våben, narkotika og </w:t>
      </w:r>
      <w:r w:rsidRPr="00D22AB1">
        <w:t>psykotrope</w:t>
      </w:r>
      <w:r w:rsidRPr="00D22AB1">
        <w:t xml:space="preserve"> stoffer til gældende EU-ret;</w:t>
      </w:r>
    </w:p>
    <w:p w:rsidR="00D561A2" w:rsidRPr="00D22AB1" w:rsidP="00D561A2" w14:paraId="1E62310A" w14:textId="53BBBD15">
      <w:pPr>
        <w:pStyle w:val="NormalHanging12a"/>
        <w:rPr>
          <w:bCs/>
        </w:rPr>
      </w:pPr>
      <w:r>
        <w:t>50</w:t>
      </w:r>
      <w:r w:rsidRPr="00D22AB1">
        <w:t>.</w:t>
      </w:r>
      <w:r w:rsidRPr="00D22AB1">
        <w:tab/>
        <w:t>opfordrer de nationale myndigheder til at etablere en omfattende støtteramme for kvindelige ofre for kønsbaseret vold, herunder ved at yde juridisk garanteret finansiel bistand, garantere gratis retshjælp og fritagelse for sagsomkostninger, oprette en statsfond til dækning af ubetalte børnebidrag og øge investeringerne i styrkelse af kvinders økonomiske indflydelse og status gennem målrettet uddannelse, sociale virksomheder og lokale beskæftigelsesinitiativer;</w:t>
      </w:r>
    </w:p>
    <w:p w:rsidR="00D561A2" w:rsidRPr="00D22AB1" w:rsidP="00D561A2" w14:paraId="38000DE5" w14:textId="77777777">
      <w:pPr>
        <w:pStyle w:val="NormalHanging12a"/>
        <w:rPr>
          <w:b/>
          <w:i/>
          <w:iCs/>
        </w:rPr>
      </w:pPr>
      <w:r w:rsidRPr="00D22AB1">
        <w:rPr>
          <w:b/>
          <w:i/>
        </w:rPr>
        <w:t>Socioøkonomiske reformer</w:t>
      </w:r>
    </w:p>
    <w:p w:rsidR="00D561A2" w:rsidRPr="00D22AB1" w:rsidP="00D561A2" w14:paraId="7521EC0B" w14:textId="64519FA0">
      <w:pPr>
        <w:pStyle w:val="NormalHanging12a"/>
        <w:rPr>
          <w:bCs/>
          <w:iCs/>
        </w:rPr>
      </w:pPr>
      <w:r>
        <w:t>51</w:t>
      </w:r>
      <w:r w:rsidRPr="00D22AB1">
        <w:t>.</w:t>
      </w:r>
      <w:r w:rsidRPr="00D22AB1">
        <w:tab/>
        <w:t xml:space="preserve">støtter de fortsatte bestræbelser på at modernisere økonomien, afhjælpe misforholdet mellem udbudte og efterspurgte færdigheder og kompetencer, styrke den digitale økonomi og forbedre erhvervsklimaet, hvilket er i overensstemmelse med at imødegå konkurrencepresset på EU's indre marked; understreger, at en bæredygtig økonomisk vækst er afhængig af retsstatsprincippet, retsvæsenets forudsigelighed og en effektiv indsats mod korruption; opfordrer til gennemførelse af den organiske budgetlov for </w:t>
      </w:r>
      <w:r w:rsidRPr="00D22AB1" w:rsidR="00EE528C">
        <w:t>2023</w:t>
      </w:r>
      <w:r w:rsidRPr="00D22AB1">
        <w:t>, indførelse af finanspolitiske regler og et finanspolitisk råd og styrkelse af den mellemfristede budgetprocedure;</w:t>
      </w:r>
    </w:p>
    <w:p w:rsidR="00D561A2" w:rsidRPr="00D22AB1" w:rsidP="00D561A2" w14:paraId="31696ABE" w14:textId="2A65A487">
      <w:pPr>
        <w:pStyle w:val="NormalHanging12a"/>
        <w:rPr>
          <w:bCs/>
          <w:iCs/>
        </w:rPr>
      </w:pPr>
      <w:r>
        <w:t>52</w:t>
      </w:r>
      <w:r w:rsidRPr="00D22AB1">
        <w:t>.</w:t>
      </w:r>
      <w:r w:rsidRPr="00D22AB1">
        <w:tab/>
        <w:t>understreger behovet for at tackle sociale udfordringer, sikre politikker for beskæftigelse af høj kvalitet, fremme social konvergens hen imod EU's standarder og sikre fremskridt med hensyn til den europæiske søjle for sociale rettigheder;</w:t>
      </w:r>
    </w:p>
    <w:p w:rsidR="00D561A2" w:rsidRPr="00D22AB1" w:rsidP="00D561A2" w14:paraId="3430C188" w14:textId="18659BFF">
      <w:pPr>
        <w:pStyle w:val="NormalHanging12a"/>
      </w:pPr>
      <w:r>
        <w:t>53</w:t>
      </w:r>
      <w:r w:rsidRPr="00D22AB1">
        <w:t>.</w:t>
      </w:r>
      <w:r w:rsidRPr="00D22AB1">
        <w:tab/>
        <w:t xml:space="preserve">glæder sig over de første skridt i gennemførelsen af reformdagsordenen og det flerårige arbejdsprogram under reform- og vækstfaciliteten for Vestbalkan, som er på rette vej med hensyn til at give borgerne konkrete fordele; opfordrer Nordmakedonien til at fortsætte gennemførelsen af sin reformdagsorden; fremhæver behovet for i væsentlig grad at fremskynde og gennemføre reformdagsordenen, navnlig med hensyn til </w:t>
      </w:r>
      <w:r w:rsidRPr="00D22AB1">
        <w:t xml:space="preserve">grundprincipklyngen; understreger, at udbetaling af midler fortsat skal være strengt betinget af opfyldelsen af aftalte reformmål og milepæle; glæder sig over vedtagelsen af den omfattende ramme for </w:t>
      </w:r>
      <w:r w:rsidRPr="00D22AB1">
        <w:t>cybersikkerhed</w:t>
      </w:r>
      <w:r w:rsidRPr="00D22AB1">
        <w:t xml:space="preserve"> og den opdaterede lov om elektroniske dokumenter, elektronisk identifikation og tillidstjenester; glæder sig over den objektive og faktabaserede måde, hvorpå Kommissionen har vurderet gennemførelsen af reformtiltag indtil nu;</w:t>
      </w:r>
      <w:r w:rsidR="001D3F72">
        <w:t xml:space="preserve"> </w:t>
      </w:r>
      <w:r w:rsidRPr="001D3F72" w:rsidR="001D3F72">
        <w:t>glæder sig meget over den nylige udbetaling af 65,7 mio. EUR til Nordmakedonien under reform- og vækstfaciliteten efter en positiv vurdering af gennemførelsen af reformer, navnlig inden for digitalisering og uddannelse;</w:t>
      </w:r>
    </w:p>
    <w:p w:rsidR="00D561A2" w:rsidRPr="00D22AB1" w:rsidP="00D561A2" w14:paraId="4D7D5553" w14:textId="0D1E4E05">
      <w:pPr>
        <w:pStyle w:val="NormalHanging12a"/>
      </w:pPr>
      <w:r>
        <w:t>54</w:t>
      </w:r>
      <w:r w:rsidRPr="00D22AB1">
        <w:t>.</w:t>
      </w:r>
      <w:r w:rsidRPr="00D22AB1">
        <w:tab/>
        <w:t xml:space="preserve"> opfordrer EU og Nordmakedonien til at tilstræbe et forstærket tilsyn og meningsfuld deltagelse af civilsamfundsorganisationer, erhvervsorganisationer og arbejdsmarkedets parter i alle faser af reform- og vækstfaciliteten for Vestbalkan, herunder udformningen af reformforanstaltninger, gennemførelsen af projekter og overvågningen af resultater; anerkender behovet for at forbedre erhvervsklimaet og markedsøkonomiens funktion; opfordrer til, at der rettes større fokus mod foranstaltninger til at korrigere markedsforvridninger og mod sociale beskyttelsesforanstaltninger; opfordrer til, at der lægges større vægt på negative demografiske tendenser og på at tackle den uformelle økonomi og dens negative sociale og finanspolitiske virkninger;</w:t>
      </w:r>
    </w:p>
    <w:p w:rsidR="00D561A2" w:rsidRPr="00D22AB1" w:rsidP="00D561A2" w14:paraId="5C3F1F9A" w14:textId="5EA3DB20">
      <w:pPr>
        <w:pStyle w:val="NormalHanging12a"/>
      </w:pPr>
      <w:r>
        <w:t>55</w:t>
      </w:r>
      <w:r w:rsidRPr="00D22AB1">
        <w:t>.</w:t>
      </w:r>
      <w:r w:rsidRPr="00D22AB1">
        <w:tab/>
        <w:t>opfordrer myndighederne til at beskytte repræsentative fagforeningers uafhængighed og legitime rolle og sikre overholdelse af grundlæggende arbejdstagerrettigheder, herunder kollektive overenskomstforhandlinger, i lovgivning og praksis; opfordrer endvidere myndighederne til at sikre en konstruktiv og meningsfuld dialog med fagforeningerne for at løse presserende problemer såsom lønninger, arbejdsvilkår og social beskyttelse, herunder i forbindelse med platformsarbejde,</w:t>
      </w:r>
    </w:p>
    <w:p w:rsidR="00D561A2" w:rsidRPr="00D22AB1" w:rsidP="00D561A2" w14:paraId="7CAC3799" w14:textId="4F1A3523">
      <w:pPr>
        <w:pStyle w:val="NormalHanging12a"/>
      </w:pPr>
      <w:r>
        <w:t>56</w:t>
      </w:r>
      <w:r w:rsidRPr="00D22AB1">
        <w:t>.</w:t>
      </w:r>
      <w:r w:rsidRPr="00D22AB1">
        <w:tab/>
        <w:t>anerkender den strategiske betydning af de kulturelle og kreative sektorer og behovet for en stabil, EU-tilpasset ramme for ophavsret; opfordrer Nordmakedonien til at sikre et rimeligt vederlag til ophavsmænd og udøvende kunstnere, tilpasse den kollektive rettighedsforvaltning til gældende EU-ret og styrke håndhævelsen mod piratkopiering; understreger, at svag beskyttelse af rettighedshavere undergraver mediernes bæredygtighed og udviklingen af audiovisuelt indhold af høj kvalitet;</w:t>
      </w:r>
    </w:p>
    <w:p w:rsidR="00D561A2" w:rsidRPr="00D22AB1" w:rsidP="00D561A2" w14:paraId="75DDF4EB" w14:textId="3B7569BD">
      <w:pPr>
        <w:pStyle w:val="NormalHanging12a"/>
      </w:pPr>
      <w:r>
        <w:t>57</w:t>
      </w:r>
      <w:r w:rsidRPr="00D22AB1">
        <w:t>.</w:t>
      </w:r>
      <w:r w:rsidRPr="00D22AB1">
        <w:tab/>
        <w:t xml:space="preserve">opfordrer til fortsat gennemførelse af strategier for aktivering på arbejdsmarkedet for unge, langtidsledige, </w:t>
      </w:r>
      <w:r w:rsidRPr="00D22AB1">
        <w:t>lavtuddannede</w:t>
      </w:r>
      <w:r w:rsidRPr="00D22AB1">
        <w:t xml:space="preserve"> og dårligt stillede grupper såsom kvinder, personer med handicap, romaer og egyptere;</w:t>
      </w:r>
    </w:p>
    <w:p w:rsidR="00D561A2" w:rsidRPr="00D22AB1" w:rsidP="00D561A2" w14:paraId="5F09E3D0" w14:textId="22665253">
      <w:pPr>
        <w:pStyle w:val="NormalHanging12a"/>
        <w:rPr>
          <w:bCs/>
          <w:iCs/>
        </w:rPr>
      </w:pPr>
      <w:r>
        <w:t>58</w:t>
      </w:r>
      <w:r w:rsidRPr="00D22AB1">
        <w:t>.</w:t>
      </w:r>
      <w:r w:rsidRPr="00D22AB1">
        <w:tab/>
        <w:t>opfordrer til at styrke ungdomspolitikken ved at ændre loven om unges deltagelse og ungdomspolitikker, indføre effektiv overvågning og en særlig budgetlov og forbedre lokale ungdomsstrukturer;</w:t>
      </w:r>
    </w:p>
    <w:p w:rsidR="00D561A2" w:rsidRPr="00D22AB1" w:rsidP="00D561A2" w14:paraId="197599ED" w14:textId="4A710BC0">
      <w:pPr>
        <w:pStyle w:val="NormalHanging12a"/>
      </w:pPr>
      <w:r>
        <w:t>59</w:t>
      </w:r>
      <w:r w:rsidRPr="00D22AB1">
        <w:t>.</w:t>
      </w:r>
      <w:r w:rsidRPr="00D22AB1">
        <w:tab/>
        <w:t>glæder sig over integrationen af Nordmakedonien i det geografiske anvendelsesområde for det fælles eurobetalingsområde (SEPA);</w:t>
      </w:r>
    </w:p>
    <w:p w:rsidR="00D561A2" w:rsidRPr="00D22AB1" w:rsidP="00D561A2" w14:paraId="4F9EDA23" w14:textId="4D46BD12">
      <w:pPr>
        <w:pStyle w:val="NormalHanging12a"/>
        <w:rPr>
          <w:bCs/>
        </w:rPr>
      </w:pPr>
      <w:r>
        <w:t>60</w:t>
      </w:r>
      <w:r w:rsidRPr="00D22AB1">
        <w:t>.</w:t>
      </w:r>
      <w:r w:rsidRPr="00D22AB1">
        <w:tab/>
        <w:t xml:space="preserve">glæder sig i høj grad over Kommissionens forslag </w:t>
      </w:r>
      <w:r w:rsidRPr="001D3F72" w:rsidR="001D3F72">
        <w:t xml:space="preserve">og Rådets tilladelse </w:t>
      </w:r>
      <w:r w:rsidRPr="00D22AB1">
        <w:t xml:space="preserve">om at indlede forhandlinger om </w:t>
      </w:r>
      <w:r w:rsidRPr="001D3F72" w:rsidR="001D3F72">
        <w:t xml:space="preserve">at udvide </w:t>
      </w:r>
      <w:r w:rsidRPr="00D22AB1">
        <w:t>EU's "roaming til hjemmetakst"-ordning til også at omfatte Albanien, Bosnien-Hercegovina, Kosovo, Montenegro, Nordmakedonien og Serbien</w:t>
      </w:r>
      <w:r w:rsidR="001D3F72">
        <w:t xml:space="preserve"> </w:t>
      </w:r>
      <w:r w:rsidRPr="001D3F72" w:rsidR="001D3F72">
        <w:t>og</w:t>
      </w:r>
      <w:r w:rsidRPr="00D22AB1">
        <w:t xml:space="preserve"> opfordrer </w:t>
      </w:r>
      <w:r w:rsidRPr="001D3F72" w:rsidR="001D3F72">
        <w:t xml:space="preserve">Kommissionen og partnerne på Vestbalkan </w:t>
      </w:r>
      <w:r w:rsidRPr="00D22AB1">
        <w:t xml:space="preserve">til hurtigt at </w:t>
      </w:r>
      <w:r w:rsidRPr="001D3F72" w:rsidR="001D3F72">
        <w:t xml:space="preserve">tage de nødvendige skridt til gensidig åbning </w:t>
      </w:r>
      <w:r w:rsidRPr="00D22AB1">
        <w:t xml:space="preserve">af </w:t>
      </w:r>
      <w:r w:rsidRPr="001D3F72" w:rsidR="001D3F72">
        <w:t xml:space="preserve">EU's og </w:t>
      </w:r>
      <w:r w:rsidRPr="00D22AB1">
        <w:t xml:space="preserve">partnerne på </w:t>
      </w:r>
      <w:r w:rsidRPr="001D3F72" w:rsidR="001D3F72">
        <w:t>Vestbalkans roamingmarkeder</w:t>
      </w:r>
      <w:r w:rsidRPr="00D22AB1">
        <w:t xml:space="preserve">; fremhæver, at en udvidelse af området med roaming til hjemmetakst til også at dække Vestbalkan vil give håndgribelige fordele for både borgere og virksomheder ved at fremme mellemfolkelige kontakter, styrke de økonomiske bånd, støtte </w:t>
      </w:r>
      <w:r w:rsidRPr="00D22AB1">
        <w:t>uddannelsesudvekslinger og lette turismen;</w:t>
      </w:r>
    </w:p>
    <w:p w:rsidR="00D561A2" w:rsidRPr="00D22AB1" w:rsidP="00D561A2" w14:paraId="1C233DAB" w14:textId="2DD02C50">
      <w:pPr>
        <w:pStyle w:val="NormalHanging12a"/>
        <w:rPr>
          <w:bCs/>
        </w:rPr>
      </w:pPr>
      <w:r>
        <w:t>61</w:t>
      </w:r>
      <w:r w:rsidRPr="00D22AB1">
        <w:t>.</w:t>
      </w:r>
      <w:r w:rsidRPr="00D22AB1">
        <w:tab/>
        <w:t>opfordrer Nordmakedonien til at tilpasse sig gældende EU-ret om screening af udenlandske direkte investeringer;</w:t>
      </w:r>
    </w:p>
    <w:p w:rsidR="00D561A2" w:rsidRPr="00D22AB1" w:rsidP="00D561A2" w14:paraId="0F019181" w14:textId="77777777">
      <w:pPr>
        <w:pStyle w:val="NormalHanging12a"/>
        <w:rPr>
          <w:b/>
        </w:rPr>
      </w:pPr>
      <w:r w:rsidRPr="00D22AB1">
        <w:rPr>
          <w:b/>
          <w:i/>
        </w:rPr>
        <w:t>Miljø, biodiversitet, energi og transport</w:t>
      </w:r>
    </w:p>
    <w:p w:rsidR="00D561A2" w:rsidRPr="00D22AB1" w:rsidP="00D561A2" w14:paraId="4A37C72C" w14:textId="2640CB8F">
      <w:pPr>
        <w:pStyle w:val="NormalHanging12a"/>
      </w:pPr>
      <w:bookmarkStart w:id="13" w:name="_f5cyx5lfgtpa"/>
      <w:bookmarkEnd w:id="13"/>
      <w:r>
        <w:t>62</w:t>
      </w:r>
      <w:r w:rsidRPr="00D22AB1">
        <w:t>.</w:t>
      </w:r>
      <w:r w:rsidRPr="00D22AB1">
        <w:tab/>
        <w:t xml:space="preserve">opfordrer til øgede investeringer i transport- og energiinfrastruktur og i en større indsats for at tilnærme transport-, energi- og miljølovgivningen til EU's standarder; opfordrer til, at den nationale lovgivning bringes i overensstemmelse med EU's regler om passagerrettigheder; understreger behovet for at styrke </w:t>
      </w:r>
      <w:r w:rsidRPr="00D22AB1">
        <w:t>konnektiviteten</w:t>
      </w:r>
      <w:r w:rsidRPr="00D22AB1">
        <w:t xml:space="preserve"> og sikre uhindrede handelsstrømme, navnlig inden for vejtrafik; opfordrer til gennemførelse af EU's ind- og udrejsesystem, samtidig med at der tages hensyn til dets indvirkning på erhvervschauffører og forsyningskæder;</w:t>
      </w:r>
    </w:p>
    <w:p w:rsidR="00D561A2" w:rsidRPr="00D22AB1" w:rsidP="00D561A2" w14:paraId="58E0BD7F" w14:textId="1ECE0644">
      <w:pPr>
        <w:pStyle w:val="NormalHanging12a"/>
        <w:rPr>
          <w:bCs/>
          <w:iCs/>
        </w:rPr>
      </w:pPr>
      <w:r>
        <w:t>63</w:t>
      </w:r>
      <w:r w:rsidRPr="00D22AB1">
        <w:t>.</w:t>
      </w:r>
      <w:r w:rsidRPr="00D22AB1">
        <w:tab/>
        <w:t>fremhæver vigtigheden af grænseoverskridende forbindelser såsom korridor VIII og X i det transeuropæiske transportnet (TEN-T), da de er afgørende for at øge det økonomiske samarbejde med nabolandene og de mellemfolkelige kontakter; regner med en effektiv gennemførelse af de indgåede forpligtelser; glæder sig over aftalen mellem Bulgarien og Nordmakedonien om opførelse af en grænseoverskridende jernbanetunnel, der markerer et afgørende skridt hen imod færdiggørelsen af jernbaneforbindelsen langs korridor VIII; bemærker den strategiske betydning af korridor VIII for EU's og NATO's geostrategiske autonomi, idet den fungerer som en vigtig logistikrute langs NATO's sydlige flanke;</w:t>
      </w:r>
    </w:p>
    <w:p w:rsidR="00D561A2" w:rsidRPr="00D22AB1" w:rsidP="00D561A2" w14:paraId="40D29B29" w14:textId="60D325F5">
      <w:pPr>
        <w:pStyle w:val="NormalHanging12a"/>
      </w:pPr>
      <w:r>
        <w:t>64</w:t>
      </w:r>
      <w:r w:rsidRPr="00D22AB1">
        <w:t>.</w:t>
      </w:r>
      <w:r w:rsidRPr="00D22AB1">
        <w:tab/>
        <w:t xml:space="preserve">glæder sig over vedtagelsen af energiloven i maj </w:t>
      </w:r>
      <w:r w:rsidRPr="00D22AB1" w:rsidR="00EE528C">
        <w:t>2025</w:t>
      </w:r>
      <w:r w:rsidRPr="00D22AB1">
        <w:t>, men understreger, at landet stadig er stærkt afhængigt af kul; opfordrer til en hurtig udbredelse af vedvarende energi og øget fokus på energieffektivitet, navnlig for bygninger;</w:t>
      </w:r>
    </w:p>
    <w:p w:rsidR="00D561A2" w:rsidRPr="00D22AB1" w:rsidP="00D561A2" w14:paraId="6A974E8E" w14:textId="1F641E3E">
      <w:pPr>
        <w:pStyle w:val="NormalHanging12a"/>
        <w:rPr>
          <w:bCs/>
          <w:iCs/>
        </w:rPr>
      </w:pPr>
      <w:r>
        <w:t>65</w:t>
      </w:r>
      <w:r w:rsidRPr="00D22AB1">
        <w:t>.</w:t>
      </w:r>
      <w:r w:rsidRPr="00D22AB1">
        <w:tab/>
        <w:t>beklager, at der kun er gjort få fremskridt inden for miljølovgivningen; opfordrer navnlig til, at der hurtigst muligt skrides til handling for at løse spørgsmål om luft- og vandkvalitet og spildevandsforvaltning, herunder gennem øget og klart øremærket national finansiering til vandforsynings- og sanitetsinfrastruktur i byområder og landdistrikter, hvor landsbyernes vandsystemer, hvor det er muligt, integreres i de offentlige tjenester, med klart tildelte institutionelle ansvarsområder, og sikring af regelmæssig sanitets- og laboratoriekontrol med offentliggørelse af resultater og styrkede inspektioner, herunder indførelse af sanktioner for uregulerede, dårligt vedligeholdte eller forurenende systemer;</w:t>
      </w:r>
    </w:p>
    <w:p w:rsidR="00D561A2" w:rsidRPr="00D22AB1" w:rsidP="00D561A2" w14:paraId="49AD958C" w14:textId="5EE8FC20">
      <w:pPr>
        <w:pStyle w:val="NormalHanging12a"/>
        <w:rPr>
          <w:bCs/>
          <w:iCs/>
        </w:rPr>
      </w:pPr>
      <w:r>
        <w:t>66</w:t>
      </w:r>
      <w:r w:rsidRPr="00D22AB1">
        <w:t>.</w:t>
      </w:r>
      <w:r w:rsidRPr="00D22AB1">
        <w:tab/>
        <w:t>bemærker med bekymring de vedvarende høje niveauer af luftforurening, navnlig i byområder, som er stærkt forbundet med forbrænding af kul og cementproduktion; udtrykker i den forbindelse alvorlig bekymring over den nye lov om kontrol med industrielle emissioner og opfordrer indtrængende myndighederne til at ændre den gennem en gennemsigtig og inklusiv offentlig procedure, der inddrager alle relevante interessenter, navnlig miljøeksperter og civilsamfundsorganisationer; understreger det presserende behov for at forbedre luftkvaliteten i byerne, herunder gennem indførelsen af lavemissionszoner og erhvervelsen af moderne, mindre forurenende offentlige transportmidler;</w:t>
      </w:r>
    </w:p>
    <w:p w:rsidR="00D561A2" w:rsidRPr="00D22AB1" w:rsidP="00D561A2" w14:paraId="234EEE48" w14:textId="2B1D3C08">
      <w:pPr>
        <w:pStyle w:val="NormalHanging12a"/>
        <w:rPr>
          <w:bCs/>
          <w:iCs/>
        </w:rPr>
      </w:pPr>
      <w:r>
        <w:t>67</w:t>
      </w:r>
      <w:r w:rsidRPr="00D22AB1">
        <w:t>.</w:t>
      </w:r>
      <w:r w:rsidRPr="00D22AB1">
        <w:tab/>
        <w:t xml:space="preserve">bemærker med bekymring de begrænsede fremskridt med gennemførelsen af horisontal miljølovgivning og opfordrer indtrængende Nordmakedonien til fuldt ud at tilpasse sig </w:t>
      </w:r>
      <w:r w:rsidRPr="00D22AB1">
        <w:t>og effektivt gennemføre direktiverne om miljøkonsekvensvurdering</w:t>
      </w:r>
      <w:r>
        <w:rPr>
          <w:rStyle w:val="FootnoteReference"/>
          <w:bCs/>
          <w:iCs/>
        </w:rPr>
        <w:footnoteReference w:id="9"/>
      </w:r>
      <w:r w:rsidRPr="00D22AB1">
        <w:t xml:space="preserve"> og strategisk miljøvurdering</w:t>
      </w:r>
      <w:r>
        <w:rPr>
          <w:rStyle w:val="FootnoteReference"/>
          <w:bCs/>
          <w:iCs/>
        </w:rPr>
        <w:footnoteReference w:id="10"/>
      </w:r>
      <w:r w:rsidRPr="00D22AB1">
        <w:t>, herunder afledt ret vedrørende små vandkraftprojekter;</w:t>
      </w:r>
    </w:p>
    <w:p w:rsidR="00D561A2" w:rsidRPr="00D22AB1" w:rsidP="00D561A2" w14:paraId="26181281" w14:textId="1B94C1AB">
      <w:pPr>
        <w:pStyle w:val="NormalHanging12a"/>
        <w:rPr>
          <w:bCs/>
          <w:iCs/>
        </w:rPr>
      </w:pPr>
      <w:r>
        <w:t>68</w:t>
      </w:r>
      <w:r w:rsidRPr="00D22AB1">
        <w:t>.</w:t>
      </w:r>
      <w:r w:rsidRPr="00D22AB1">
        <w:tab/>
        <w:t xml:space="preserve">opfordrer indtrængende Nordmakedoniens regering og de lokale myndigheder til at intensivere foranstaltningerne vedrørende biodiversitet, etablere en effektiv retlig beskyttelse af </w:t>
      </w:r>
      <w:r w:rsidRPr="00D22AB1">
        <w:t>Emerald</w:t>
      </w:r>
      <w:r w:rsidRPr="00D22AB1">
        <w:t xml:space="preserve">-områder, der er udpeget i henhold til Bernkonventionen, og fremskynde kortlægningen og udpegelsen af fremtidige Natura </w:t>
      </w:r>
      <w:r w:rsidRPr="00D22AB1" w:rsidR="00EE528C">
        <w:t>2000</w:t>
      </w:r>
      <w:r w:rsidRPr="00D22AB1">
        <w:t>-lokaliteter; opfordrer indtrængende Nordmakedoniens regering til at prioritere og fremskynde vedtagelsen af en ny lov om naturbeskyttelse for at erstatte den forældede retlige ramme og sikre fuld tilpasning til EU's habitatdirektiv</w:t>
      </w:r>
      <w:r>
        <w:rPr>
          <w:rStyle w:val="FootnoteReference"/>
          <w:bCs/>
          <w:iCs/>
        </w:rPr>
        <w:footnoteReference w:id="11"/>
      </w:r>
      <w:r w:rsidRPr="00D22AB1">
        <w:t xml:space="preserve"> og fugledirektiv</w:t>
      </w:r>
      <w:r>
        <w:rPr>
          <w:rStyle w:val="FootnoteReference"/>
          <w:bCs/>
          <w:iCs/>
        </w:rPr>
        <w:footnoteReference w:id="12"/>
      </w:r>
      <w:r w:rsidRPr="00D22AB1">
        <w:t>;</w:t>
      </w:r>
    </w:p>
    <w:p w:rsidR="00D561A2" w:rsidRPr="00D22AB1" w:rsidP="00D561A2" w14:paraId="048AAA3F" w14:textId="34D690E4">
      <w:pPr>
        <w:pStyle w:val="NormalHanging12a"/>
        <w:rPr>
          <w:bCs/>
          <w:iCs/>
        </w:rPr>
      </w:pPr>
      <w:r>
        <w:t>69</w:t>
      </w:r>
      <w:r w:rsidRPr="00D22AB1">
        <w:t>.</w:t>
      </w:r>
      <w:r w:rsidRPr="00D22AB1">
        <w:tab/>
        <w:t xml:space="preserve">glæder sig over Nordmakedoniens fortsatte samarbejde med Kosovo og Albanien om den grænseoverskridende nationalpark med </w:t>
      </w:r>
      <w:r w:rsidRPr="00D22AB1">
        <w:t>Šar</w:t>
      </w:r>
      <w:r w:rsidRPr="00D22AB1">
        <w:t xml:space="preserve">-bjergene; gentager, at der er et presserende behov for at vedtage loven om genudnævnelse af </w:t>
      </w:r>
      <w:r w:rsidRPr="00D22AB1">
        <w:t>Mavrovo</w:t>
      </w:r>
      <w:r w:rsidRPr="00D22AB1">
        <w:t xml:space="preserve">-nationalparken og for at færdiggøre og effektivt gennemføre forvaltningsplanen herfor; opfordrer til, at </w:t>
      </w:r>
      <w:r w:rsidRPr="00D22AB1">
        <w:t>Jablanica</w:t>
      </w:r>
      <w:r w:rsidRPr="00D22AB1">
        <w:t xml:space="preserve"> opføres på den nationale liste over beskyttede områder; opfordrer indtrængende Nordmakedonien til at udarbejde og gennemføre en national handlingsplan og forvaltningsplan for bevarelse af balkanlossen i overensstemmelse med den regionale strategi og i samarbejde med nabolandene, herunder med henblik på at opretholde økologisk </w:t>
      </w:r>
      <w:r w:rsidRPr="00D22AB1">
        <w:t>konnektivitet</w:t>
      </w:r>
      <w:r w:rsidRPr="00D22AB1">
        <w:t xml:space="preserve"> mellem væsentlige levesteder, herunder </w:t>
      </w:r>
      <w:r w:rsidRPr="00D22AB1">
        <w:t>Mavrovo</w:t>
      </w:r>
      <w:r w:rsidRPr="00D22AB1">
        <w:t xml:space="preserve"> og </w:t>
      </w:r>
      <w:r w:rsidRPr="00D22AB1">
        <w:t>Jablanica</w:t>
      </w:r>
      <w:r w:rsidRPr="00D22AB1">
        <w:t xml:space="preserve"> og områder, der overskrider landegrænser;</w:t>
      </w:r>
    </w:p>
    <w:p w:rsidR="00D561A2" w:rsidRPr="00D22AB1" w:rsidP="00D561A2" w14:paraId="56B1DC05" w14:textId="77777777">
      <w:pPr>
        <w:pStyle w:val="NormalHanging12a"/>
        <w:rPr>
          <w:b/>
        </w:rPr>
      </w:pPr>
      <w:r w:rsidRPr="00D22AB1">
        <w:rPr>
          <w:b/>
          <w:i/>
        </w:rPr>
        <w:t>Regionalt samarbejde og udenrigspolitik</w:t>
      </w:r>
    </w:p>
    <w:p w:rsidR="00D561A2" w:rsidRPr="00D22AB1" w:rsidP="00D561A2" w14:paraId="0052A14F" w14:textId="26815784">
      <w:pPr>
        <w:pStyle w:val="NormalHanging12a"/>
      </w:pPr>
      <w:r>
        <w:t>70</w:t>
      </w:r>
      <w:r w:rsidRPr="00D22AB1">
        <w:t>.</w:t>
      </w:r>
      <w:r w:rsidRPr="00D22AB1">
        <w:tab/>
        <w:t>glæder sig over Nordmakedoniens værdifulde og betydelige bidrag til samarbejde og stabilitet i regionen gennem dets engagement i regionale økonomiske og diplomatiske initiativer såsom Berlinprocessen, vækstplanen for Vestbalkan og gennemførelsen af aftaler om det fælles regionale marked;</w:t>
      </w:r>
    </w:p>
    <w:p w:rsidR="00D561A2" w:rsidRPr="00D22AB1" w:rsidP="00D561A2" w14:paraId="7D02FFFA" w14:textId="4B0730E1">
      <w:pPr>
        <w:pStyle w:val="NormalHanging12a"/>
        <w:rPr>
          <w:bCs/>
          <w:iCs/>
        </w:rPr>
      </w:pPr>
      <w:r>
        <w:t>71</w:t>
      </w:r>
      <w:r w:rsidRPr="00D22AB1">
        <w:t>.</w:t>
      </w:r>
      <w:r w:rsidRPr="00D22AB1">
        <w:tab/>
        <w:t xml:space="preserve">opfordrer til en konsekvent forpligtelse til dialog og samarbejde med nabolandene for at styrke den regionale stabilitet og fremme den gensidige tillid; opfordrer til yderligere at fremme mellemfolkelige kontakter i hele Sydøsteuropa; </w:t>
      </w:r>
      <w:bookmarkStart w:id="14" w:name="_Hlk229472357"/>
      <w:r w:rsidRPr="00D22AB1">
        <w:t xml:space="preserve">understreger vigtigheden af at gennemføre internationale aftaler i god tro, bl.a. </w:t>
      </w:r>
      <w:r w:rsidRPr="00D22AB1">
        <w:t>Prespaaftalen</w:t>
      </w:r>
      <w:r w:rsidRPr="00D22AB1">
        <w:t xml:space="preserve"> og traktaten om venskab, godt naboskab og samarbejde med Bulgarien;</w:t>
      </w:r>
      <w:bookmarkEnd w:id="14"/>
    </w:p>
    <w:p w:rsidR="00D561A2" w:rsidRPr="00D22AB1" w:rsidP="00D561A2" w14:paraId="7723276F" w14:textId="6DEAFDFA">
      <w:pPr>
        <w:pStyle w:val="NormalHanging12a"/>
        <w:rPr>
          <w:bCs/>
          <w:iCs/>
        </w:rPr>
      </w:pPr>
      <w:r>
        <w:t>72</w:t>
      </w:r>
      <w:r w:rsidRPr="00D22AB1">
        <w:t>.</w:t>
      </w:r>
      <w:r w:rsidRPr="00D22AB1">
        <w:tab/>
        <w:t xml:space="preserve">anerkender, at der findes forskellige fortolkninger af det makedonske samfunds historiske karakteristika; understreger, at Parlamentets betænkning ikke har til formål at foregribe eller begrænse den videnskabelige debat om disse spørgsmål, og at sådanne fortolkninger heller ikke har indflydelse på dets vurdering af Nordmakedoniens fremskridt hen imod tiltrædelse af EU, som fortsat har udgangspunkt i Københavnskriterierne og principperne om gode naboskabsforbindelser; opfordrer </w:t>
      </w:r>
      <w:r w:rsidRPr="00D22AB1">
        <w:t>indtrængende alle parter til at genoptage arbejdet i den fælles tværfaglige ekspertkommission om historiske og uddannelsesmæssige spørgsmål i Bulgarien og Nordmakedonien og til at udføre dette arbejde i god tro og derved bringe samfundene tættere sammen; fordømmer ethvert forsøg på at erstatte historiske monumenter og/eller artefakter, herunder ødelæggelse af autentisk kulturarv; beklager ødelæggelsen og forfalskningen af bulgarske indskrifter;</w:t>
      </w:r>
    </w:p>
    <w:p w:rsidR="00D561A2" w:rsidRPr="00D22AB1" w:rsidP="00D561A2" w14:paraId="1AACC117" w14:textId="6B1E62A5">
      <w:pPr>
        <w:pStyle w:val="NormalHanging12a"/>
        <w:rPr>
          <w:bCs/>
          <w:iCs/>
        </w:rPr>
      </w:pPr>
      <w:r>
        <w:t>73</w:t>
      </w:r>
      <w:r w:rsidRPr="00D22AB1">
        <w:t>.</w:t>
      </w:r>
      <w:r w:rsidRPr="00D22AB1">
        <w:tab/>
        <w:t xml:space="preserve">udtrykker stærk bekymring over, at det seneste møde i den fælles mellemstatslige kommission, der er nedsat i henhold til artikel </w:t>
      </w:r>
      <w:r w:rsidRPr="00D22AB1" w:rsidR="00EE528C">
        <w:t>12</w:t>
      </w:r>
      <w:r w:rsidRPr="00D22AB1">
        <w:t xml:space="preserve"> i traktaten om venskab, godt naboskab og samarbejde, blev afholdt den </w:t>
      </w:r>
      <w:r w:rsidRPr="00D22AB1" w:rsidR="00EE528C">
        <w:t>17</w:t>
      </w:r>
      <w:r w:rsidRPr="00D22AB1">
        <w:t xml:space="preserve">. juli </w:t>
      </w:r>
      <w:r w:rsidRPr="00D22AB1" w:rsidR="00EE528C">
        <w:t>2022</w:t>
      </w:r>
      <w:r w:rsidRPr="00D22AB1">
        <w:t>, og at der ikke er blevet afholdt noget nyt møde siden da; opfordrer indtrængende regeringerne i Bulgarien og Nordmakedonien til hurtigt at tilrettelægge det tredje møde i den fælles mellemstatslige kommission for at gøre fremskridt med gennemførelsen af traktaten og protokollerne hertil;</w:t>
      </w:r>
    </w:p>
    <w:p w:rsidR="00D561A2" w:rsidRPr="00D22AB1" w:rsidP="00D561A2" w14:paraId="70785B41" w14:textId="07BB337B">
      <w:pPr>
        <w:pStyle w:val="NormalHanging12a"/>
        <w:rPr>
          <w:bCs/>
          <w:iCs/>
        </w:rPr>
      </w:pPr>
      <w:r>
        <w:t>74</w:t>
      </w:r>
      <w:r w:rsidRPr="00D22AB1">
        <w:t>.</w:t>
      </w:r>
      <w:r w:rsidRPr="00D22AB1">
        <w:tab/>
        <w:t>opfordrer indtrængende den fælles tværfaglige ekspertkommission om historiske og uddannelsesmæssige spørgsmål i Bulgarien og Nordmakedonien, der blev oprettet som følge af traktaten om godt naboskab med Bulgarien, til at opnå klare og håndgribelige resultater; understreger, at teksterne bør afspejle fortolkningen af historiske fakta og tal fra de to folks fælles historie baseret på objektive, autentiske og evidensbaserede historiske kilder og dokumenter, videnskabelig fortolkning og historiske begivenheder som fastsat i den anden protokol til traktaten med Bulgarien;</w:t>
      </w:r>
    </w:p>
    <w:p w:rsidR="00D561A2" w:rsidRPr="00D22AB1" w:rsidP="00D561A2" w14:paraId="5451CCE4" w14:textId="33B29993">
      <w:pPr>
        <w:pStyle w:val="NormalHanging12a"/>
        <w:rPr>
          <w:bCs/>
          <w:iCs/>
        </w:rPr>
      </w:pPr>
      <w:r>
        <w:t>75</w:t>
      </w:r>
      <w:r w:rsidRPr="00D22AB1">
        <w:t>.</w:t>
      </w:r>
      <w:r w:rsidRPr="00D22AB1">
        <w:tab/>
        <w:t>bemærker med bekymring de stadig stærkere forbindelser mellem Nordmakedonien og Serbiens regering, som forfølger en illiberal dagsorden; advarer endvidere mod den voksende kinesiske økonomiske og politiske indflydelse i regionen, som navnlig udøves gennem infrastrukturprojekter og långivning; bemærker med lige så stor bekymring beretningerne om Ruslands tiltag for at udøve indflydelse i Nordmakedonien; opfordrer EU til at støtte Nordmakedonien i at styrke modstandsdygtigheden over for ekstern indflydelse, der udøves gennem religiøse netværk; udtrykker bekymring over visse narrativer, der fremmes i regionen, og som sætter spørgsmålstegn ved landenes suverænitet og territoriale integritet, herunder den såkaldte serbiske verden;</w:t>
      </w:r>
    </w:p>
    <w:p w:rsidR="00D561A2" w:rsidRPr="00D22AB1" w:rsidP="00D561A2" w14:paraId="612E1F77" w14:textId="65BA7677">
      <w:pPr>
        <w:pStyle w:val="NormalHanging12a"/>
        <w:rPr>
          <w:bCs/>
          <w:iCs/>
        </w:rPr>
      </w:pPr>
      <w:r>
        <w:t>76</w:t>
      </w:r>
      <w:r w:rsidRPr="00D22AB1">
        <w:t>.</w:t>
      </w:r>
      <w:r w:rsidRPr="00D22AB1">
        <w:tab/>
        <w:t>minder om behovet for at åbne de jugoslaviske efterretningstjenesters arkiver (UDBA og KOS), der opbevares både i Nordmakedonien og i Serbien; understreger behovet for at åbne disse arkiver i hele regionen for at bearbejde den totalitære fortid på en gennemsigtig måde og derved styrke demokratiet, ansvarligheden og institutionerne på Vestbalkan;</w:t>
      </w:r>
    </w:p>
    <w:p w:rsidR="00D561A2" w:rsidRPr="00D22AB1" w:rsidP="00D561A2" w14:paraId="417A13DD" w14:textId="3D5F99CF">
      <w:pPr>
        <w:pStyle w:val="NormalHanging12a"/>
        <w:rPr>
          <w:bCs/>
          <w:iCs/>
        </w:rPr>
      </w:pPr>
      <w:r>
        <w:t>77</w:t>
      </w:r>
      <w:r w:rsidRPr="00D22AB1">
        <w:t>.</w:t>
      </w:r>
      <w:r w:rsidRPr="00D22AB1">
        <w:tab/>
        <w:t>roser Nordmakedoniens stærke og mangeårige tilpasning til EU's udenrigs-, sikkerheds- og forsvarspolitik, herunder med hensyn til restriktive foranstaltninger; beklager imidlertid stigningen i antallet af stemmeundladelser ved vigtige afstemninger i internationale organer i stedet for at følge flertallets holdning i EU; opfordrer derfor Nordmakedoniens regering til i tvivlstilfælde at tilslutte sig flertallets holdning i EU;</w:t>
      </w:r>
      <w:r w:rsidRPr="00D22AB1">
        <w:rPr>
          <w:b/>
          <w:i/>
        </w:rPr>
        <w:t xml:space="preserve"> </w:t>
      </w:r>
      <w:r w:rsidRPr="00D22AB1">
        <w:t>fremhæver Nordmakedoniens geostrategiske betydning og vigtige rolle som medlem af NATO; glæder sig over landets aktive deltagelse i EU's missioner og operationer under den fælles sikkerheds- og forsvarspolitik og dets bidrag til EU's ledende rolle inden for fredsbevarelse, konfliktforebyggelse og international krisestyring; glæder sig over Nordmakedoniens vilje til at styrke samarbejdet med EU inden for rammerne af sikkerheds- og forsvarspartnerskabet;</w:t>
      </w:r>
    </w:p>
    <w:p w:rsidR="00D561A2" w:rsidRPr="00D22AB1" w:rsidP="00D561A2" w14:paraId="0358D3E4" w14:textId="77777777">
      <w:pPr>
        <w:pStyle w:val="NormalHanging12a"/>
        <w:jc w:val="center"/>
      </w:pPr>
      <w:r w:rsidRPr="00D22AB1">
        <w:t>°</w:t>
      </w:r>
    </w:p>
    <w:p w:rsidR="00D561A2" w:rsidRPr="00D22AB1" w:rsidP="00D561A2" w14:paraId="01C573B3" w14:textId="77777777">
      <w:pPr>
        <w:pStyle w:val="NormalHanging12a"/>
        <w:jc w:val="center"/>
      </w:pPr>
      <w:r w:rsidRPr="00D22AB1">
        <w:t>°</w:t>
      </w:r>
      <w:r w:rsidRPr="00D22AB1">
        <w:tab/>
        <w:t>°</w:t>
      </w:r>
    </w:p>
    <w:p w:rsidR="009F1371" w:rsidRPr="00D22AB1" w:rsidP="009F1371" w14:paraId="0EF45167" w14:textId="179C673A">
      <w:pPr>
        <w:pStyle w:val="NormalHanging12a"/>
      </w:pPr>
      <w:r>
        <w:t>78</w:t>
      </w:r>
      <w:r w:rsidRPr="00D22AB1" w:rsidR="00D561A2">
        <w:t>.</w:t>
      </w:r>
      <w:r w:rsidRPr="00D22AB1" w:rsidR="00D561A2">
        <w:tab/>
        <w:t>pålægger sin formand at sende denne beslutning til formanden for Det Europæiske Råd, Rådet, Kommissionen, næstformanden for Kommissionen/Unionens højtstående repræsentant for udenrigsanliggender og sikkerhedspolitik, medlemsstaternes regeringer og parlamenter samt til Republikken Nordmakedoniens præsident, regering og parlament.</w:t>
      </w:r>
      <w:bookmarkEnd w:id="8"/>
    </w:p>
    <w:p w:rsidR="00E365E1" w:rsidRPr="00D22AB1" w:rsidP="00B22943" w14:paraId="028A8D32" w14:textId="4F5A3B31"/>
    <w:sectPr w:rsidSect="009F13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22943" w:rsidRPr="009F1371" w14:paraId="72BD99DA" w14:textId="77777777">
      <w:r w:rsidRPr="009F1371">
        <w:separator/>
      </w:r>
    </w:p>
  </w:footnote>
  <w:footnote w:type="continuationSeparator" w:id="1">
    <w:p w:rsidR="00B22943" w:rsidRPr="009F1371" w14:paraId="7712FB63" w14:textId="77777777">
      <w:r w:rsidRPr="009F1371">
        <w:continuationSeparator/>
      </w:r>
    </w:p>
  </w:footnote>
  <w:footnote w:id="2">
    <w:p w:rsidR="00D561A2" w:rsidRPr="009F1371" w:rsidP="009F1371" w14:paraId="2F6A3D7A" w14:textId="2B6D7C34">
      <w:pPr>
        <w:pStyle w:val="FootnoteText"/>
        <w:ind w:left="567" w:hanging="567"/>
        <w:rPr>
          <w:color w:val="000000"/>
          <w:sz w:val="24"/>
          <w:lang w:val="da-DK"/>
        </w:rPr>
      </w:pPr>
      <w:r w:rsidRPr="009F1371">
        <w:rPr>
          <w:rStyle w:val="FootnoteReference"/>
          <w:sz w:val="24"/>
          <w:lang w:val="da-DK"/>
        </w:rPr>
        <w:footnoteRef/>
      </w:r>
      <w:r w:rsidRPr="009F1371" w:rsidR="009F1371">
        <w:rPr>
          <w:color w:val="000000"/>
          <w:sz w:val="24"/>
          <w:lang w:val="da-DK"/>
        </w:rPr>
        <w:t xml:space="preserve"> </w:t>
      </w:r>
      <w:r w:rsidRPr="009F1371" w:rsidR="009F1371">
        <w:rPr>
          <w:color w:val="000000"/>
          <w:sz w:val="24"/>
          <w:lang w:val="da-DK"/>
        </w:rPr>
        <w:tab/>
      </w:r>
      <w:r w:rsidRPr="009F1371">
        <w:rPr>
          <w:color w:val="000000"/>
          <w:sz w:val="24"/>
          <w:lang w:val="da-DK"/>
        </w:rPr>
        <w:t xml:space="preserve">EUT L </w:t>
      </w:r>
      <w:r w:rsidRPr="00EE528C" w:rsidR="00EE528C">
        <w:rPr>
          <w:color w:val="000000"/>
          <w:sz w:val="24"/>
          <w:lang w:val="da-DK"/>
        </w:rPr>
        <w:t>84</w:t>
      </w:r>
      <w:r w:rsidRPr="009F1371">
        <w:rPr>
          <w:color w:val="000000"/>
          <w:sz w:val="24"/>
          <w:lang w:val="da-DK"/>
        </w:rPr>
        <w:t xml:space="preserve"> af </w:t>
      </w:r>
      <w:r w:rsidRPr="00EE528C" w:rsidR="00EE528C">
        <w:rPr>
          <w:color w:val="000000"/>
          <w:sz w:val="24"/>
          <w:lang w:val="da-DK"/>
        </w:rPr>
        <w:t>20</w:t>
      </w:r>
      <w:r w:rsidRPr="009F1371">
        <w:rPr>
          <w:color w:val="000000"/>
          <w:sz w:val="24"/>
          <w:lang w:val="da-DK"/>
        </w:rPr>
        <w:t>.</w:t>
      </w:r>
      <w:r w:rsidRPr="00EE528C" w:rsidR="00EE528C">
        <w:rPr>
          <w:color w:val="000000"/>
          <w:sz w:val="24"/>
          <w:lang w:val="da-DK"/>
        </w:rPr>
        <w:t>3</w:t>
      </w:r>
      <w:r w:rsidRPr="009F1371">
        <w:rPr>
          <w:color w:val="000000"/>
          <w:sz w:val="24"/>
          <w:lang w:val="da-DK"/>
        </w:rPr>
        <w:t>.</w:t>
      </w:r>
      <w:r w:rsidRPr="00EE528C" w:rsidR="00EE528C">
        <w:rPr>
          <w:color w:val="000000"/>
          <w:sz w:val="24"/>
          <w:lang w:val="da-DK"/>
        </w:rPr>
        <w:t>2004</w:t>
      </w:r>
      <w:r w:rsidRPr="009F1371">
        <w:rPr>
          <w:color w:val="000000"/>
          <w:sz w:val="24"/>
          <w:lang w:val="da-DK"/>
        </w:rPr>
        <w:t xml:space="preserve">, s. </w:t>
      </w:r>
      <w:r w:rsidRPr="00EE528C" w:rsidR="00EE528C">
        <w:rPr>
          <w:color w:val="000000"/>
          <w:sz w:val="24"/>
          <w:lang w:val="da-DK"/>
        </w:rPr>
        <w:t>13</w:t>
      </w:r>
      <w:r w:rsidRPr="009F1371">
        <w:rPr>
          <w:color w:val="000000"/>
          <w:sz w:val="24"/>
          <w:lang w:val="da-DK"/>
        </w:rPr>
        <w:t xml:space="preserve">, ELI: </w:t>
      </w:r>
      <w:hyperlink r:id="rId1" w:history="1">
        <w:r w:rsidRPr="009F1371">
          <w:rPr>
            <w:rStyle w:val="Hyperlink"/>
            <w:color w:val="0563C1"/>
            <w:sz w:val="24"/>
            <w:lang w:val="da-DK"/>
          </w:rPr>
          <w:t>http://data.europa.eu/eli/agree_internation/</w:t>
        </w:r>
        <w:r w:rsidRPr="00EE528C" w:rsidR="00EE528C">
          <w:rPr>
            <w:rStyle w:val="Hyperlink"/>
            <w:color w:val="0563C1"/>
            <w:sz w:val="24"/>
            <w:lang w:val="da-DK"/>
          </w:rPr>
          <w:t>2004</w:t>
        </w:r>
        <w:r w:rsidRPr="009F1371">
          <w:rPr>
            <w:rStyle w:val="Hyperlink"/>
            <w:color w:val="0563C1"/>
            <w:sz w:val="24"/>
            <w:lang w:val="da-DK"/>
          </w:rPr>
          <w:t>/</w:t>
        </w:r>
        <w:r w:rsidRPr="00EE528C" w:rsidR="00EE528C">
          <w:rPr>
            <w:rStyle w:val="Hyperlink"/>
            <w:color w:val="0563C1"/>
            <w:sz w:val="24"/>
            <w:lang w:val="da-DK"/>
          </w:rPr>
          <w:t>239</w:t>
        </w:r>
        <w:r w:rsidRPr="009F1371">
          <w:rPr>
            <w:rStyle w:val="Hyperlink"/>
            <w:color w:val="0563C1"/>
            <w:sz w:val="24"/>
            <w:lang w:val="da-DK"/>
          </w:rPr>
          <w:t>(</w:t>
        </w:r>
        <w:r w:rsidRPr="00EE528C" w:rsidR="00EE528C">
          <w:rPr>
            <w:rStyle w:val="Hyperlink"/>
            <w:color w:val="0563C1"/>
            <w:sz w:val="24"/>
            <w:lang w:val="da-DK"/>
          </w:rPr>
          <w:t>2</w:t>
        </w:r>
        <w:r w:rsidRPr="009F1371">
          <w:rPr>
            <w:rStyle w:val="Hyperlink"/>
            <w:color w:val="0563C1"/>
            <w:sz w:val="24"/>
            <w:lang w:val="da-DK"/>
          </w:rPr>
          <w:t>)/oj</w:t>
        </w:r>
      </w:hyperlink>
      <w:r w:rsidRPr="009F1371">
        <w:rPr>
          <w:color w:val="000000"/>
          <w:sz w:val="24"/>
          <w:lang w:val="da-DK"/>
        </w:rPr>
        <w:t>.</w:t>
      </w:r>
    </w:p>
  </w:footnote>
  <w:footnote w:id="3">
    <w:p w:rsidR="00D561A2" w:rsidRPr="009F1371" w:rsidP="009F1371" w14:paraId="19C549F7" w14:textId="44934E0D">
      <w:pPr>
        <w:pStyle w:val="FootnoteText"/>
        <w:ind w:left="567" w:hanging="567"/>
        <w:rPr>
          <w:color w:val="000000"/>
          <w:sz w:val="24"/>
          <w:lang w:val="da-DK"/>
        </w:rPr>
      </w:pPr>
      <w:r w:rsidRPr="009F1371">
        <w:rPr>
          <w:rStyle w:val="FootnoteReference"/>
          <w:sz w:val="24"/>
          <w:lang w:val="da-DK"/>
        </w:rPr>
        <w:footnoteRef/>
      </w:r>
      <w:r w:rsidRPr="009F1371" w:rsidR="009F1371">
        <w:rPr>
          <w:color w:val="000000"/>
          <w:sz w:val="24"/>
          <w:lang w:val="da-DK"/>
        </w:rPr>
        <w:t xml:space="preserve"> </w:t>
      </w:r>
      <w:r w:rsidRPr="009F1371" w:rsidR="009F1371">
        <w:rPr>
          <w:color w:val="000000"/>
          <w:sz w:val="24"/>
          <w:lang w:val="da-DK"/>
        </w:rPr>
        <w:tab/>
      </w:r>
      <w:r w:rsidRPr="009F1371">
        <w:rPr>
          <w:color w:val="000000"/>
          <w:sz w:val="24"/>
          <w:lang w:val="da-DK"/>
        </w:rPr>
        <w:t xml:space="preserve">EUT L </w:t>
      </w:r>
      <w:r w:rsidRPr="00EE528C" w:rsidR="00EE528C">
        <w:rPr>
          <w:color w:val="000000"/>
          <w:sz w:val="24"/>
          <w:lang w:val="da-DK"/>
        </w:rPr>
        <w:t>330</w:t>
      </w:r>
      <w:r w:rsidRPr="009F1371">
        <w:rPr>
          <w:color w:val="000000"/>
          <w:sz w:val="24"/>
          <w:lang w:val="da-DK"/>
        </w:rPr>
        <w:t xml:space="preserve"> af </w:t>
      </w:r>
      <w:r w:rsidRPr="00EE528C" w:rsidR="00EE528C">
        <w:rPr>
          <w:color w:val="000000"/>
          <w:sz w:val="24"/>
          <w:lang w:val="da-DK"/>
        </w:rPr>
        <w:t>20</w:t>
      </w:r>
      <w:r w:rsidRPr="009F1371">
        <w:rPr>
          <w:color w:val="000000"/>
          <w:sz w:val="24"/>
          <w:lang w:val="da-DK"/>
        </w:rPr>
        <w:t>.</w:t>
      </w:r>
      <w:r w:rsidRPr="00EE528C" w:rsidR="00EE528C">
        <w:rPr>
          <w:color w:val="000000"/>
          <w:sz w:val="24"/>
          <w:lang w:val="da-DK"/>
        </w:rPr>
        <w:t>9</w:t>
      </w:r>
      <w:r w:rsidRPr="009F1371">
        <w:rPr>
          <w:color w:val="000000"/>
          <w:sz w:val="24"/>
          <w:lang w:val="da-DK"/>
        </w:rPr>
        <w:t>.</w:t>
      </w:r>
      <w:r w:rsidRPr="00EE528C" w:rsidR="00EE528C">
        <w:rPr>
          <w:color w:val="000000"/>
          <w:sz w:val="24"/>
          <w:lang w:val="da-DK"/>
        </w:rPr>
        <w:t>2021</w:t>
      </w:r>
      <w:r w:rsidRPr="009F1371">
        <w:rPr>
          <w:color w:val="000000"/>
          <w:sz w:val="24"/>
          <w:lang w:val="da-DK"/>
        </w:rPr>
        <w:t xml:space="preserve">, s. </w:t>
      </w:r>
      <w:r w:rsidRPr="00EE528C" w:rsidR="00EE528C">
        <w:rPr>
          <w:color w:val="000000"/>
          <w:sz w:val="24"/>
          <w:lang w:val="da-DK"/>
        </w:rPr>
        <w:t>1</w:t>
      </w:r>
      <w:r w:rsidRPr="009F1371">
        <w:rPr>
          <w:color w:val="000000"/>
          <w:sz w:val="24"/>
          <w:lang w:val="da-DK"/>
        </w:rPr>
        <w:t xml:space="preserve">, ELI: </w:t>
      </w:r>
      <w:hyperlink r:id="rId2" w:history="1">
        <w:r w:rsidRPr="009F1371">
          <w:rPr>
            <w:rStyle w:val="Hyperlink"/>
            <w:color w:val="0563C1"/>
            <w:sz w:val="24"/>
            <w:lang w:val="da-DK"/>
          </w:rPr>
          <w:t>http://data.europa.eu/eli/reg/</w:t>
        </w:r>
        <w:r w:rsidRPr="00EE528C" w:rsidR="00EE528C">
          <w:rPr>
            <w:rStyle w:val="Hyperlink"/>
            <w:color w:val="0563C1"/>
            <w:sz w:val="24"/>
            <w:lang w:val="da-DK"/>
          </w:rPr>
          <w:t>2021</w:t>
        </w:r>
        <w:r w:rsidRPr="009F1371">
          <w:rPr>
            <w:rStyle w:val="Hyperlink"/>
            <w:color w:val="0563C1"/>
            <w:sz w:val="24"/>
            <w:lang w:val="da-DK"/>
          </w:rPr>
          <w:t>/</w:t>
        </w:r>
        <w:r w:rsidRPr="00EE528C" w:rsidR="00EE528C">
          <w:rPr>
            <w:rStyle w:val="Hyperlink"/>
            <w:color w:val="0563C1"/>
            <w:sz w:val="24"/>
            <w:lang w:val="da-DK"/>
          </w:rPr>
          <w:t>1529</w:t>
        </w:r>
        <w:r w:rsidRPr="009F1371">
          <w:rPr>
            <w:rStyle w:val="Hyperlink"/>
            <w:color w:val="0563C1"/>
            <w:sz w:val="24"/>
            <w:lang w:val="da-DK"/>
          </w:rPr>
          <w:t>/oj</w:t>
        </w:r>
      </w:hyperlink>
      <w:r w:rsidRPr="009F1371">
        <w:rPr>
          <w:color w:val="000000"/>
          <w:sz w:val="24"/>
          <w:lang w:val="da-DK"/>
        </w:rPr>
        <w:t>.</w:t>
      </w:r>
    </w:p>
  </w:footnote>
  <w:footnote w:id="4">
    <w:p w:rsidR="00D561A2" w:rsidRPr="009F1371" w:rsidP="009F1371" w14:paraId="40B337A3" w14:textId="6CC67A3E">
      <w:pPr>
        <w:pStyle w:val="FootnoteText"/>
        <w:ind w:left="567" w:hanging="567"/>
        <w:rPr>
          <w:color w:val="000000"/>
          <w:sz w:val="24"/>
          <w:lang w:val="da-DK"/>
        </w:rPr>
      </w:pPr>
      <w:r w:rsidRPr="009F1371">
        <w:rPr>
          <w:rStyle w:val="FootnoteReference"/>
          <w:sz w:val="24"/>
          <w:lang w:val="da-DK"/>
        </w:rPr>
        <w:footnoteRef/>
      </w:r>
      <w:r w:rsidRPr="009F1371" w:rsidR="009F1371">
        <w:rPr>
          <w:color w:val="000000"/>
          <w:sz w:val="24"/>
          <w:lang w:val="da-DK"/>
        </w:rPr>
        <w:t xml:space="preserve"> </w:t>
      </w:r>
      <w:r w:rsidRPr="009F1371" w:rsidR="009F1371">
        <w:rPr>
          <w:color w:val="000000"/>
          <w:sz w:val="24"/>
          <w:lang w:val="da-DK"/>
        </w:rPr>
        <w:tab/>
      </w:r>
      <w:r w:rsidRPr="009F1371">
        <w:rPr>
          <w:color w:val="000000"/>
          <w:sz w:val="24"/>
          <w:lang w:val="da-DK"/>
        </w:rPr>
        <w:t xml:space="preserve">EUT L, </w:t>
      </w:r>
      <w:r w:rsidRPr="00EE528C" w:rsidR="00EE528C">
        <w:rPr>
          <w:color w:val="000000"/>
          <w:sz w:val="24"/>
          <w:lang w:val="da-DK"/>
        </w:rPr>
        <w:t>2024</w:t>
      </w:r>
      <w:r w:rsidRPr="009F1371">
        <w:rPr>
          <w:color w:val="000000"/>
          <w:sz w:val="24"/>
          <w:lang w:val="da-DK"/>
        </w:rPr>
        <w:t>/</w:t>
      </w:r>
      <w:r w:rsidRPr="00EE528C" w:rsidR="00EE528C">
        <w:rPr>
          <w:color w:val="000000"/>
          <w:sz w:val="24"/>
          <w:lang w:val="da-DK"/>
        </w:rPr>
        <w:t>1449</w:t>
      </w:r>
      <w:r w:rsidRPr="009F1371">
        <w:rPr>
          <w:color w:val="000000"/>
          <w:sz w:val="24"/>
          <w:lang w:val="da-DK"/>
        </w:rPr>
        <w:t xml:space="preserve">, </w:t>
      </w:r>
      <w:r w:rsidRPr="00EE528C" w:rsidR="00EE528C">
        <w:rPr>
          <w:color w:val="000000"/>
          <w:sz w:val="24"/>
          <w:lang w:val="da-DK"/>
        </w:rPr>
        <w:t>24</w:t>
      </w:r>
      <w:r w:rsidRPr="009F1371">
        <w:rPr>
          <w:color w:val="000000"/>
          <w:sz w:val="24"/>
          <w:lang w:val="da-DK"/>
        </w:rPr>
        <w:t>.</w:t>
      </w:r>
      <w:r w:rsidRPr="00EE528C" w:rsidR="00EE528C">
        <w:rPr>
          <w:color w:val="000000"/>
          <w:sz w:val="24"/>
          <w:lang w:val="da-DK"/>
        </w:rPr>
        <w:t>5</w:t>
      </w:r>
      <w:r w:rsidRPr="009F1371">
        <w:rPr>
          <w:color w:val="000000"/>
          <w:sz w:val="24"/>
          <w:lang w:val="da-DK"/>
        </w:rPr>
        <w:t>.</w:t>
      </w:r>
      <w:r w:rsidRPr="00EE528C" w:rsidR="00EE528C">
        <w:rPr>
          <w:color w:val="000000"/>
          <w:sz w:val="24"/>
          <w:lang w:val="da-DK"/>
        </w:rPr>
        <w:t>2024</w:t>
      </w:r>
      <w:r w:rsidRPr="009F1371">
        <w:rPr>
          <w:color w:val="000000"/>
          <w:sz w:val="24"/>
          <w:lang w:val="da-DK"/>
        </w:rPr>
        <w:t xml:space="preserve">, ELI: </w:t>
      </w:r>
      <w:hyperlink r:id="rId3" w:history="1">
        <w:r w:rsidRPr="009F1371">
          <w:rPr>
            <w:rStyle w:val="Hyperlink"/>
            <w:color w:val="0563C1"/>
            <w:sz w:val="24"/>
            <w:lang w:val="da-DK"/>
          </w:rPr>
          <w:t>http://data.europa.eu/eli/reg/</w:t>
        </w:r>
        <w:r w:rsidRPr="00EE528C" w:rsidR="00EE528C">
          <w:rPr>
            <w:rStyle w:val="Hyperlink"/>
            <w:color w:val="0563C1"/>
            <w:sz w:val="24"/>
            <w:lang w:val="da-DK"/>
          </w:rPr>
          <w:t>2024</w:t>
        </w:r>
        <w:r w:rsidRPr="009F1371">
          <w:rPr>
            <w:rStyle w:val="Hyperlink"/>
            <w:color w:val="0563C1"/>
            <w:sz w:val="24"/>
            <w:lang w:val="da-DK"/>
          </w:rPr>
          <w:t>/</w:t>
        </w:r>
        <w:r w:rsidRPr="00EE528C" w:rsidR="00EE528C">
          <w:rPr>
            <w:rStyle w:val="Hyperlink"/>
            <w:color w:val="0563C1"/>
            <w:sz w:val="24"/>
            <w:lang w:val="da-DK"/>
          </w:rPr>
          <w:t>1449</w:t>
        </w:r>
        <w:r w:rsidRPr="009F1371">
          <w:rPr>
            <w:rStyle w:val="Hyperlink"/>
            <w:color w:val="0563C1"/>
            <w:sz w:val="24"/>
            <w:lang w:val="da-DK"/>
          </w:rPr>
          <w:t>/oj</w:t>
        </w:r>
      </w:hyperlink>
      <w:r w:rsidRPr="009F1371">
        <w:rPr>
          <w:color w:val="000000"/>
          <w:sz w:val="24"/>
          <w:lang w:val="da-DK"/>
        </w:rPr>
        <w:t>.</w:t>
      </w:r>
    </w:p>
  </w:footnote>
  <w:footnote w:id="5">
    <w:p w:rsidR="00D561A2" w:rsidRPr="009F1371" w:rsidP="009F1371" w14:paraId="366A36D1" w14:textId="7BC8CC84">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 xml:space="preserve">EUT C </w:t>
      </w:r>
      <w:r w:rsidRPr="00EE528C" w:rsidR="00EE528C">
        <w:rPr>
          <w:sz w:val="24"/>
          <w:lang w:val="da-DK"/>
        </w:rPr>
        <w:t>202</w:t>
      </w:r>
      <w:r w:rsidRPr="009F1371">
        <w:rPr>
          <w:sz w:val="24"/>
          <w:lang w:val="da-DK"/>
        </w:rPr>
        <w:t xml:space="preserve"> af </w:t>
      </w:r>
      <w:r w:rsidRPr="00EE528C" w:rsidR="00EE528C">
        <w:rPr>
          <w:sz w:val="24"/>
          <w:lang w:val="da-DK"/>
        </w:rPr>
        <w:t>28</w:t>
      </w:r>
      <w:r w:rsidRPr="009F1371">
        <w:rPr>
          <w:sz w:val="24"/>
          <w:lang w:val="da-DK"/>
        </w:rPr>
        <w:t>.</w:t>
      </w:r>
      <w:r w:rsidRPr="00EE528C" w:rsidR="00EE528C">
        <w:rPr>
          <w:sz w:val="24"/>
          <w:lang w:val="da-DK"/>
        </w:rPr>
        <w:t>5</w:t>
      </w:r>
      <w:r w:rsidRPr="009F1371">
        <w:rPr>
          <w:sz w:val="24"/>
          <w:lang w:val="da-DK"/>
        </w:rPr>
        <w:t>.</w:t>
      </w:r>
      <w:r w:rsidRPr="00EE528C" w:rsidR="00EE528C">
        <w:rPr>
          <w:sz w:val="24"/>
          <w:lang w:val="da-DK"/>
        </w:rPr>
        <w:t>2021</w:t>
      </w:r>
      <w:r w:rsidRPr="009F1371">
        <w:rPr>
          <w:sz w:val="24"/>
          <w:lang w:val="da-DK"/>
        </w:rPr>
        <w:t xml:space="preserve">, s. </w:t>
      </w:r>
      <w:r w:rsidRPr="00EE528C" w:rsidR="00EE528C">
        <w:rPr>
          <w:sz w:val="24"/>
          <w:lang w:val="da-DK"/>
        </w:rPr>
        <w:t>86</w:t>
      </w:r>
      <w:r w:rsidRPr="009F1371">
        <w:rPr>
          <w:sz w:val="24"/>
          <w:lang w:val="da-DK"/>
        </w:rPr>
        <w:t>.</w:t>
      </w:r>
    </w:p>
  </w:footnote>
  <w:footnote w:id="6">
    <w:p w:rsidR="00D561A2" w:rsidRPr="009F1371" w:rsidP="009F1371" w14:paraId="23C5B829" w14:textId="41FC7B8F">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EUT C, C/</w:t>
      </w:r>
      <w:r w:rsidRPr="00EE528C" w:rsidR="00EE528C">
        <w:rPr>
          <w:sz w:val="24"/>
          <w:lang w:val="da-DK"/>
        </w:rPr>
        <w:t>2024</w:t>
      </w:r>
      <w:r w:rsidRPr="009F1371">
        <w:rPr>
          <w:sz w:val="24"/>
          <w:lang w:val="da-DK"/>
        </w:rPr>
        <w:t>/</w:t>
      </w:r>
      <w:r w:rsidRPr="00EE528C" w:rsidR="00EE528C">
        <w:rPr>
          <w:sz w:val="24"/>
          <w:lang w:val="da-DK"/>
        </w:rPr>
        <w:t>6746</w:t>
      </w:r>
      <w:r w:rsidRPr="009F1371">
        <w:rPr>
          <w:sz w:val="24"/>
          <w:lang w:val="da-DK"/>
        </w:rPr>
        <w:t xml:space="preserve">, </w:t>
      </w:r>
      <w:r w:rsidRPr="00EE528C" w:rsidR="00EE528C">
        <w:rPr>
          <w:sz w:val="24"/>
          <w:lang w:val="da-DK"/>
        </w:rPr>
        <w:t>26</w:t>
      </w:r>
      <w:r w:rsidRPr="009F1371">
        <w:rPr>
          <w:sz w:val="24"/>
          <w:lang w:val="da-DK"/>
        </w:rPr>
        <w:t>.</w:t>
      </w:r>
      <w:r w:rsidRPr="00EE528C" w:rsidR="00EE528C">
        <w:rPr>
          <w:sz w:val="24"/>
          <w:lang w:val="da-DK"/>
        </w:rPr>
        <w:t>11</w:t>
      </w:r>
      <w:r w:rsidRPr="009F1371">
        <w:rPr>
          <w:sz w:val="24"/>
          <w:lang w:val="da-DK"/>
        </w:rPr>
        <w:t>.</w:t>
      </w:r>
      <w:r w:rsidRPr="00EE528C" w:rsidR="00EE528C">
        <w:rPr>
          <w:sz w:val="24"/>
          <w:lang w:val="da-DK"/>
        </w:rPr>
        <w:t>2024</w:t>
      </w:r>
      <w:r w:rsidRPr="009F1371">
        <w:rPr>
          <w:sz w:val="24"/>
          <w:lang w:val="da-DK"/>
        </w:rPr>
        <w:t xml:space="preserve">, ELI: </w:t>
      </w:r>
      <w:hyperlink r:id="rId4" w:history="1">
        <w:r w:rsidRPr="009F1371">
          <w:rPr>
            <w:rStyle w:val="Hyperlink"/>
            <w:sz w:val="24"/>
            <w:lang w:val="da-DK"/>
          </w:rPr>
          <w:t>http://data.europa.eu/eli/C/</w:t>
        </w:r>
        <w:r w:rsidRPr="00EE528C" w:rsidR="00EE528C">
          <w:rPr>
            <w:rStyle w:val="Hyperlink"/>
            <w:sz w:val="24"/>
            <w:lang w:val="da-DK"/>
          </w:rPr>
          <w:t>2024</w:t>
        </w:r>
        <w:r w:rsidRPr="009F1371">
          <w:rPr>
            <w:rStyle w:val="Hyperlink"/>
            <w:sz w:val="24"/>
            <w:lang w:val="da-DK"/>
          </w:rPr>
          <w:t>/</w:t>
        </w:r>
        <w:r w:rsidRPr="00EE528C" w:rsidR="00EE528C">
          <w:rPr>
            <w:rStyle w:val="Hyperlink"/>
            <w:sz w:val="24"/>
            <w:lang w:val="da-DK"/>
          </w:rPr>
          <w:t>6746</w:t>
        </w:r>
        <w:r w:rsidRPr="009F1371">
          <w:rPr>
            <w:rStyle w:val="Hyperlink"/>
            <w:sz w:val="24"/>
            <w:lang w:val="da-DK"/>
          </w:rPr>
          <w:t>/oj</w:t>
        </w:r>
      </w:hyperlink>
      <w:r w:rsidRPr="009F1371">
        <w:rPr>
          <w:sz w:val="24"/>
          <w:lang w:val="da-DK"/>
        </w:rPr>
        <w:t xml:space="preserve">. </w:t>
      </w:r>
    </w:p>
  </w:footnote>
  <w:footnote w:id="7">
    <w:p w:rsidR="00D561A2" w:rsidRPr="009F1371" w:rsidP="009F1371" w14:paraId="7336B444" w14:textId="432C8D1F">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Vedtagne tekster, P</w:t>
      </w:r>
      <w:r w:rsidRPr="00EE528C" w:rsidR="00EE528C">
        <w:rPr>
          <w:sz w:val="24"/>
          <w:lang w:val="da-DK"/>
        </w:rPr>
        <w:t>10</w:t>
      </w:r>
      <w:r w:rsidRPr="009F1371">
        <w:rPr>
          <w:sz w:val="24"/>
          <w:lang w:val="da-DK"/>
        </w:rPr>
        <w:t>_TA(</w:t>
      </w:r>
      <w:r w:rsidRPr="00EE528C" w:rsidR="00EE528C">
        <w:rPr>
          <w:sz w:val="24"/>
          <w:lang w:val="da-DK"/>
        </w:rPr>
        <w:t>2026</w:t>
      </w:r>
      <w:r w:rsidRPr="009F1371">
        <w:rPr>
          <w:sz w:val="24"/>
          <w:lang w:val="da-DK"/>
        </w:rPr>
        <w:t>)</w:t>
      </w:r>
      <w:r w:rsidRPr="00EE528C" w:rsidR="00EE528C">
        <w:rPr>
          <w:sz w:val="24"/>
          <w:lang w:val="da-DK"/>
        </w:rPr>
        <w:t>0077</w:t>
      </w:r>
      <w:r w:rsidRPr="009F1371">
        <w:rPr>
          <w:sz w:val="24"/>
          <w:lang w:val="da-DK"/>
        </w:rPr>
        <w:t>.</w:t>
      </w:r>
    </w:p>
  </w:footnote>
  <w:footnote w:id="8">
    <w:p w:rsidR="00D561A2" w:rsidRPr="009F1371" w:rsidP="009F1371" w14:paraId="14AE7776" w14:textId="615ADEC2">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 xml:space="preserve">Europa-Parlamentets og Rådets direktiv (EU) </w:t>
      </w:r>
      <w:r w:rsidRPr="00EE528C" w:rsidR="00EE528C">
        <w:rPr>
          <w:sz w:val="24"/>
          <w:lang w:val="da-DK"/>
        </w:rPr>
        <w:t>2024</w:t>
      </w:r>
      <w:r w:rsidRPr="009F1371">
        <w:rPr>
          <w:sz w:val="24"/>
          <w:lang w:val="da-DK"/>
        </w:rPr>
        <w:t>/</w:t>
      </w:r>
      <w:r w:rsidRPr="00EE528C" w:rsidR="00EE528C">
        <w:rPr>
          <w:sz w:val="24"/>
          <w:lang w:val="da-DK"/>
        </w:rPr>
        <w:t>1069</w:t>
      </w:r>
      <w:r w:rsidRPr="009F1371">
        <w:rPr>
          <w:sz w:val="24"/>
          <w:lang w:val="da-DK"/>
        </w:rPr>
        <w:t xml:space="preserve"> af </w:t>
      </w:r>
      <w:r w:rsidRPr="00EE528C" w:rsidR="00EE528C">
        <w:rPr>
          <w:sz w:val="24"/>
          <w:lang w:val="da-DK"/>
        </w:rPr>
        <w:t>11</w:t>
      </w:r>
      <w:r w:rsidRPr="009F1371">
        <w:rPr>
          <w:sz w:val="24"/>
          <w:lang w:val="da-DK"/>
        </w:rPr>
        <w:t>. </w:t>
      </w:r>
      <w:r w:rsidRPr="009F1371">
        <w:rPr>
          <w:sz w:val="24"/>
          <w:lang w:val="da-DK"/>
        </w:rPr>
        <w:t xml:space="preserve">april </w:t>
      </w:r>
      <w:r w:rsidRPr="00EE528C" w:rsidR="00EE528C">
        <w:rPr>
          <w:sz w:val="24"/>
          <w:lang w:val="da-DK"/>
        </w:rPr>
        <w:t>2024</w:t>
      </w:r>
      <w:r w:rsidRPr="009F1371">
        <w:rPr>
          <w:sz w:val="24"/>
          <w:lang w:val="da-DK"/>
        </w:rPr>
        <w:t xml:space="preserve"> om beskyttelse af personer, der engagerer sig offentligt, mod åbenbart grundløse krav eller urimelige retssager ("strategiske retssager mod offentligt engagement") (EUT </w:t>
      </w:r>
      <w:r w:rsidRPr="009F1371">
        <w:rPr>
          <w:sz w:val="24"/>
          <w:lang w:val="da-DK"/>
        </w:rPr>
        <w:t>L</w:t>
      </w:r>
      <w:r w:rsidR="00FA1062">
        <w:rPr>
          <w:sz w:val="24"/>
          <w:lang w:val="da-DK"/>
        </w:rPr>
        <w:t>,</w:t>
      </w:r>
      <w:r w:rsidRPr="009F1371">
        <w:rPr>
          <w:sz w:val="24"/>
          <w:lang w:val="da-DK"/>
        </w:rPr>
        <w:t xml:space="preserve"> </w:t>
      </w:r>
      <w:r w:rsidRPr="00EE528C" w:rsidR="00EE528C">
        <w:rPr>
          <w:sz w:val="24"/>
          <w:lang w:val="da-DK"/>
        </w:rPr>
        <w:t>2024</w:t>
      </w:r>
      <w:r w:rsidRPr="009F1371">
        <w:rPr>
          <w:sz w:val="24"/>
          <w:lang w:val="da-DK"/>
        </w:rPr>
        <w:t>/</w:t>
      </w:r>
      <w:r w:rsidRPr="00EE528C" w:rsidR="00EE528C">
        <w:rPr>
          <w:sz w:val="24"/>
          <w:lang w:val="da-DK"/>
        </w:rPr>
        <w:t>1069</w:t>
      </w:r>
      <w:r w:rsidRPr="009F1371">
        <w:rPr>
          <w:sz w:val="24"/>
          <w:lang w:val="da-DK"/>
        </w:rPr>
        <w:t xml:space="preserve">, </w:t>
      </w:r>
      <w:r w:rsidRPr="00EE528C" w:rsidR="00EE528C">
        <w:rPr>
          <w:sz w:val="24"/>
          <w:lang w:val="da-DK"/>
        </w:rPr>
        <w:t>16</w:t>
      </w:r>
      <w:r w:rsidRPr="009F1371">
        <w:rPr>
          <w:sz w:val="24"/>
          <w:lang w:val="da-DK"/>
        </w:rPr>
        <w:t>.</w:t>
      </w:r>
      <w:r w:rsidRPr="00EE528C" w:rsidR="00EE528C">
        <w:rPr>
          <w:sz w:val="24"/>
          <w:lang w:val="da-DK"/>
        </w:rPr>
        <w:t>4</w:t>
      </w:r>
      <w:r w:rsidRPr="009F1371">
        <w:rPr>
          <w:sz w:val="24"/>
          <w:lang w:val="da-DK"/>
        </w:rPr>
        <w:t>.</w:t>
      </w:r>
      <w:r w:rsidRPr="00EE528C" w:rsidR="00EE528C">
        <w:rPr>
          <w:sz w:val="24"/>
          <w:lang w:val="da-DK"/>
        </w:rPr>
        <w:t>2024</w:t>
      </w:r>
      <w:r w:rsidRPr="009F1371">
        <w:rPr>
          <w:sz w:val="24"/>
          <w:lang w:val="da-DK"/>
        </w:rPr>
        <w:t xml:space="preserve">, ELI: </w:t>
      </w:r>
      <w:hyperlink r:id="rId5" w:history="1">
        <w:r w:rsidRPr="009F1371">
          <w:rPr>
            <w:rStyle w:val="Hyperlink"/>
            <w:sz w:val="24"/>
            <w:lang w:val="da-DK"/>
          </w:rPr>
          <w:t>http://data.europa.eu/eli/dir/</w:t>
        </w:r>
        <w:r w:rsidRPr="00EE528C" w:rsidR="00EE528C">
          <w:rPr>
            <w:rStyle w:val="Hyperlink"/>
            <w:sz w:val="24"/>
            <w:lang w:val="da-DK"/>
          </w:rPr>
          <w:t>2024</w:t>
        </w:r>
        <w:r w:rsidRPr="009F1371">
          <w:rPr>
            <w:rStyle w:val="Hyperlink"/>
            <w:sz w:val="24"/>
            <w:lang w:val="da-DK"/>
          </w:rPr>
          <w:t>/</w:t>
        </w:r>
        <w:r w:rsidRPr="00EE528C" w:rsidR="00EE528C">
          <w:rPr>
            <w:rStyle w:val="Hyperlink"/>
            <w:sz w:val="24"/>
            <w:lang w:val="da-DK"/>
          </w:rPr>
          <w:t>1069</w:t>
        </w:r>
        <w:r w:rsidRPr="009F1371">
          <w:rPr>
            <w:rStyle w:val="Hyperlink"/>
            <w:sz w:val="24"/>
            <w:lang w:val="da-DK"/>
          </w:rPr>
          <w:t>/oj</w:t>
        </w:r>
      </w:hyperlink>
      <w:r w:rsidRPr="009F1371">
        <w:rPr>
          <w:sz w:val="24"/>
          <w:lang w:val="da-DK"/>
        </w:rPr>
        <w:t xml:space="preserve">). </w:t>
      </w:r>
    </w:p>
  </w:footnote>
  <w:footnote w:id="9">
    <w:p w:rsidR="00D561A2" w:rsidRPr="009F1371" w:rsidP="009F1371" w14:paraId="0429ACEF" w14:textId="635AC72F">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 xml:space="preserve">Europa-Parlamentets og Rådets direktiv </w:t>
      </w:r>
      <w:r w:rsidRPr="00EE528C" w:rsidR="00EE528C">
        <w:rPr>
          <w:sz w:val="24"/>
          <w:lang w:val="da-DK"/>
        </w:rPr>
        <w:t>2011</w:t>
      </w:r>
      <w:r w:rsidRPr="009F1371">
        <w:rPr>
          <w:sz w:val="24"/>
          <w:lang w:val="da-DK"/>
        </w:rPr>
        <w:t>/</w:t>
      </w:r>
      <w:r w:rsidRPr="00EE528C" w:rsidR="00EE528C">
        <w:rPr>
          <w:sz w:val="24"/>
          <w:lang w:val="da-DK"/>
        </w:rPr>
        <w:t>92</w:t>
      </w:r>
      <w:r w:rsidRPr="009F1371">
        <w:rPr>
          <w:sz w:val="24"/>
          <w:lang w:val="da-DK"/>
        </w:rPr>
        <w:t xml:space="preserve">/EU af </w:t>
      </w:r>
      <w:r w:rsidRPr="00EE528C" w:rsidR="00EE528C">
        <w:rPr>
          <w:sz w:val="24"/>
          <w:lang w:val="da-DK"/>
        </w:rPr>
        <w:t>13</w:t>
      </w:r>
      <w:r w:rsidRPr="009F1371">
        <w:rPr>
          <w:sz w:val="24"/>
          <w:lang w:val="da-DK"/>
        </w:rPr>
        <w:t xml:space="preserve">. december </w:t>
      </w:r>
      <w:r w:rsidRPr="00EE528C" w:rsidR="00EE528C">
        <w:rPr>
          <w:sz w:val="24"/>
          <w:lang w:val="da-DK"/>
        </w:rPr>
        <w:t>2011</w:t>
      </w:r>
      <w:r w:rsidRPr="009F1371">
        <w:rPr>
          <w:sz w:val="24"/>
          <w:lang w:val="da-DK"/>
        </w:rPr>
        <w:t xml:space="preserve"> om vurdering af visse offentlige og private projekters indvirkning på miljøet (EUT L </w:t>
      </w:r>
      <w:r w:rsidRPr="00EE528C" w:rsidR="00EE528C">
        <w:rPr>
          <w:sz w:val="24"/>
          <w:lang w:val="da-DK"/>
        </w:rPr>
        <w:t>26</w:t>
      </w:r>
      <w:r w:rsidRPr="009F1371">
        <w:rPr>
          <w:sz w:val="24"/>
          <w:lang w:val="da-DK"/>
        </w:rPr>
        <w:t xml:space="preserve"> af </w:t>
      </w:r>
      <w:r w:rsidRPr="00EE528C" w:rsidR="00EE528C">
        <w:rPr>
          <w:sz w:val="24"/>
          <w:lang w:val="da-DK"/>
        </w:rPr>
        <w:t>28</w:t>
      </w:r>
      <w:r w:rsidRPr="009F1371">
        <w:rPr>
          <w:sz w:val="24"/>
          <w:lang w:val="da-DK"/>
        </w:rPr>
        <w:t>.</w:t>
      </w:r>
      <w:r w:rsidRPr="00EE528C" w:rsidR="00EE528C">
        <w:rPr>
          <w:sz w:val="24"/>
          <w:lang w:val="da-DK"/>
        </w:rPr>
        <w:t>1</w:t>
      </w:r>
      <w:r w:rsidRPr="009F1371">
        <w:rPr>
          <w:sz w:val="24"/>
          <w:lang w:val="da-DK"/>
        </w:rPr>
        <w:t>.</w:t>
      </w:r>
      <w:r w:rsidRPr="00EE528C" w:rsidR="00EE528C">
        <w:rPr>
          <w:sz w:val="24"/>
          <w:lang w:val="da-DK"/>
        </w:rPr>
        <w:t>2012</w:t>
      </w:r>
      <w:r w:rsidRPr="009F1371">
        <w:rPr>
          <w:sz w:val="24"/>
          <w:lang w:val="da-DK"/>
        </w:rPr>
        <w:t>, s. </w:t>
      </w:r>
      <w:r w:rsidRPr="00EE528C" w:rsidR="00EE528C">
        <w:rPr>
          <w:sz w:val="24"/>
          <w:lang w:val="da-DK"/>
        </w:rPr>
        <w:t>1</w:t>
      </w:r>
      <w:r w:rsidRPr="009F1371">
        <w:rPr>
          <w:sz w:val="24"/>
          <w:lang w:val="da-DK"/>
        </w:rPr>
        <w:t xml:space="preserve">, ELI: </w:t>
      </w:r>
      <w:hyperlink r:id="rId6" w:history="1">
        <w:r w:rsidRPr="009F1371">
          <w:rPr>
            <w:rStyle w:val="Hyperlink"/>
            <w:sz w:val="24"/>
            <w:lang w:val="da-DK"/>
          </w:rPr>
          <w:t>http://data.europa.eu/eli/dir/</w:t>
        </w:r>
        <w:r w:rsidRPr="00EE528C" w:rsidR="00EE528C">
          <w:rPr>
            <w:rStyle w:val="Hyperlink"/>
            <w:sz w:val="24"/>
            <w:lang w:val="da-DK"/>
          </w:rPr>
          <w:t>2011</w:t>
        </w:r>
        <w:r w:rsidRPr="009F1371">
          <w:rPr>
            <w:rStyle w:val="Hyperlink"/>
            <w:sz w:val="24"/>
            <w:lang w:val="da-DK"/>
          </w:rPr>
          <w:t>/</w:t>
        </w:r>
        <w:r w:rsidRPr="00EE528C" w:rsidR="00EE528C">
          <w:rPr>
            <w:rStyle w:val="Hyperlink"/>
            <w:sz w:val="24"/>
            <w:lang w:val="da-DK"/>
          </w:rPr>
          <w:t>92</w:t>
        </w:r>
        <w:r w:rsidRPr="009F1371">
          <w:rPr>
            <w:rStyle w:val="Hyperlink"/>
            <w:sz w:val="24"/>
            <w:lang w:val="da-DK"/>
          </w:rPr>
          <w:t>/oj</w:t>
        </w:r>
      </w:hyperlink>
      <w:r w:rsidRPr="009F1371">
        <w:rPr>
          <w:sz w:val="24"/>
          <w:lang w:val="da-DK"/>
        </w:rPr>
        <w:t>).</w:t>
      </w:r>
    </w:p>
  </w:footnote>
  <w:footnote w:id="10">
    <w:p w:rsidR="00D561A2" w:rsidRPr="009F1371" w:rsidP="009F1371" w14:paraId="4DDBEFBE" w14:textId="446AE441">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 xml:space="preserve">Europa-Parlamentets og Rådets direktiv </w:t>
      </w:r>
      <w:r w:rsidRPr="00EE528C" w:rsidR="00EE528C">
        <w:rPr>
          <w:sz w:val="24"/>
          <w:lang w:val="da-DK"/>
        </w:rPr>
        <w:t>2001</w:t>
      </w:r>
      <w:r w:rsidRPr="009F1371">
        <w:rPr>
          <w:sz w:val="24"/>
          <w:lang w:val="da-DK"/>
        </w:rPr>
        <w:t>/</w:t>
      </w:r>
      <w:r w:rsidRPr="00EE528C" w:rsidR="00EE528C">
        <w:rPr>
          <w:sz w:val="24"/>
          <w:lang w:val="da-DK"/>
        </w:rPr>
        <w:t>42</w:t>
      </w:r>
      <w:r w:rsidRPr="009F1371">
        <w:rPr>
          <w:sz w:val="24"/>
          <w:lang w:val="da-DK"/>
        </w:rPr>
        <w:t xml:space="preserve">/EF af </w:t>
      </w:r>
      <w:r w:rsidRPr="00EE528C" w:rsidR="00EE528C">
        <w:rPr>
          <w:sz w:val="24"/>
          <w:lang w:val="da-DK"/>
        </w:rPr>
        <w:t>27</w:t>
      </w:r>
      <w:r w:rsidRPr="009F1371">
        <w:rPr>
          <w:sz w:val="24"/>
          <w:lang w:val="da-DK"/>
        </w:rPr>
        <w:t xml:space="preserve">. juni </w:t>
      </w:r>
      <w:r w:rsidRPr="00EE528C" w:rsidR="00EE528C">
        <w:rPr>
          <w:sz w:val="24"/>
          <w:lang w:val="da-DK"/>
        </w:rPr>
        <w:t>2001</w:t>
      </w:r>
      <w:r w:rsidRPr="009F1371">
        <w:rPr>
          <w:sz w:val="24"/>
          <w:lang w:val="da-DK"/>
        </w:rPr>
        <w:t xml:space="preserve"> om vurdering af bestemte planers og programmers indvirkning på miljøet (EFT L </w:t>
      </w:r>
      <w:r w:rsidRPr="00EE528C" w:rsidR="00EE528C">
        <w:rPr>
          <w:sz w:val="24"/>
          <w:lang w:val="da-DK"/>
        </w:rPr>
        <w:t>197</w:t>
      </w:r>
      <w:r w:rsidRPr="009F1371">
        <w:rPr>
          <w:sz w:val="24"/>
          <w:lang w:val="da-DK"/>
        </w:rPr>
        <w:t xml:space="preserve"> af </w:t>
      </w:r>
      <w:r w:rsidRPr="00EE528C" w:rsidR="00EE528C">
        <w:rPr>
          <w:sz w:val="24"/>
          <w:lang w:val="da-DK"/>
        </w:rPr>
        <w:t>21</w:t>
      </w:r>
      <w:r w:rsidRPr="009F1371">
        <w:rPr>
          <w:sz w:val="24"/>
          <w:lang w:val="da-DK"/>
        </w:rPr>
        <w:t>.</w:t>
      </w:r>
      <w:r w:rsidRPr="00EE528C" w:rsidR="00EE528C">
        <w:rPr>
          <w:sz w:val="24"/>
          <w:lang w:val="da-DK"/>
        </w:rPr>
        <w:t>7</w:t>
      </w:r>
      <w:r w:rsidRPr="009F1371">
        <w:rPr>
          <w:sz w:val="24"/>
          <w:lang w:val="da-DK"/>
        </w:rPr>
        <w:t>.</w:t>
      </w:r>
      <w:r w:rsidRPr="00EE528C" w:rsidR="00EE528C">
        <w:rPr>
          <w:sz w:val="24"/>
          <w:lang w:val="da-DK"/>
        </w:rPr>
        <w:t>2001</w:t>
      </w:r>
      <w:r w:rsidRPr="009F1371">
        <w:rPr>
          <w:sz w:val="24"/>
          <w:lang w:val="da-DK"/>
        </w:rPr>
        <w:t xml:space="preserve">, s. </w:t>
      </w:r>
      <w:r w:rsidRPr="00EE528C" w:rsidR="00EE528C">
        <w:rPr>
          <w:sz w:val="24"/>
          <w:lang w:val="da-DK"/>
        </w:rPr>
        <w:t>30</w:t>
      </w:r>
      <w:r w:rsidRPr="009F1371">
        <w:rPr>
          <w:sz w:val="24"/>
          <w:lang w:val="da-DK"/>
        </w:rPr>
        <w:t xml:space="preserve">, ELI: </w:t>
      </w:r>
      <w:hyperlink r:id="rId7" w:history="1">
        <w:r w:rsidRPr="009F1371">
          <w:rPr>
            <w:rStyle w:val="Hyperlink"/>
            <w:sz w:val="24"/>
            <w:lang w:val="da-DK"/>
          </w:rPr>
          <w:t>http://data.europa.eu/eli/dir/</w:t>
        </w:r>
        <w:r w:rsidRPr="00EE528C" w:rsidR="00EE528C">
          <w:rPr>
            <w:rStyle w:val="Hyperlink"/>
            <w:sz w:val="24"/>
            <w:lang w:val="da-DK"/>
          </w:rPr>
          <w:t>2001</w:t>
        </w:r>
        <w:r w:rsidRPr="009F1371">
          <w:rPr>
            <w:rStyle w:val="Hyperlink"/>
            <w:sz w:val="24"/>
            <w:lang w:val="da-DK"/>
          </w:rPr>
          <w:t>/</w:t>
        </w:r>
        <w:r w:rsidRPr="00EE528C" w:rsidR="00EE528C">
          <w:rPr>
            <w:rStyle w:val="Hyperlink"/>
            <w:sz w:val="24"/>
            <w:lang w:val="da-DK"/>
          </w:rPr>
          <w:t>42</w:t>
        </w:r>
        <w:r w:rsidRPr="009F1371">
          <w:rPr>
            <w:rStyle w:val="Hyperlink"/>
            <w:sz w:val="24"/>
            <w:lang w:val="da-DK"/>
          </w:rPr>
          <w:t>/oj</w:t>
        </w:r>
      </w:hyperlink>
      <w:r w:rsidRPr="009F1371">
        <w:rPr>
          <w:sz w:val="24"/>
          <w:lang w:val="da-DK"/>
        </w:rPr>
        <w:t xml:space="preserve">). </w:t>
      </w:r>
    </w:p>
  </w:footnote>
  <w:footnote w:id="11">
    <w:p w:rsidR="00D561A2" w:rsidRPr="009F1371" w:rsidP="009F1371" w14:paraId="0989183B" w14:textId="57EDC084">
      <w:pPr>
        <w:ind w:left="567" w:hanging="567"/>
      </w:pPr>
      <w:r w:rsidRPr="009F1371">
        <w:rPr>
          <w:rStyle w:val="FootnoteReference"/>
        </w:rPr>
        <w:footnoteRef/>
      </w:r>
      <w:r w:rsidRPr="009F1371" w:rsidR="009F1371">
        <w:t xml:space="preserve"> </w:t>
      </w:r>
      <w:r w:rsidRPr="009F1371" w:rsidR="009F1371">
        <w:tab/>
      </w:r>
      <w:r w:rsidRPr="009F1371">
        <w:t xml:space="preserve">Rådets direktiv </w:t>
      </w:r>
      <w:r w:rsidRPr="00EE528C" w:rsidR="00EE528C">
        <w:t>92</w:t>
      </w:r>
      <w:r w:rsidRPr="009F1371">
        <w:t>/</w:t>
      </w:r>
      <w:r w:rsidRPr="00EE528C" w:rsidR="00EE528C">
        <w:t>43</w:t>
      </w:r>
      <w:r w:rsidRPr="009F1371">
        <w:t xml:space="preserve">/EØF af </w:t>
      </w:r>
      <w:r w:rsidRPr="00EE528C" w:rsidR="00EE528C">
        <w:t>21</w:t>
      </w:r>
      <w:r w:rsidRPr="009F1371">
        <w:t xml:space="preserve">. maj </w:t>
      </w:r>
      <w:r w:rsidRPr="00EE528C" w:rsidR="00EE528C">
        <w:t>1992</w:t>
      </w:r>
      <w:r w:rsidRPr="009F1371">
        <w:t xml:space="preserve"> om bevaring af naturtyper samt vilde dyr og planter (EFT L </w:t>
      </w:r>
      <w:r w:rsidRPr="00EE528C" w:rsidR="00EE528C">
        <w:t>206</w:t>
      </w:r>
      <w:r w:rsidRPr="009F1371">
        <w:t xml:space="preserve"> af </w:t>
      </w:r>
      <w:r w:rsidRPr="00EE528C" w:rsidR="00EE528C">
        <w:t>22</w:t>
      </w:r>
      <w:r w:rsidRPr="009F1371">
        <w:t>.</w:t>
      </w:r>
      <w:r w:rsidRPr="00EE528C" w:rsidR="00EE528C">
        <w:t>7</w:t>
      </w:r>
      <w:r w:rsidRPr="009F1371">
        <w:t>.</w:t>
      </w:r>
      <w:r w:rsidRPr="00EE528C" w:rsidR="00EE528C">
        <w:t>1992</w:t>
      </w:r>
      <w:r w:rsidRPr="009F1371">
        <w:t>, s. </w:t>
      </w:r>
      <w:r w:rsidRPr="00EE528C" w:rsidR="00EE528C">
        <w:t>7</w:t>
      </w:r>
      <w:r w:rsidRPr="009F1371">
        <w:t xml:space="preserve">, ELI: </w:t>
      </w:r>
      <w:hyperlink r:id="rId8" w:history="1">
        <w:r w:rsidRPr="009F1371">
          <w:rPr>
            <w:rStyle w:val="Hyperlink"/>
          </w:rPr>
          <w:t>http://data.europa.eu/eli/dir/</w:t>
        </w:r>
        <w:r w:rsidRPr="00EE528C" w:rsidR="00EE528C">
          <w:rPr>
            <w:rStyle w:val="Hyperlink"/>
          </w:rPr>
          <w:t>1992</w:t>
        </w:r>
        <w:r w:rsidRPr="009F1371">
          <w:rPr>
            <w:rStyle w:val="Hyperlink"/>
          </w:rPr>
          <w:t>/</w:t>
        </w:r>
        <w:r w:rsidRPr="00EE528C" w:rsidR="00EE528C">
          <w:rPr>
            <w:rStyle w:val="Hyperlink"/>
          </w:rPr>
          <w:t>43</w:t>
        </w:r>
        <w:r w:rsidRPr="009F1371">
          <w:rPr>
            <w:rStyle w:val="Hyperlink"/>
          </w:rPr>
          <w:t>/oj</w:t>
        </w:r>
      </w:hyperlink>
      <w:r w:rsidRPr="009F1371">
        <w:t xml:space="preserve">). </w:t>
      </w:r>
    </w:p>
  </w:footnote>
  <w:footnote w:id="12">
    <w:p w:rsidR="00D561A2" w:rsidRPr="009F1371" w:rsidP="009F1371" w14:paraId="6B73387E" w14:textId="7CFE3299">
      <w:pPr>
        <w:pStyle w:val="FootnoteText"/>
        <w:ind w:left="567" w:hanging="567"/>
        <w:rPr>
          <w:sz w:val="24"/>
          <w:lang w:val="da-DK"/>
        </w:rPr>
      </w:pPr>
      <w:r w:rsidRPr="009F1371">
        <w:rPr>
          <w:rStyle w:val="FootnoteReference"/>
          <w:sz w:val="24"/>
          <w:lang w:val="da-DK"/>
        </w:rPr>
        <w:footnoteRef/>
      </w:r>
      <w:r w:rsidRPr="009F1371" w:rsidR="009F1371">
        <w:rPr>
          <w:sz w:val="24"/>
          <w:lang w:val="da-DK"/>
        </w:rPr>
        <w:t xml:space="preserve"> </w:t>
      </w:r>
      <w:r w:rsidRPr="009F1371" w:rsidR="009F1371">
        <w:rPr>
          <w:sz w:val="24"/>
          <w:lang w:val="da-DK"/>
        </w:rPr>
        <w:tab/>
      </w:r>
      <w:r w:rsidRPr="009F1371">
        <w:rPr>
          <w:sz w:val="24"/>
          <w:lang w:val="da-DK"/>
        </w:rPr>
        <w:t xml:space="preserve">Europa-Parlamentets og Rådets direktiv </w:t>
      </w:r>
      <w:r w:rsidRPr="00EE528C" w:rsidR="00EE528C">
        <w:rPr>
          <w:sz w:val="24"/>
          <w:lang w:val="da-DK"/>
        </w:rPr>
        <w:t>2009</w:t>
      </w:r>
      <w:r w:rsidRPr="009F1371">
        <w:rPr>
          <w:sz w:val="24"/>
          <w:lang w:val="da-DK"/>
        </w:rPr>
        <w:t>/</w:t>
      </w:r>
      <w:r w:rsidRPr="00EE528C" w:rsidR="00EE528C">
        <w:rPr>
          <w:sz w:val="24"/>
          <w:lang w:val="da-DK"/>
        </w:rPr>
        <w:t>147</w:t>
      </w:r>
      <w:r w:rsidRPr="009F1371">
        <w:rPr>
          <w:sz w:val="24"/>
          <w:lang w:val="da-DK"/>
        </w:rPr>
        <w:t xml:space="preserve">/EF af </w:t>
      </w:r>
      <w:r w:rsidRPr="00EE528C" w:rsidR="00EE528C">
        <w:rPr>
          <w:sz w:val="24"/>
          <w:lang w:val="da-DK"/>
        </w:rPr>
        <w:t>30</w:t>
      </w:r>
      <w:r w:rsidRPr="009F1371">
        <w:rPr>
          <w:sz w:val="24"/>
          <w:lang w:val="da-DK"/>
        </w:rPr>
        <w:t xml:space="preserve">. november </w:t>
      </w:r>
      <w:r w:rsidRPr="00EE528C" w:rsidR="00EE528C">
        <w:rPr>
          <w:sz w:val="24"/>
          <w:lang w:val="da-DK"/>
        </w:rPr>
        <w:t>2009</w:t>
      </w:r>
      <w:r w:rsidRPr="009F1371">
        <w:rPr>
          <w:sz w:val="24"/>
          <w:lang w:val="da-DK"/>
        </w:rPr>
        <w:t xml:space="preserve"> om beskyttelse af vilde fugle (EUT L </w:t>
      </w:r>
      <w:r w:rsidRPr="00EE528C" w:rsidR="00EE528C">
        <w:rPr>
          <w:sz w:val="24"/>
          <w:lang w:val="da-DK"/>
        </w:rPr>
        <w:t>20</w:t>
      </w:r>
      <w:r w:rsidRPr="009F1371">
        <w:rPr>
          <w:sz w:val="24"/>
          <w:lang w:val="da-DK"/>
        </w:rPr>
        <w:t xml:space="preserve"> af </w:t>
      </w:r>
      <w:r w:rsidRPr="00EE528C" w:rsidR="00EE528C">
        <w:rPr>
          <w:sz w:val="24"/>
          <w:lang w:val="da-DK"/>
        </w:rPr>
        <w:t>26</w:t>
      </w:r>
      <w:r w:rsidRPr="009F1371">
        <w:rPr>
          <w:sz w:val="24"/>
          <w:lang w:val="da-DK"/>
        </w:rPr>
        <w:t>.</w:t>
      </w:r>
      <w:r w:rsidRPr="00EE528C" w:rsidR="00EE528C">
        <w:rPr>
          <w:sz w:val="24"/>
          <w:lang w:val="da-DK"/>
        </w:rPr>
        <w:t>1</w:t>
      </w:r>
      <w:r w:rsidRPr="009F1371">
        <w:rPr>
          <w:sz w:val="24"/>
          <w:lang w:val="da-DK"/>
        </w:rPr>
        <w:t>.</w:t>
      </w:r>
      <w:r w:rsidRPr="00EE528C" w:rsidR="00EE528C">
        <w:rPr>
          <w:sz w:val="24"/>
          <w:lang w:val="da-DK"/>
        </w:rPr>
        <w:t>2010</w:t>
      </w:r>
      <w:r w:rsidRPr="009F1371">
        <w:rPr>
          <w:sz w:val="24"/>
          <w:lang w:val="da-DK"/>
        </w:rPr>
        <w:t>, s. </w:t>
      </w:r>
      <w:r w:rsidRPr="00EE528C" w:rsidR="00EE528C">
        <w:rPr>
          <w:sz w:val="24"/>
          <w:lang w:val="da-DK"/>
        </w:rPr>
        <w:t>7</w:t>
      </w:r>
      <w:r w:rsidRPr="009F1371">
        <w:rPr>
          <w:sz w:val="24"/>
          <w:lang w:val="da-DK"/>
        </w:rPr>
        <w:t xml:space="preserve">, ELI: </w:t>
      </w:r>
      <w:hyperlink r:id="rId9" w:history="1">
        <w:r w:rsidRPr="009F1371">
          <w:rPr>
            <w:rStyle w:val="Hyperlink"/>
            <w:sz w:val="24"/>
            <w:lang w:val="da-DK"/>
          </w:rPr>
          <w:t>http://data.europa.eu/eli/dir/</w:t>
        </w:r>
        <w:r w:rsidRPr="00EE528C" w:rsidR="00EE528C">
          <w:rPr>
            <w:rStyle w:val="Hyperlink"/>
            <w:sz w:val="24"/>
            <w:lang w:val="da-DK"/>
          </w:rPr>
          <w:t>2009</w:t>
        </w:r>
        <w:r w:rsidRPr="009F1371">
          <w:rPr>
            <w:rStyle w:val="Hyperlink"/>
            <w:sz w:val="24"/>
            <w:lang w:val="da-DK"/>
          </w:rPr>
          <w:t>/</w:t>
        </w:r>
        <w:r w:rsidRPr="00EE528C" w:rsidR="00EE528C">
          <w:rPr>
            <w:rStyle w:val="Hyperlink"/>
            <w:sz w:val="24"/>
            <w:lang w:val="da-DK"/>
          </w:rPr>
          <w:t>147</w:t>
        </w:r>
        <w:r w:rsidRPr="009F1371">
          <w:rPr>
            <w:rStyle w:val="Hyperlink"/>
            <w:sz w:val="24"/>
            <w:lang w:val="da-DK"/>
          </w:rPr>
          <w:t>/oj</w:t>
        </w:r>
      </w:hyperlink>
      <w:r w:rsidRPr="009F1371">
        <w:rPr>
          <w:sz w:val="24"/>
          <w:lang w:val="da-D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506371">
    <w:abstractNumId w:val="9"/>
  </w:num>
  <w:num w:numId="2" w16cid:durableId="608700502">
    <w:abstractNumId w:val="9"/>
  </w:num>
  <w:num w:numId="3" w16cid:durableId="371616690">
    <w:abstractNumId w:val="7"/>
  </w:num>
  <w:num w:numId="4" w16cid:durableId="1529833216">
    <w:abstractNumId w:val="7"/>
  </w:num>
  <w:num w:numId="5" w16cid:durableId="1621955455">
    <w:abstractNumId w:val="6"/>
  </w:num>
  <w:num w:numId="6" w16cid:durableId="391081279">
    <w:abstractNumId w:val="6"/>
  </w:num>
  <w:num w:numId="7" w16cid:durableId="152338004">
    <w:abstractNumId w:val="5"/>
  </w:num>
  <w:num w:numId="8" w16cid:durableId="1717463682">
    <w:abstractNumId w:val="5"/>
  </w:num>
  <w:num w:numId="9" w16cid:durableId="718020440">
    <w:abstractNumId w:val="4"/>
  </w:num>
  <w:num w:numId="10" w16cid:durableId="162479274">
    <w:abstractNumId w:val="4"/>
  </w:num>
  <w:num w:numId="11" w16cid:durableId="2062367803">
    <w:abstractNumId w:val="8"/>
  </w:num>
  <w:num w:numId="12" w16cid:durableId="1745103538">
    <w:abstractNumId w:val="8"/>
  </w:num>
  <w:num w:numId="13" w16cid:durableId="1607998746">
    <w:abstractNumId w:val="3"/>
  </w:num>
  <w:num w:numId="14" w16cid:durableId="972978807">
    <w:abstractNumId w:val="3"/>
  </w:num>
  <w:num w:numId="15" w16cid:durableId="376390689">
    <w:abstractNumId w:val="2"/>
  </w:num>
  <w:num w:numId="16" w16cid:durableId="515928494">
    <w:abstractNumId w:val="2"/>
  </w:num>
  <w:num w:numId="17" w16cid:durableId="1955937872">
    <w:abstractNumId w:val="1"/>
  </w:num>
  <w:num w:numId="18" w16cid:durableId="691227887">
    <w:abstractNumId w:val="1"/>
  </w:num>
  <w:num w:numId="19" w16cid:durableId="610283081">
    <w:abstractNumId w:val="0"/>
  </w:num>
  <w:num w:numId="20" w16cid:durableId="1607928367">
    <w:abstractNumId w:val="0"/>
  </w:num>
  <w:num w:numId="21" w16cid:durableId="1859082165">
    <w:abstractNumId w:val="9"/>
  </w:num>
  <w:num w:numId="22" w16cid:durableId="708604205">
    <w:abstractNumId w:val="7"/>
  </w:num>
  <w:num w:numId="23" w16cid:durableId="213583344">
    <w:abstractNumId w:val="6"/>
  </w:num>
  <w:num w:numId="24" w16cid:durableId="193158753">
    <w:abstractNumId w:val="5"/>
  </w:num>
  <w:num w:numId="25" w16cid:durableId="189415209">
    <w:abstractNumId w:val="4"/>
  </w:num>
  <w:num w:numId="26" w16cid:durableId="1643732373">
    <w:abstractNumId w:val="8"/>
  </w:num>
  <w:num w:numId="27" w16cid:durableId="955134706">
    <w:abstractNumId w:val="3"/>
  </w:num>
  <w:num w:numId="28" w16cid:durableId="256059847">
    <w:abstractNumId w:val="2"/>
  </w:num>
  <w:num w:numId="29" w16cid:durableId="1518041238">
    <w:abstractNumId w:val="1"/>
  </w:num>
  <w:num w:numId="30" w16cid:durableId="1293025592">
    <w:abstractNumId w:val="0"/>
  </w:num>
  <w:num w:numId="31" w16cid:durableId="1849367273">
    <w:abstractNumId w:val="9"/>
  </w:num>
  <w:num w:numId="32" w16cid:durableId="1750812023">
    <w:abstractNumId w:val="7"/>
  </w:num>
  <w:num w:numId="33" w16cid:durableId="283075087">
    <w:abstractNumId w:val="6"/>
  </w:num>
  <w:num w:numId="34" w16cid:durableId="1843544305">
    <w:abstractNumId w:val="5"/>
  </w:num>
  <w:num w:numId="35" w16cid:durableId="962425865">
    <w:abstractNumId w:val="4"/>
  </w:num>
  <w:num w:numId="36" w16cid:durableId="972757062">
    <w:abstractNumId w:val="8"/>
  </w:num>
  <w:num w:numId="37" w16cid:durableId="340745422">
    <w:abstractNumId w:val="3"/>
  </w:num>
  <w:num w:numId="38" w16cid:durableId="1810324107">
    <w:abstractNumId w:val="2"/>
  </w:num>
  <w:num w:numId="39" w16cid:durableId="1145391956">
    <w:abstractNumId w:val="1"/>
  </w:num>
  <w:num w:numId="40" w16cid:durableId="1743480007">
    <w:abstractNumId w:val="0"/>
  </w:num>
  <w:num w:numId="41" w16cid:durableId="1666784555">
    <w:abstractNumId w:val="10"/>
  </w:num>
  <w:num w:numId="42" w16cid:durableId="835850683">
    <w:abstractNumId w:val="10"/>
  </w:num>
  <w:num w:numId="43" w16cid:durableId="1042438329">
    <w:abstractNumId w:val="10"/>
  </w:num>
  <w:num w:numId="44" w16cid:durableId="2145997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43"/>
    <w:rsid w:val="00002272"/>
    <w:rsid w:val="00064002"/>
    <w:rsid w:val="000677B9"/>
    <w:rsid w:val="000831BA"/>
    <w:rsid w:val="000A42CC"/>
    <w:rsid w:val="000E7DD9"/>
    <w:rsid w:val="0010095E"/>
    <w:rsid w:val="00125B37"/>
    <w:rsid w:val="0013622E"/>
    <w:rsid w:val="00187494"/>
    <w:rsid w:val="001D3F7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504"/>
    <w:rsid w:val="0050519A"/>
    <w:rsid w:val="005072A1"/>
    <w:rsid w:val="00514517"/>
    <w:rsid w:val="005433F0"/>
    <w:rsid w:val="00545827"/>
    <w:rsid w:val="00560270"/>
    <w:rsid w:val="005C2568"/>
    <w:rsid w:val="005F1B17"/>
    <w:rsid w:val="006037C0"/>
    <w:rsid w:val="00623828"/>
    <w:rsid w:val="006631B6"/>
    <w:rsid w:val="00680577"/>
    <w:rsid w:val="0069385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96F"/>
    <w:rsid w:val="009F1371"/>
    <w:rsid w:val="00A1687D"/>
    <w:rsid w:val="00A43E52"/>
    <w:rsid w:val="00A4678D"/>
    <w:rsid w:val="00A778C7"/>
    <w:rsid w:val="00A8720E"/>
    <w:rsid w:val="00AB441E"/>
    <w:rsid w:val="00AB6293"/>
    <w:rsid w:val="00AC2677"/>
    <w:rsid w:val="00AE0928"/>
    <w:rsid w:val="00AF3B82"/>
    <w:rsid w:val="00B12E95"/>
    <w:rsid w:val="00B22876"/>
    <w:rsid w:val="00B22943"/>
    <w:rsid w:val="00B558F0"/>
    <w:rsid w:val="00BD48FE"/>
    <w:rsid w:val="00BD7BD8"/>
    <w:rsid w:val="00BE6ADC"/>
    <w:rsid w:val="00C05BFE"/>
    <w:rsid w:val="00C23CD4"/>
    <w:rsid w:val="00C61C0C"/>
    <w:rsid w:val="00C90D82"/>
    <w:rsid w:val="00C941CB"/>
    <w:rsid w:val="00CC2357"/>
    <w:rsid w:val="00CF071A"/>
    <w:rsid w:val="00D058B8"/>
    <w:rsid w:val="00D22AB1"/>
    <w:rsid w:val="00D561A2"/>
    <w:rsid w:val="00D56C11"/>
    <w:rsid w:val="00D834A0"/>
    <w:rsid w:val="00D872DF"/>
    <w:rsid w:val="00D91E21"/>
    <w:rsid w:val="00DA7FCD"/>
    <w:rsid w:val="00DB3E77"/>
    <w:rsid w:val="00E365E1"/>
    <w:rsid w:val="00E820A4"/>
    <w:rsid w:val="00EB006A"/>
    <w:rsid w:val="00EB1F36"/>
    <w:rsid w:val="00EB4772"/>
    <w:rsid w:val="00ED169E"/>
    <w:rsid w:val="00ED4235"/>
    <w:rsid w:val="00EE528C"/>
    <w:rsid w:val="00F04346"/>
    <w:rsid w:val="00F075DC"/>
    <w:rsid w:val="00F149E9"/>
    <w:rsid w:val="00F5134D"/>
    <w:rsid w:val="00F74202"/>
    <w:rsid w:val="00F87713"/>
    <w:rsid w:val="00FA1062"/>
    <w:rsid w:val="00FB4360"/>
    <w:rsid w:val="00FD0C70"/>
  </w:rsids>
  <w:docVars>
    <w:docVar w:name="dvdocse" w:val="A10-0162/2026"/>
    <w:docVar w:name="dvlangue" w:val="DA"/>
    <w:docVar w:name="dvnumam" w:val="0"/>
    <w:docVar w:name="dvpe" w:val="784.260"/>
    <w:docVar w:name="dvrapporteur" w:val="Ordfører: "/>
    <w:docVar w:name="dvtitre" w:val="Europa-Parlamentets beslutning af xx. juni 2026 om Kommissionens 2025-rapport om Nordmakedonien(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42F47A"/>
  <w15:chartTrackingRefBased/>
  <w15:docId w15:val="{524E6A74-69EA-4D61-839B-C4249EAD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61A2"/>
    <w:pPr>
      <w:spacing w:after="240"/>
      <w:ind w:left="567" w:hanging="567"/>
    </w:pPr>
  </w:style>
  <w:style w:type="paragraph" w:customStyle="1" w:styleId="EPComma">
    <w:name w:val="EPComma"/>
    <w:basedOn w:val="Normal"/>
    <w:rsid w:val="00D561A2"/>
    <w:pPr>
      <w:spacing w:before="480" w:after="240"/>
    </w:pPr>
  </w:style>
  <w:style w:type="character" w:styleId="Hyperlink">
    <w:name w:val="Hyperlink"/>
    <w:basedOn w:val="DefaultParagraphFont"/>
    <w:rsid w:val="00D561A2"/>
    <w:rPr>
      <w:color w:val="0563C1" w:themeColor="hyperlink"/>
      <w:u w:val="single"/>
    </w:rPr>
  </w:style>
  <w:style w:type="character" w:customStyle="1" w:styleId="NormalHanging12aChar">
    <w:name w:val="NormalHanging12a Char"/>
    <w:basedOn w:val="DefaultParagraphFont"/>
    <w:link w:val="NormalHanging12a"/>
    <w:rsid w:val="00D561A2"/>
    <w:rPr>
      <w:sz w:val="24"/>
      <w:lang w:val="da-DK"/>
    </w:rPr>
  </w:style>
  <w:style w:type="paragraph" w:styleId="Revision">
    <w:name w:val="Revision"/>
    <w:hidden/>
    <w:uiPriority w:val="99"/>
    <w:semiHidden/>
    <w:rsid w:val="009B396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6702</Words>
  <Characters>44545</Characters>
  <Application>Microsoft Office Word</Application>
  <DocSecurity>0</DocSecurity>
  <Lines>371</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2026-07-14T08:07:00Z</dcterms:created>
  <dcterms:modified xsi:type="dcterms:W3CDTF">2026-07-14T08:07:00Z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P10_TA-PROV(2026)0218_A10-0162_2026_</vt:lpwstr>
  </property>
  <property fmtid="{D5CDD505-2E9C-101B-9397-08002B2CF9AE}" pid="4" name="&lt;Type&gt;">
    <vt:lpwstr>RR</vt:lpwstr>
  </property>
</Properties>
</file>