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054D6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637C" w:rsidP="0010095E" w14:paraId="42B8FB39" w14:textId="77777777">
            <w:pPr>
              <w:pStyle w:val="EPName"/>
            </w:pPr>
            <w:r w:rsidRPr="00C0637C">
              <w:t>Európai Parlament</w:t>
            </w:r>
          </w:p>
          <w:p w:rsidR="00751A4A" w:rsidRPr="00C0637C" w:rsidP="005F1B17" w14:paraId="4D8A968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637C">
              <w:t>2024</w:t>
            </w:r>
            <w:r w:rsidRPr="00C0637C" w:rsidR="00817416">
              <w:t>-202</w:t>
            </w:r>
            <w:r w:rsidRPr="00C063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637C" w:rsidP="0010095E" w14:paraId="58BE2E5B" w14:textId="77777777">
            <w:pPr>
              <w:pStyle w:val="EPLogo"/>
            </w:pPr>
            <w:r w:rsidRPr="00C0637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637C" w:rsidP="004C5D52" w14:paraId="4D780572" w14:textId="77777777">
      <w:pPr>
        <w:pStyle w:val="LineTop"/>
      </w:pPr>
    </w:p>
    <w:p w:rsidR="00680577" w:rsidRPr="00C0637C" w:rsidP="00680577" w14:paraId="1075BEC2" w14:textId="77777777">
      <w:pPr>
        <w:pStyle w:val="EPBodyTA1"/>
      </w:pPr>
      <w:r w:rsidRPr="00C0637C">
        <w:t>ELFOGADOTT SZÖVEGEK</w:t>
      </w:r>
    </w:p>
    <w:p w:rsidR="00D058B8" w:rsidRPr="00C0637C" w:rsidP="00D058B8" w14:paraId="1023D1E0" w14:textId="77777777">
      <w:pPr>
        <w:pStyle w:val="LineBottom"/>
      </w:pPr>
    </w:p>
    <w:p w:rsidR="00325AEA" w:rsidRPr="00C0637C" w:rsidP="00325AEA" w14:paraId="49373718" w14:textId="476DB711">
      <w:pPr>
        <w:pStyle w:val="ATHeading1"/>
      </w:pPr>
      <w:bookmarkStart w:id="0" w:name="TANumber"/>
      <w:r w:rsidRPr="00C0637C">
        <w:t>P10_TA(2026)0</w:t>
      </w:r>
      <w:r w:rsidR="00C0637C">
        <w:t>218</w:t>
      </w:r>
      <w:bookmarkEnd w:id="0"/>
    </w:p>
    <w:p w:rsidR="00325AEA" w:rsidRPr="00C0637C" w:rsidP="00325AEA" w14:paraId="664980D0" w14:textId="6E59C0D8">
      <w:pPr>
        <w:pStyle w:val="ATHeading2"/>
      </w:pPr>
      <w:bookmarkStart w:id="1" w:name="title"/>
      <w:r w:rsidRPr="00C0637C">
        <w:t>A Bizottság Észak-Macedóniáról szóló 2025. évi jelentése</w:t>
      </w:r>
      <w:bookmarkEnd w:id="1"/>
    </w:p>
    <w:p w:rsidR="00325AEA" w:rsidRPr="00C0637C" w:rsidP="00325AEA" w14:paraId="2CDF9763" w14:textId="77777777">
      <w:pPr>
        <w:rPr>
          <w:i/>
          <w:vanish/>
        </w:rPr>
      </w:pPr>
      <w:r>
        <w:rPr>
          <w:i/>
        </w:rPr>
        <w:fldChar w:fldCharType="begin"/>
      </w:r>
      <w:r w:rsidRPr="00C0637C">
        <w:rPr>
          <w:i/>
        </w:rPr>
        <w:instrText xml:space="preserve"> TC"(</w:instrText>
      </w:r>
      <w:bookmarkStart w:id="2" w:name="DocNumber"/>
      <w:r w:rsidRPr="00C0637C">
        <w:rPr>
          <w:i/>
        </w:rPr>
        <w:instrText>A10-0162/2026</w:instrText>
      </w:r>
      <w:bookmarkEnd w:id="2"/>
      <w:r w:rsidRPr="00C0637C">
        <w:rPr>
          <w:i/>
        </w:rPr>
        <w:instrText xml:space="preserve"> - Előadó: Thomas Waitz)"\l3 \n&gt; \* MERGEFORMAT </w:instrText>
      </w:r>
      <w:r>
        <w:rPr>
          <w:i/>
        </w:rPr>
        <w:fldChar w:fldCharType="end"/>
      </w:r>
    </w:p>
    <w:p w:rsidR="00325AEA" w:rsidRPr="00C0637C" w:rsidP="00325AEA" w14:paraId="18BF730E" w14:textId="77777777">
      <w:pPr>
        <w:rPr>
          <w:vanish/>
        </w:rPr>
      </w:pPr>
      <w:bookmarkStart w:id="3" w:name="Commission"/>
      <w:r w:rsidRPr="00C0637C">
        <w:rPr>
          <w:vanish/>
        </w:rPr>
        <w:t>Külügyi Bizottság</w:t>
      </w:r>
      <w:bookmarkEnd w:id="3"/>
    </w:p>
    <w:p w:rsidR="00325AEA" w:rsidRPr="00C0637C" w:rsidP="00325AEA" w14:paraId="03AD9B82" w14:textId="77777777">
      <w:pPr>
        <w:rPr>
          <w:vanish/>
        </w:rPr>
      </w:pPr>
      <w:bookmarkStart w:id="4" w:name="PE"/>
      <w:r w:rsidRPr="00C0637C">
        <w:rPr>
          <w:vanish/>
        </w:rPr>
        <w:t>PE784.260</w:t>
      </w:r>
      <w:bookmarkEnd w:id="4"/>
    </w:p>
    <w:p w:rsidR="00325AEA" w:rsidRPr="00C0637C" w:rsidP="00325AEA" w14:paraId="36337F47" w14:textId="446FA1D0">
      <w:pPr>
        <w:pStyle w:val="ATHeading3"/>
      </w:pPr>
      <w:bookmarkStart w:id="5" w:name="Sujet"/>
      <w:r w:rsidRPr="00C0637C">
        <w:t xml:space="preserve">Az Európai Parlament 2026. </w:t>
      </w:r>
      <w:r w:rsidRPr="00C0637C" w:rsidR="00273FC2">
        <w:t>június</w:t>
      </w:r>
      <w:r w:rsidRPr="00C0637C">
        <w:t xml:space="preserve"> </w:t>
      </w:r>
      <w:r w:rsidRPr="00C0637C" w:rsidR="00273FC2">
        <w:t>17-</w:t>
      </w:r>
      <w:r w:rsidRPr="00C0637C">
        <w:t>i állásfoglalása a Bizottság Észak-Macedóniáról szóló, 2025. évi jelentéséről</w:t>
      </w:r>
      <w:bookmarkEnd w:id="5"/>
      <w:r w:rsidRPr="00C0637C">
        <w:t xml:space="preserve"> </w:t>
      </w:r>
      <w:bookmarkStart w:id="6" w:name="References"/>
      <w:r w:rsidRPr="00C0637C">
        <w:t>(2025/2254(INI))</w:t>
      </w:r>
      <w:bookmarkEnd w:id="6"/>
    </w:p>
    <w:p w:rsidR="00E43AEC" w:rsidRPr="00C0637C" w:rsidP="00E43AEC" w14:paraId="12F858D3" w14:textId="77777777">
      <w:pPr>
        <w:pStyle w:val="EPComma"/>
      </w:pPr>
      <w:r w:rsidRPr="00C0637C">
        <w:rPr>
          <w:i/>
        </w:rPr>
        <w:t>Az Európai Parlament</w:t>
      </w:r>
      <w:r w:rsidRPr="00C0637C">
        <w:t>,</w:t>
      </w:r>
    </w:p>
    <w:p w:rsidR="00E43AEC" w:rsidRPr="00C0637C" w:rsidP="00273FC2" w14:paraId="5C74639A" w14:textId="77777777">
      <w:pPr>
        <w:pStyle w:val="NormalHanging12a"/>
        <w:widowControl/>
      </w:pPr>
      <w:r w:rsidRPr="00C0637C">
        <w:t>–</w:t>
      </w:r>
      <w:r w:rsidRPr="00C0637C">
        <w:tab/>
        <w:t>tekintettel az egyrészről az Európai Közösségek és tagállamaik, másrészről az Észak-macedón Köztársaság közötti stabilizációs és társulási megállapodásra</w:t>
      </w:r>
      <w:r>
        <w:rPr>
          <w:vertAlign w:val="superscript"/>
        </w:rPr>
        <w:footnoteReference w:id="2"/>
      </w:r>
      <w:r w:rsidRPr="00C0637C">
        <w:t>,</w:t>
      </w:r>
    </w:p>
    <w:p w:rsidR="00E43AEC" w:rsidRPr="00C0637C" w:rsidP="00273FC2" w14:paraId="781DF9B0" w14:textId="77777777">
      <w:pPr>
        <w:pStyle w:val="NormalHanging12a"/>
        <w:widowControl/>
      </w:pPr>
      <w:r w:rsidRPr="00C0637C">
        <w:t>–</w:t>
      </w:r>
      <w:r w:rsidRPr="00C0637C">
        <w:tab/>
        <w:t>tekintettel Észak-Macedónia európai uniós tagságra irányuló, 2004. március 22-én benyújtott kérelmére,</w:t>
      </w:r>
    </w:p>
    <w:p w:rsidR="00E43AEC" w:rsidRPr="00C0637C" w:rsidP="00273FC2" w14:paraId="3100C09C" w14:textId="77777777">
      <w:pPr>
        <w:pStyle w:val="NormalHanging12a"/>
        <w:widowControl/>
      </w:pPr>
      <w:r w:rsidRPr="00C0637C">
        <w:t>–</w:t>
      </w:r>
      <w:r w:rsidRPr="00C0637C">
        <w:tab/>
        <w:t>tekintettel az Európai Tanács 2005. december 16-i határozatára, amelyben megadja Észak-Macedóniának az uniós tagjelölt ország státuszt,</w:t>
      </w:r>
    </w:p>
    <w:p w:rsidR="00E43AEC" w:rsidRPr="00C0637C" w:rsidP="00273FC2" w14:paraId="04E9FB44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>tekintettel a „Bővítés – Észak-Macedónia és Albánia” című, 2022. július 18-i tanácsi következtetésekre, valamint a bővítésről szóló, 2024. december 17-i tanácsi következtetésekre,</w:t>
      </w:r>
    </w:p>
    <w:p w:rsidR="00E43AEC" w:rsidRPr="00C0637C" w:rsidP="00273FC2" w14:paraId="1F5903F9" w14:textId="77777777">
      <w:pPr>
        <w:pStyle w:val="NormalHanging12a"/>
        <w:widowControl/>
      </w:pPr>
      <w:r w:rsidRPr="00C0637C">
        <w:t>–</w:t>
      </w:r>
      <w:r w:rsidRPr="00C0637C">
        <w:tab/>
        <w:t>tekintettel az Előcsatlakozási Támogatási Eszköz (IPA III) létrehozásáról szóló, 2021. szeptember 15-i (EU) 2021/1529 európai parlamenti és tanácsi rendeletre</w:t>
      </w:r>
      <w:r>
        <w:rPr>
          <w:vertAlign w:val="superscript"/>
        </w:rPr>
        <w:footnoteReference w:id="3"/>
      </w:r>
      <w:r w:rsidRPr="00C0637C">
        <w:t>,</w:t>
      </w:r>
    </w:p>
    <w:p w:rsidR="00E43AEC" w:rsidRPr="00C0637C" w:rsidP="00273FC2" w14:paraId="34FA17A3" w14:textId="77777777">
      <w:pPr>
        <w:pStyle w:val="NormalHanging12a"/>
        <w:widowControl/>
      </w:pPr>
      <w:r w:rsidRPr="00C0637C">
        <w:t>–</w:t>
      </w:r>
      <w:r w:rsidRPr="00C0637C">
        <w:tab/>
        <w:t>tekintettel a Nyugat-balkáni Reform- és Növekedéstámogató Eszköz létrehozásáról szóló, 2024. május 14-i (EU) 2024/1449 európai parlamenti és tanácsi rendeletre</w:t>
      </w:r>
      <w:r>
        <w:rPr>
          <w:vertAlign w:val="superscript"/>
        </w:rPr>
        <w:footnoteReference w:id="4"/>
      </w:r>
      <w:r w:rsidRPr="00C0637C">
        <w:t>,</w:t>
      </w:r>
    </w:p>
    <w:p w:rsidR="00E43AEC" w:rsidRPr="00C0637C" w:rsidP="00273FC2" w14:paraId="79699A2F" w14:textId="77777777">
      <w:pPr>
        <w:pStyle w:val="NormalHanging12a"/>
        <w:widowControl/>
      </w:pPr>
      <w:r w:rsidRPr="00C0637C">
        <w:t>–</w:t>
      </w:r>
      <w:r w:rsidRPr="00C0637C">
        <w:tab/>
        <w:t>tekintettel Észak-Macedónia reformprogramjára, amelyet a Bizottság a Nyugat-balkáni Reform- és Növekedéstámogató Eszköz keretében 2024. október 23-án hagyott jóvá,</w:t>
      </w:r>
    </w:p>
    <w:p w:rsidR="00E43AEC" w:rsidRPr="00C0637C" w:rsidP="00273FC2" w14:paraId="634CF256" w14:textId="77777777">
      <w:pPr>
        <w:pStyle w:val="NormalHanging12a"/>
        <w:widowControl/>
      </w:pPr>
      <w:r w:rsidRPr="00C0637C">
        <w:t>–</w:t>
      </w:r>
      <w:r w:rsidRPr="00C0637C">
        <w:tab/>
        <w:t>tekintettel „A csatlakozási folyamat javítása – hiteles uniós perspektíva a Nyugat-Balkán számára” című, 2020. február 5-i bizottsági közleményre (COM(2020)0057),</w:t>
      </w:r>
    </w:p>
    <w:p w:rsidR="00E43AEC" w:rsidRPr="00C0637C" w:rsidP="00273FC2" w14:paraId="19F9B16D" w14:textId="77777777">
      <w:pPr>
        <w:pStyle w:val="NormalHanging12a"/>
        <w:widowControl/>
      </w:pPr>
      <w:r w:rsidRPr="00C0637C">
        <w:t>–</w:t>
      </w:r>
      <w:r w:rsidRPr="00C0637C">
        <w:tab/>
        <w:t>tekintettel „A Nyugat-Balkánra vonatkozó új növekedési terv” című, 2023. november 8-i bizottsági közleményre (COM(2023)0691),</w:t>
      </w:r>
    </w:p>
    <w:p w:rsidR="00E43AEC" w:rsidRPr="00C0637C" w:rsidP="00273FC2" w14:paraId="1B185075" w14:textId="77777777">
      <w:pPr>
        <w:pStyle w:val="NormalHanging12a"/>
        <w:widowControl/>
      </w:pPr>
      <w:r w:rsidRPr="00C0637C">
        <w:t>–</w:t>
      </w:r>
      <w:r w:rsidRPr="00C0637C">
        <w:tab/>
        <w:t>tekintettel a bővítést megelőző reformokról és szakpolitikai felülvizsgálatokról szóló, 2024. március 20-i bizottsági közleményre (COM(2024)0146),</w:t>
      </w:r>
    </w:p>
    <w:p w:rsidR="00E43AEC" w:rsidRPr="00C0637C" w:rsidP="00273FC2" w14:paraId="0ED35247" w14:textId="77777777">
      <w:pPr>
        <w:pStyle w:val="NormalHanging12a"/>
        <w:widowControl/>
      </w:pPr>
      <w:r w:rsidRPr="00C0637C">
        <w:t>–</w:t>
      </w:r>
      <w:r w:rsidRPr="00C0637C">
        <w:tab/>
        <w:t>tekintettel a „2025. évi jogállamisági jelentés” című, 2025. július 8-i bizottsági közleményre (COM(2025)0900) és az azt kísérő, a „2025. évi jogállamisági jelentés – Országfejezet – A jogállamiság helyzete Észak-Macedóniában” című bizottsági szolgálati munkadokumentumra (SWD(2025)0930),</w:t>
      </w:r>
    </w:p>
    <w:p w:rsidR="00E43AEC" w:rsidRPr="00C0637C" w:rsidP="00273FC2" w14:paraId="5C0822FE" w14:textId="77777777">
      <w:pPr>
        <w:pStyle w:val="NormalHanging12a"/>
        <w:widowControl/>
      </w:pPr>
      <w:r w:rsidRPr="00C0637C">
        <w:t>–</w:t>
      </w:r>
      <w:r w:rsidRPr="00C0637C">
        <w:tab/>
        <w:t>tekintettel a „2025. évi közlemény az EU bővítési stratégiájáról” című, 2025. november 4-i bizottsági közleményre (COM(2025)0690) és az azt kísérő, „2025. évi jelentés Észak-Macedóniáról” című bizottsági szolgálati munkadokumentumra (SWD(2025)0753),</w:t>
      </w:r>
    </w:p>
    <w:p w:rsidR="00E43AEC" w:rsidRPr="00C0637C" w:rsidP="00273FC2" w14:paraId="3F3342C4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 xml:space="preserve">tekintettel az emberi jogok európai egyezményére és az Emberi Jogok Európai Bíróságának ítélkezési gyakorlatára, </w:t>
      </w:r>
    </w:p>
    <w:p w:rsidR="00E43AEC" w:rsidRPr="00C0637C" w:rsidP="00273FC2" w14:paraId="2C952089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 xml:space="preserve">tekintettel a 2018-ban, 2020-ban és 2021-ben rendre Szófiában, Zágrábban és Brdo pri Kranjuban tartott EU–Nyugat-Balkán-csúcstalálkozókra és azok nyilatkozataira, </w:t>
      </w:r>
    </w:p>
    <w:p w:rsidR="00E43AEC" w:rsidRPr="00C0637C" w:rsidP="00273FC2" w14:paraId="700DFE9C" w14:textId="4EAF22C6">
      <w:pPr>
        <w:pStyle w:val="NormalHanging12a"/>
        <w:widowControl/>
      </w:pPr>
      <w:r w:rsidRPr="00C0637C">
        <w:t>–</w:t>
      </w:r>
      <w:r w:rsidRPr="00C0637C">
        <w:tab/>
        <w:t xml:space="preserve">tekintettel a </w:t>
      </w:r>
      <w:r w:rsidRPr="00C0637C" w:rsidR="00273FC2">
        <w:t xml:space="preserve">2025. december 17-én, </w:t>
      </w:r>
      <w:r w:rsidRPr="00C0637C">
        <w:t>Brüsszelben tartott EU–Nyugat-Balkán csúcstalálkozón elfogadott nyilatkozatra,</w:t>
      </w:r>
    </w:p>
    <w:p w:rsidR="00E43AEC" w:rsidRPr="00C0637C" w:rsidP="00273FC2" w14:paraId="63ED9484" w14:textId="77777777">
      <w:pPr>
        <w:pStyle w:val="NormalHanging12a"/>
        <w:widowControl/>
      </w:pPr>
      <w:r w:rsidRPr="00C0637C">
        <w:t>–</w:t>
      </w:r>
      <w:r w:rsidRPr="00C0637C">
        <w:tab/>
        <w:t>tekintettel az Európai Biztonsági és Együttműködési Szervezet (EBESZ) Demokratikus Intézmények és Emberi Jogok Hivatala (ODIHR) választási megfigyelő missziójának a 2024. április 24-i észak-macedón elnökválasztásról és a 2024. május 8-i parlamenti választásokról szóló, 2024. szeptember 23-i zárójelentésére,</w:t>
      </w:r>
    </w:p>
    <w:p w:rsidR="00E43AEC" w:rsidRPr="00C0637C" w:rsidP="00273FC2" w14:paraId="2C6770E2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 xml:space="preserve">tekintettel az Európai Unió és az Észak-macedón Köztársaság közötti stabilizációs és társulási bizottság 19. ülésére, </w:t>
      </w:r>
    </w:p>
    <w:p w:rsidR="00E43AEC" w:rsidRPr="00C0637C" w:rsidP="00273FC2" w14:paraId="17625B48" w14:textId="057C1E93">
      <w:pPr>
        <w:pStyle w:val="NormalHanging12a"/>
        <w:widowControl/>
      </w:pPr>
      <w:r w:rsidRPr="00C0637C">
        <w:t>–</w:t>
      </w:r>
      <w:r w:rsidRPr="00C0637C">
        <w:tab/>
        <w:t>tekintettel az EU–Észak-Macedónia Parlamenti Vegyes Bizottság 2025. november 26-án és 27-én</w:t>
      </w:r>
      <w:r w:rsidRPr="00C0637C" w:rsidR="00273FC2">
        <w:t>,</w:t>
      </w:r>
      <w:r w:rsidRPr="00C0637C">
        <w:t xml:space="preserve"> Strasbourgban tartott 24. ülésén elfogadott közös ajánlásokra,</w:t>
      </w:r>
    </w:p>
    <w:p w:rsidR="00E43AEC" w:rsidRPr="00C0637C" w:rsidP="00273FC2" w14:paraId="33549014" w14:textId="77777777">
      <w:pPr>
        <w:pStyle w:val="NormalHanging12a"/>
        <w:widowControl/>
      </w:pPr>
      <w:r w:rsidRPr="00C0637C">
        <w:t>–</w:t>
      </w:r>
      <w:r w:rsidRPr="00C0637C">
        <w:tab/>
        <w:t xml:space="preserve">tekintettel az Észak-Macedóniáról szóló korábbi állásfoglalásaira, különösen </w:t>
      </w:r>
      <w:bookmarkStart w:id="7" w:name="_Hlk222322460"/>
      <w:r w:rsidRPr="00C0637C">
        <w:t>az Észak-Macedóniával és Albániával folytatandó csatlakozási tárgyalások megkezdéséről szóló, 2019. október 24-i állásfoglalására</w:t>
      </w:r>
      <w:bookmarkEnd w:id="7"/>
      <w:r>
        <w:rPr>
          <w:rStyle w:val="FootnoteReference"/>
        </w:rPr>
        <w:footnoteReference w:id="5"/>
      </w:r>
      <w:r w:rsidRPr="00C0637C">
        <w:t>,</w:t>
      </w:r>
    </w:p>
    <w:p w:rsidR="00E43AEC" w:rsidRPr="00C0637C" w:rsidP="00273FC2" w14:paraId="4E282E93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>tekintettel „Az uniós integráció elmélyítése a jövőbeli bővítésre tekintettel” című, 2024. február 29-i állásfoglalására</w:t>
      </w:r>
      <w:r>
        <w:rPr>
          <w:rStyle w:val="FootnoteReference"/>
          <w:bCs/>
          <w:iCs/>
        </w:rPr>
        <w:footnoteReference w:id="6"/>
      </w:r>
      <w:r w:rsidRPr="00C0637C">
        <w:t>,</w:t>
      </w:r>
    </w:p>
    <w:p w:rsidR="00E43AEC" w:rsidRPr="00C0637C" w:rsidP="00273FC2" w14:paraId="768F9909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>tekintettel az EU bővítési stratégiájáról szóló 2026. március 11-i állásfoglalására</w:t>
      </w:r>
      <w:r>
        <w:rPr>
          <w:rStyle w:val="FootnoteReference"/>
          <w:bCs/>
          <w:iCs/>
        </w:rPr>
        <w:footnoteReference w:id="7"/>
      </w:r>
      <w:r w:rsidRPr="00C0637C">
        <w:t>,</w:t>
      </w:r>
    </w:p>
    <w:p w:rsidR="00E43AEC" w:rsidRPr="00C0637C" w:rsidP="00273FC2" w14:paraId="7DEEF417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>tekintettel a 2001. évi ohridi keretmegállapodásra,</w:t>
      </w:r>
    </w:p>
    <w:p w:rsidR="00E43AEC" w:rsidRPr="00C0637C" w:rsidP="00273FC2" w14:paraId="53170014" w14:textId="77777777">
      <w:pPr>
        <w:pStyle w:val="NormalHanging12a"/>
        <w:widowControl/>
      </w:pPr>
      <w:r w:rsidRPr="00C0637C">
        <w:t>–</w:t>
      </w:r>
      <w:r w:rsidRPr="00C0637C">
        <w:tab/>
        <w:t>tekintettel a barátságról, a jószomszédi viszonyról és az együttműködésről szóló, a Bolgár Köztársaság és Észak-Macedónia közötti, 2017. augusztus 1-én aláírt és 2018 januárjában megerősített szerződésre,</w:t>
      </w:r>
    </w:p>
    <w:p w:rsidR="00E43AEC" w:rsidRPr="00C0637C" w:rsidP="00273FC2" w14:paraId="346AE47F" w14:textId="77777777">
      <w:pPr>
        <w:pStyle w:val="NormalHanging12a"/>
        <w:widowControl/>
      </w:pPr>
      <w:r w:rsidRPr="00C0637C">
        <w:t>–</w:t>
      </w:r>
      <w:r w:rsidRPr="00C0637C">
        <w:tab/>
        <w:t>tekintettel az Egyesült Nemzetek Biztonsági Tanácsának 817(1993) és 845(1993) sz. határozatában ismertetett nézeteltérések rendezéséről, az 1995. évi ideiglenes megállapodás megszüntetéséről, valamint az Észak-Macedónia és Görögország közötti stratégiai partnerség kialakításáról szóló, 2018. június 17-i záró megállapodásra, amely preszpa-tavi megállapodásként is ismert,</w:t>
      </w:r>
    </w:p>
    <w:p w:rsidR="00E43AEC" w:rsidRPr="00C0637C" w:rsidP="00273FC2" w14:paraId="03CC9ED4" w14:textId="77777777">
      <w:pPr>
        <w:pStyle w:val="NormalHanging12a"/>
        <w:widowControl/>
      </w:pPr>
      <w:r w:rsidRPr="00C0637C">
        <w:t>–</w:t>
      </w:r>
      <w:r w:rsidRPr="00C0637C">
        <w:tab/>
        <w:t>tekintettel a földrajzi nevek szabványosításáról 1977-ben tartott harmadik ENSZ-konferenciára,</w:t>
      </w:r>
    </w:p>
    <w:p w:rsidR="00E43AEC" w:rsidRPr="00C0637C" w:rsidP="00273FC2" w14:paraId="5BF5D174" w14:textId="77777777">
      <w:pPr>
        <w:pStyle w:val="NormalHanging12a"/>
        <w:widowControl/>
      </w:pPr>
      <w:r w:rsidRPr="00C0637C">
        <w:t>–</w:t>
      </w:r>
      <w:r w:rsidRPr="00C0637C">
        <w:tab/>
        <w:t>tekintettel az Észak-Macedóniával folytatott nyomon követést követő párbeszédre és az Európa Tanács Parlamenti Közgyűlése által 2026. január 8-án elfogadott vonatkozó jelentésre,</w:t>
      </w:r>
    </w:p>
    <w:p w:rsidR="00E43AEC" w:rsidRPr="00C0637C" w:rsidP="00273FC2" w14:paraId="00712FF4" w14:textId="77777777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>tekintettel a Rasszizmus és Intolerancia Elleni Európai Bizottság Észak-Macedóniáról szóló, 2023. június 29-én elfogadott hatodik jelentésére,</w:t>
      </w:r>
    </w:p>
    <w:p w:rsidR="00E43AEC" w:rsidRPr="00C0637C" w:rsidP="00273FC2" w14:paraId="11494AD5" w14:textId="3B695511">
      <w:pPr>
        <w:widowControl/>
        <w:spacing w:after="240"/>
        <w:ind w:left="567" w:hanging="567"/>
        <w:rPr>
          <w:bCs/>
          <w:iCs/>
        </w:rPr>
      </w:pPr>
      <w:r w:rsidRPr="00C0637C">
        <w:t>–</w:t>
      </w:r>
      <w:r w:rsidRPr="00C0637C">
        <w:tab/>
        <w:t>tekintettel a Bizottság és az Unió külügyi és biztonságpolitikai főképviselője 2020. november 25-i, „A nemek közötti egyenlőségre vonatkozó III. uniós cselekvési terv (GAP III) – Az EU külső tevékenységeiben a nemek közötti egyenlőség biztosítását és a nők szerepének megerősítését célzó ambiciózus program</w:t>
      </w:r>
      <w:r w:rsidRPr="00C0637C" w:rsidR="00273FC2">
        <w:t>”</w:t>
      </w:r>
      <w:r w:rsidRPr="00C0637C">
        <w:t xml:space="preserve"> című közös közleményét </w:t>
      </w:r>
      <w:r w:rsidRPr="00C0637C" w:rsidR="00273FC2">
        <w:t xml:space="preserve">(JOIN(2020)0017) </w:t>
      </w:r>
      <w:r w:rsidRPr="00C0637C">
        <w:t>kísérő, „A GAP III végrehajtásához kapcsolódó célkitűzések és mutatók (2021–2025)” című közös szolgálati munkadokumentumra</w:t>
      </w:r>
      <w:r w:rsidRPr="00C0637C" w:rsidR="00273FC2">
        <w:t xml:space="preserve"> (SWD(2020)0284)</w:t>
      </w:r>
      <w:r w:rsidRPr="00C0637C">
        <w:t>, valamint az Észak-Macedónia országos szintű végrehajtási tervre (CLIP),</w:t>
      </w:r>
    </w:p>
    <w:p w:rsidR="00E43AEC" w:rsidRPr="00C0637C" w:rsidP="00273FC2" w14:paraId="43C880C8" w14:textId="77777777">
      <w:pPr>
        <w:pStyle w:val="NormalHanging12a"/>
        <w:widowControl/>
      </w:pPr>
      <w:r w:rsidRPr="00C0637C">
        <w:t>–</w:t>
      </w:r>
      <w:r w:rsidRPr="00C0637C">
        <w:tab/>
        <w:t>tekintettel eljárási szabályzata 55. cikkére,</w:t>
      </w:r>
    </w:p>
    <w:p w:rsidR="00E43AEC" w:rsidRPr="00C0637C" w:rsidP="00273FC2" w14:paraId="7E014EDC" w14:textId="77777777">
      <w:pPr>
        <w:pStyle w:val="NormalHanging12a"/>
        <w:widowControl/>
      </w:pPr>
      <w:r w:rsidRPr="00C0637C">
        <w:t>–</w:t>
      </w:r>
      <w:r w:rsidRPr="00C0637C">
        <w:tab/>
        <w:t>tekintettel a Külügyi Bizottság jelentésére (A10-0162/2026),</w:t>
      </w:r>
    </w:p>
    <w:p w:rsidR="00E43AEC" w:rsidRPr="00C0637C" w:rsidP="00273FC2" w14:paraId="133B3A1F" w14:textId="77777777">
      <w:pPr>
        <w:pStyle w:val="NormalHanging12a"/>
        <w:widowControl/>
      </w:pPr>
      <w:bookmarkStart w:id="8" w:name="_Hlk221624356"/>
      <w:r w:rsidRPr="00C0637C">
        <w:t>A.</w:t>
      </w:r>
      <w:r w:rsidRPr="00C0637C">
        <w:tab/>
        <w:t>mivel Észak-Macedónia 2005 óta rendelkezik uniós tagjelölt ország státusszal, és 2023 decemberében sikeresen lezárta az átvilágítási folyamatot;</w:t>
      </w:r>
    </w:p>
    <w:p w:rsidR="00E43AEC" w:rsidRPr="00C0637C" w:rsidP="00273FC2" w14:paraId="623175D3" w14:textId="77777777">
      <w:pPr>
        <w:pStyle w:val="NormalHanging12a"/>
        <w:widowControl/>
      </w:pPr>
      <w:r w:rsidRPr="00C0637C">
        <w:t>B.</w:t>
      </w:r>
      <w:r w:rsidRPr="00C0637C">
        <w:tab/>
        <w:t>mivel Észak-Macedónia uniós csatlakozás iránti stratégiai elkötelezettsége és a politikai pártok közötti nemzeti konszenzus megingathatatlan, és a polgárok körében az uniós tagság támogatottsága 2024-hez képest közel 10%-kal, 71%-ra nőtt;</w:t>
      </w:r>
    </w:p>
    <w:p w:rsidR="00E43AEC" w:rsidRPr="00C0637C" w:rsidP="00273FC2" w14:paraId="1E821332" w14:textId="77777777">
      <w:pPr>
        <w:widowControl/>
        <w:spacing w:after="240"/>
        <w:ind w:left="567" w:hanging="567"/>
        <w:rPr>
          <w:bCs/>
        </w:rPr>
      </w:pPr>
      <w:r w:rsidRPr="00C0637C">
        <w:t>C.</w:t>
      </w:r>
      <w:r w:rsidRPr="00C0637C">
        <w:tab/>
        <w:t>mivel az EU bővítési politikája továbbra is stratégiai befektetés az európai kontinens békéjébe, demokráciájába, stabilitásába és jólétébe, és a csatlakozási folyamat hitelessége a szigorú feltételrendszertől és a tagjelölt országokkal szembeni méltányos bánásmódtól függ; mivel a tagjelölt országoknak teljes mértékben meg kell felelniük a koppenhágai kritériumoknak és tiszteletben kell tartaniuk az európai értékeket; mivel a kétoldalú kérdéseket kétoldalúan és a nemzetközi joggal összhangban kell megoldani, és azok nem használhatók fel a bővítési folyamat akadályozására vagy további átpolitizálására; mivel az uniós bővítési politika hitelessége attól is függ, hogy a tagjelölt országok végrehajtják-e a reformokat, és hogy az EU teljesíti-e kötelezettségvállalásait, amint valamennyi feltétel teljesül;</w:t>
      </w:r>
    </w:p>
    <w:p w:rsidR="00E43AEC" w:rsidRPr="00C0637C" w:rsidP="00273FC2" w14:paraId="7F271C15" w14:textId="77777777">
      <w:pPr>
        <w:widowControl/>
        <w:spacing w:after="240"/>
        <w:ind w:left="567" w:hanging="567"/>
      </w:pPr>
      <w:r w:rsidRPr="00C0637C">
        <w:t>D.</w:t>
      </w:r>
      <w:r w:rsidRPr="00C0637C">
        <w:tab/>
        <w:t xml:space="preserve">mivel a Parlament következetesen támogatta Észak-Macedónia európai perspektíváját és folyamatos párbeszédet folytatott az észak-macedóniai hatóságokkal, érdekelt </w:t>
      </w:r>
      <w:r w:rsidRPr="00C0637C">
        <w:t>felekkel és civil társadalommal, hangsúlyozva, hogy tartós reformokra, a demokratikus értékek, a jogállamiság, az emberi jogok tiszteletben tartására és az elfogadott kötelezettségvállalások teljesítésére van szükség;</w:t>
      </w:r>
    </w:p>
    <w:p w:rsidR="00E43AEC" w:rsidRPr="00C0637C" w:rsidP="00273FC2" w14:paraId="1A6D574E" w14:textId="77777777">
      <w:pPr>
        <w:widowControl/>
        <w:spacing w:after="240"/>
        <w:ind w:left="567" w:hanging="567"/>
        <w:rPr>
          <w:bCs/>
          <w:iCs/>
        </w:rPr>
      </w:pPr>
      <w:r w:rsidRPr="00C0637C">
        <w:t>E.</w:t>
      </w:r>
      <w:r w:rsidRPr="00C0637C">
        <w:tab/>
        <w:t>mivel a kivándorlás továbbra is negatívan érinti Észak-Macedóniát, és hosszú távú kockázatot jelent az alapvető közszolgáltatások pénzügyi fenntarthatóságára nézve;</w:t>
      </w:r>
    </w:p>
    <w:p w:rsidR="00E43AEC" w:rsidRPr="00C0637C" w:rsidP="00273FC2" w14:paraId="6FBB009B" w14:textId="77777777">
      <w:pPr>
        <w:widowControl/>
        <w:spacing w:after="240"/>
        <w:ind w:left="567" w:hanging="567"/>
        <w:rPr>
          <w:b/>
          <w:bCs/>
        </w:rPr>
      </w:pPr>
      <w:r w:rsidRPr="00C0637C">
        <w:t>F.</w:t>
      </w:r>
      <w:r w:rsidRPr="00C0637C">
        <w:tab/>
        <w:t>mivel a politikai polarizáció, a pártok közötti korlátozott együttműködés és a reformok lassú végrehajtása továbbra is csökkenti a közbizalom és a nyilvánosság részvételének mértékét;</w:t>
      </w:r>
    </w:p>
    <w:p w:rsidR="00E43AEC" w:rsidRPr="00C0637C" w:rsidP="00273FC2" w14:paraId="74134021" w14:textId="77777777">
      <w:pPr>
        <w:widowControl/>
        <w:spacing w:after="240"/>
        <w:ind w:left="567" w:hanging="567"/>
        <w:rPr>
          <w:iCs/>
        </w:rPr>
      </w:pPr>
      <w:r w:rsidRPr="00C0637C">
        <w:t>G.</w:t>
      </w:r>
      <w:r w:rsidRPr="00C0637C">
        <w:tab/>
        <w:t>mivel a nyelvre, az identitásra és kultúrára vonatkozó kérdések természetüknél fogva érzékenyek, különösen összetett történelmi kontextusokban; mivel az ilyen kérdések beépítése a bővítési vitákba azzal a kockázattal jár, hogy bonyolítja és átpolitizálja a tagjelölt országok csatlakozási folyamatát, és ezért önmérséklettel és felelősséggel kell kezelni azokat, megőrizve az uniós bővítési politika integritását;</w:t>
      </w:r>
    </w:p>
    <w:p w:rsidR="00E43AEC" w:rsidRPr="00C0637C" w:rsidP="00273FC2" w14:paraId="21901BB7" w14:textId="77777777">
      <w:pPr>
        <w:widowControl/>
        <w:spacing w:after="240"/>
        <w:ind w:left="567" w:hanging="567"/>
        <w:rPr>
          <w:bCs/>
          <w:iCs/>
        </w:rPr>
      </w:pPr>
      <w:r w:rsidRPr="00C0637C">
        <w:t>H.</w:t>
      </w:r>
      <w:r w:rsidRPr="00C0637C">
        <w:tab/>
        <w:t>mivel Észak-Macedónia mérhető, de lassú haladást ért el reformprogramjának végrehajtása terén, ami főként a nem alapvető területeken végrehajtott reformokra terjed ki; mivel a reformprogram végrehajtása hozzájárul Észak-Macedónia társadalmának, gazdaságának és intézményeinek korszerűsítéséhez és fejlődéséhez;</w:t>
      </w:r>
    </w:p>
    <w:p w:rsidR="00E43AEC" w:rsidRPr="00C0637C" w:rsidP="00273FC2" w14:paraId="3083FA59" w14:textId="77777777">
      <w:pPr>
        <w:widowControl/>
        <w:spacing w:after="240"/>
        <w:ind w:left="567" w:hanging="567"/>
        <w:rPr>
          <w:bCs/>
          <w:iCs/>
        </w:rPr>
      </w:pPr>
      <w:r w:rsidRPr="00C0637C">
        <w:t>I.</w:t>
      </w:r>
      <w:r w:rsidRPr="00C0637C">
        <w:tab/>
        <w:t>mivel a Tanács arra a következtetésre jutott, hogy készen áll arra, hogy további késedelem és újabb politikai döntések nélkül kormányközi konferenciát tartson, amint Észak-Macedónia a belső eljárásaival összhangban teljesíti a szükséges alkotmánymódosítások végrehajtására vonatkozó kötelezettségvállalását;</w:t>
      </w:r>
    </w:p>
    <w:p w:rsidR="00E43AEC" w:rsidP="00273FC2" w14:paraId="5227EB04" w14:textId="77777777">
      <w:pPr>
        <w:pStyle w:val="NormalHanging12a"/>
        <w:widowControl/>
      </w:pPr>
      <w:r w:rsidRPr="00C0637C">
        <w:t>J.</w:t>
      </w:r>
      <w:r w:rsidRPr="00C0637C">
        <w:tab/>
        <w:t>mivel egyes uniós tagállamok kifejtették álláspontjukat Észak-Macedónia tárgyalási keretével kapcsolatban;</w:t>
      </w:r>
    </w:p>
    <w:p w:rsidR="00423FBA" w:rsidRPr="00C0637C" w:rsidP="00273FC2" w14:paraId="50D16D3D" w14:textId="73B3C69B">
      <w:pPr>
        <w:pStyle w:val="NormalHanging12a"/>
        <w:widowControl/>
      </w:pPr>
      <w:r>
        <w:t>K</w:t>
      </w:r>
      <w:r w:rsidRPr="00423FBA">
        <w:t>.</w:t>
      </w:r>
      <w:r w:rsidRPr="00423FBA">
        <w:tab/>
        <w:t>mivel a kommunikáció és a múlttal való szembenézés közös megközelítésének megtalálása, valamint az emlékezés kultúrájának kölcsönös tiszteleten alapuló kialakítása az az alap, amelyre Bulgáriának és Észak-Macedóniának jövőbeli kapcsolataikat építeniük kell; mivel az Észak-Macedónia és Bulgária jövőbeli generációi közötti kapcsolat a két ország oktatási folyamatait fogja tükrözni;</w:t>
      </w:r>
    </w:p>
    <w:p w:rsidR="00E43AEC" w:rsidRPr="00C0637C" w:rsidP="00273FC2" w14:paraId="606FEB9E" w14:textId="77777777">
      <w:pPr>
        <w:pStyle w:val="NormalHanging12a"/>
        <w:widowControl/>
        <w:rPr>
          <w:bCs/>
          <w:iCs/>
        </w:rPr>
      </w:pPr>
      <w:r w:rsidRPr="00C0637C">
        <w:t>1.</w:t>
      </w:r>
      <w:r w:rsidRPr="00C0637C">
        <w:tab/>
        <w:t>megismétli, hogy teljes mértékben támogatja Észak-Macedónia uniós tagság iránti elkötelezettségét, amely egyértelmű és mérhető előrehaladáson, valamint szigorú, de méltányos feltételrendszeren alapul, valamint a csatlakozási kritériumok teljesítéséhez szükséges átalakító erejű változásokhoz; elismerését fejezi ki az ország európai integráció iránti elkötelezettségéért, és ösztönzi az EU-hoz igazodó reformok előmozdítására irányuló folyamatos erőfeszítéseket; emlékeztet azonban arra, hogy a csatlakozási tárgyalások előrehaladása továbbra is a tartós és mélyreható reformoktól függ és szigorúan érdemeken alapul;</w:t>
      </w:r>
    </w:p>
    <w:p w:rsidR="00E43AEC" w:rsidRPr="00C0637C" w:rsidP="00273FC2" w14:paraId="40AEED35" w14:textId="77777777">
      <w:pPr>
        <w:pStyle w:val="NormalHanging12a"/>
        <w:widowControl/>
      </w:pPr>
      <w:r w:rsidRPr="00C0637C">
        <w:t>2.</w:t>
      </w:r>
      <w:r w:rsidRPr="00C0637C">
        <w:tab/>
        <w:t xml:space="preserve">sajnálattal állapítja meg, hogy legutóbbi jelentés óta nem történt előrelépés; hangsúlyozza, hogy a reformok folytatása megújult politikai elkötelezettséget és egyértelmű lépéseket igényel, többek között a szükséges alkotmánymódosítások, a pártok közötti konstruktív együttműködés és a hatékony parlamenti felügyelet tekintetében; megérti, hogy az alkotmánymódosítás fontos, de megosztó téma egy olyan országban, amely számos kihívással küzdött a független nemzetté válás felé vezető </w:t>
      </w:r>
      <w:r w:rsidRPr="00C0637C">
        <w:t>úton; e tekintetben hangsúlyozza, hogy az ország európai útja iránt elkötelezett valamennyi politikai érdekelt félnek sürgősen egyesítenie kell erőit a szükséges alkotmánymódosítások végrehajtása érdekében, amelyek lehetővé teszik az első tárgyalási témakör megnyitását; emlékeztet, hogy a pártok közötti együttműködés továbbra is alapvető fontosságú lesz a nemzeti jogszabályoknak az uniós vívmányokkal való összehangolásáról szóló tárgyalások során;</w:t>
      </w:r>
    </w:p>
    <w:p w:rsidR="00E43AEC" w:rsidRPr="00C0637C" w:rsidP="00273FC2" w14:paraId="11CED7CF" w14:textId="77777777">
      <w:pPr>
        <w:pStyle w:val="NormalHanging12a"/>
        <w:widowControl/>
      </w:pPr>
      <w:r w:rsidRPr="00C0637C">
        <w:t>3.</w:t>
      </w:r>
      <w:r w:rsidRPr="00C0637C">
        <w:tab/>
        <w:t>üdvözli a reformok végrehajtása iránti megújult elkötelezettséggel kapcsolatos közelmúltbeli politikai jelzéseket Észak-Macedóniában; hangsúlyozza azonban, hogy az országot kizárólag a végrehajtott reformok eredményei alapján fogják értékelni; hangsúlyozza, hogy az alkotmánymódosítás előmozdítására irányuló, pártok közötti együttműködés hiánya nem mentség a szükséges egyéb reformok késleltetésére, amelyek az európai úttól függetlenül az ország és polgárai javát szolgálnák;</w:t>
      </w:r>
    </w:p>
    <w:p w:rsidR="00E43AEC" w:rsidRPr="00C0637C" w:rsidP="00273FC2" w14:paraId="4739D39A" w14:textId="77777777">
      <w:pPr>
        <w:pStyle w:val="NormalHanging12a"/>
        <w:widowControl/>
        <w:rPr>
          <w:bCs/>
          <w:iCs/>
        </w:rPr>
      </w:pPr>
      <w:r w:rsidRPr="00C0637C">
        <w:t>4.</w:t>
      </w:r>
      <w:r w:rsidRPr="00C0637C">
        <w:tab/>
        <w:t>felhívja a tagállamokat, a Tanácsot és a Bizottságot, hogy őrizzék meg a csatlakozási folyamat kiszámíthatóságát és hitelességét, többek között azzal a céllal, hogy fenntartsák a csatlakozás támogatottságát a bővítési országokban; e tekintetben sürgeti az Európai Tanácsot és a tagállamokat, hogy nyilvánosan és egyértelműen jelezzék, hogy a Tanács gyorsan és feltétel nélkül pozitív döntést kíván hozni az Észak-Macedóniával folytatott csatlakozási tárgyalások következő szakaszába lépéséről, amint teljesülnek a 2022. július 18-i következtetéseiben foglalt feltételek; megjegyzi, hogy Észak-Macedónia az egyik leghosszabb ideje függőben lévő tagjelölt ország, amely több mint két évtizeddel ezelőtt kapta meg a tagjelölti státuszt; hangsúlyozza, hogy az, hogy az Európai Tanács már többször elhalasztotta az Észak-Macedóniával folytatott csatlakozási tárgyalások megkezdését, ami hozzájárult ahhoz, hogy az ország politikai érdekelt felei és a polgárok negatívan ítélik meg az uniós csatlakozás kilátásait;</w:t>
      </w:r>
    </w:p>
    <w:p w:rsidR="00E43AEC" w:rsidRPr="00C0637C" w:rsidP="00273FC2" w14:paraId="107785A7" w14:textId="77777777">
      <w:pPr>
        <w:pStyle w:val="NormalHanging12a"/>
        <w:widowControl/>
        <w:rPr>
          <w:bCs/>
          <w:iCs/>
        </w:rPr>
      </w:pPr>
      <w:r w:rsidRPr="00C0637C">
        <w:t>5.</w:t>
      </w:r>
      <w:r w:rsidRPr="00C0637C">
        <w:tab/>
        <w:t>megismétli az Európai Tanács Észak-Macedóniáról szóló 2024. évi következtetéseiben foglalt felhívását, hogy gyorsítsák fel az alkotmánymódosítás folyamatát; emlékeztet, hogy a Tanács megerősítette, hogy készen áll további késedelem vagy további politikai döntések nélkül újabb kormányközi konferenciát összehívni, amint Észak-Macedónia a belső eljárásaival összhangban teljesíti kötelezettségvállalását, és hogy ezt követően a Tanács készen áll arra, hogy a tárgyalási kerettel összhangban a lehető leghamarabb megnyissa az első tárgyalási témakört;</w:t>
      </w:r>
    </w:p>
    <w:p w:rsidR="00E43AEC" w:rsidRPr="00C0637C" w:rsidP="00273FC2" w14:paraId="544F0ED0" w14:textId="77777777">
      <w:pPr>
        <w:pStyle w:val="NormalHanging12a"/>
        <w:widowControl/>
      </w:pPr>
      <w:r w:rsidRPr="00C0637C">
        <w:t>6.</w:t>
      </w:r>
      <w:r w:rsidRPr="00C0637C">
        <w:tab/>
        <w:t>elismerését fejezi ki az észak-macedón polgárok uniós integráció iránti elkötelezettségéért és a projekthez nyújtott támogatásáért két évtizeddel a folyamat megkezdése után; felhívja a Bizottságot, hogy a lehető legtöbb területen terjesszen elő egyértelmű javaslatokat arra vonatkozóan, hogy miként lehet alkalmazni a fokozatos integráció eszközeit és garantálni azok hatékony végrehajtását – többek között a Nyugat-Balkánra vonatkozó növekedési terv keretében – a teljes jogú tagság kiegészítéseként, nem pedig helyettesítéseként, annak érdekében, hogy Észak-Macedónia polgárai már a csatlakozás előtt élvezhessék az uniós integráció előnyeit;</w:t>
      </w:r>
    </w:p>
    <w:p w:rsidR="00E43AEC" w:rsidRPr="00C0637C" w:rsidP="00273FC2" w14:paraId="77F835C6" w14:textId="77777777">
      <w:pPr>
        <w:pStyle w:val="NormalHanging12a"/>
        <w:widowControl/>
      </w:pPr>
      <w:bookmarkStart w:id="9" w:name="_Hlk221624932"/>
      <w:r w:rsidRPr="00C0637C">
        <w:t>7.</w:t>
      </w:r>
      <w:r w:rsidRPr="00C0637C">
        <w:tab/>
        <w:t>emlékeztet, hogy egyhangú döntéshozatalra van szükség a csatlakozási tárgyalások megnyitásával és lezárásával kapcsolatban, amelyek a bővítési folyamat fő politikai mérföldkövei; megismétli arra irányuló felhívását, hogy a Szerződésekkel teljes összhangban egyszerűsített folyamatok – például a bővítési folyamat köztes lépései során minősített többségi szavazás alkalmazása – révén javítsák az EU cselekvőképességét;</w:t>
      </w:r>
    </w:p>
    <w:p w:rsidR="00E43AEC" w:rsidRPr="00C0637C" w:rsidP="00273FC2" w14:paraId="0833E292" w14:textId="77777777">
      <w:pPr>
        <w:pStyle w:val="NormalHanging12a"/>
        <w:widowControl/>
      </w:pPr>
      <w:r w:rsidRPr="00C0637C">
        <w:t>8.</w:t>
      </w:r>
      <w:r w:rsidRPr="00C0637C">
        <w:tab/>
        <w:t>emlékeztet, hogy az országok közötti kétoldalú vitákat a civil társadalom és szakértők bevonásával zajló nyílt párbeszéd és valódi együttműködés révén kell kezelni, jóhiszeműen és a nemzetközi joggal összhangban, és nem szabad eszközként használni a csatlakozási folyamat során;</w:t>
      </w:r>
      <w:bookmarkEnd w:id="9"/>
    </w:p>
    <w:p w:rsidR="00E43AEC" w:rsidRPr="00C0637C" w:rsidP="00273FC2" w14:paraId="4987B568" w14:textId="77777777">
      <w:pPr>
        <w:pStyle w:val="NormalHanging12a"/>
        <w:widowControl/>
        <w:rPr>
          <w:bCs/>
          <w:iCs/>
        </w:rPr>
      </w:pPr>
      <w:r w:rsidRPr="00C0637C">
        <w:t>9.</w:t>
      </w:r>
      <w:r w:rsidRPr="00C0637C">
        <w:tab/>
        <w:t>hangsúlyozza, hogy a nyelvi, kulturális és nemzeti identitások minden ország valódi alapját képezik, és azokat harmadik feleknek nem szabad megkérdőjelezniük; megjegyzi továbbá, hogy ezek a kérdések nem befolyásolhatják az uniós csatlakozási folyamatot, amely az uniós vívmányok végrehajtására és a koppenhágai kritériumokban meghatározott uniós értékekkel és elvekkel, valamint a jószomszédi kapcsolatok elvével való összhangra összpontosít, és amelyet objektív kritériumoknak kell vezérelniük, kizárólag érdemeken alapulva; határozottan elutasítja az etno-nacionalista retorikát, többek között a politikai szereplők részéről, amely megosztottságot kelt és aláássa a jószomszédi, valamint az etnikai csoportok és közösségek közötti kapcsolatokat; felhívja az EU-t, hogy fokozza erőfeszítéseit az ilyen retorika és hatásának megfékezése érdekében;</w:t>
      </w:r>
    </w:p>
    <w:p w:rsidR="00E43AEC" w:rsidRPr="00C0637C" w:rsidP="00273FC2" w14:paraId="764743B9" w14:textId="77777777">
      <w:pPr>
        <w:pStyle w:val="NormalHanging12a"/>
        <w:widowControl/>
      </w:pPr>
      <w:r w:rsidRPr="00C0637C">
        <w:t>10.</w:t>
      </w:r>
      <w:r w:rsidRPr="00C0637C">
        <w:tab/>
        <w:t>üdvözli az észak-macedóniai etnikumok közötti kapcsolatok stabilitását és az ohridi keretmegállapodás végrehajtását, többek között méltányos képviseleti mechanizmusok révén; felszólítja az összes szereplőt, hogy óvják meg az ország stabilitásának és integritásának alapjait, mozdítsák elő az etnikai és kisebbségi csoportok és más közösségek közötti kapcsolatokat, együttműködést és párbeszédet, és kerüljék a megosztó retorikát;</w:t>
      </w:r>
    </w:p>
    <w:p w:rsidR="00E43AEC" w:rsidRPr="00C0637C" w:rsidP="00273FC2" w14:paraId="26FE1475" w14:textId="04A8134F">
      <w:pPr>
        <w:pStyle w:val="NormalHanging12a"/>
        <w:widowControl/>
        <w:rPr>
          <w:bCs/>
          <w:iCs/>
        </w:rPr>
      </w:pPr>
      <w:r w:rsidRPr="00C0637C">
        <w:t>11.</w:t>
      </w:r>
      <w:r w:rsidRPr="00C0637C">
        <w:tab/>
        <w:t>tudomásul veszi Észak-Macedónia Alkotmánybíróságának 2024. szeptember 18-i határozatát az albán és más közösségek közintézményekben dolgozó képviselőinek kvótáira vonatkozó egyes rendelkezések megsemmisítéséről; hangsúlyozza, hogy az ország közigazgatásának tükröznie kell az ország többnemzetiségű összetételét; felhívja a hatóságokat, hogy az ohridi keretmegállapodással összhangban biztosítsák valamennyi közösség megfelelő és méltányos képviseletét, és a Velencei Bizottság véleményével és az uniós normákkal teljes összhangban módosítsák és hajtsák végre a vonatkozó törvénytervezetet;</w:t>
      </w:r>
      <w:r w:rsidR="00423FBA">
        <w:t xml:space="preserve"> </w:t>
      </w:r>
      <w:r w:rsidRPr="00423FBA" w:rsidR="00423FBA">
        <w:t>sürgeti az észak-macedón hatóságokat, hogy mielőbb oldják meg az albán nyelv államvizsgákon való használatának kérdését az ohridi keretmegállapodás mind jogi, mind szellemi gyakorlati végrehajtásának biztosítása érdekében, és ne mutassák be a diáktüntetéseket megtévesztő módon politikai indíttatásúként vagy destabilizáló tényezőként;</w:t>
      </w:r>
    </w:p>
    <w:p w:rsidR="00E43AEC" w:rsidRPr="00C0637C" w:rsidP="00273FC2" w14:paraId="7C6396E8" w14:textId="77777777">
      <w:pPr>
        <w:pStyle w:val="NormalHanging12a"/>
        <w:widowControl/>
        <w:rPr>
          <w:bCs/>
          <w:iCs/>
        </w:rPr>
      </w:pPr>
      <w:r w:rsidRPr="00C0637C">
        <w:t>12.</w:t>
      </w:r>
      <w:r w:rsidRPr="00C0637C">
        <w:tab/>
      </w:r>
      <w:bookmarkStart w:id="10" w:name="_Hlk228954086"/>
      <w:r w:rsidRPr="00C0637C">
        <w:t>megjegyzi, hogy a Stabilizációs és Társulási Bizottság a közelmúltban üdvözölte az „alapkérdések” témakör megnyitásához szükséges referenciaértékek elérése terén a közigazgatási reformra és a jogállamiságról szóló fejezetekre vonatkozó ütemtervek révén elért eredményeket; </w:t>
      </w:r>
      <w:bookmarkEnd w:id="10"/>
      <w:r w:rsidRPr="00C0637C">
        <w:t>ösztönzi Észak-Macedóniát, hogy az „alapkérdések” témakörről szóló tárgyalások megnyitásához szükséges kritériumokkal kapcsolatos valamennyi munkát az összes érdekelt féllel, köztük a civil társadalommal folytatott átlátható és érdemi konzultációs folyamat keretében készítse elő és zárja le;</w:t>
      </w:r>
    </w:p>
    <w:p w:rsidR="00E43AEC" w:rsidRPr="00C0637C" w:rsidP="00273FC2" w14:paraId="13A12A49" w14:textId="77777777">
      <w:pPr>
        <w:pStyle w:val="NormalHanging12a"/>
        <w:widowControl/>
        <w:rPr>
          <w:b/>
          <w:i/>
          <w:iCs/>
        </w:rPr>
      </w:pPr>
      <w:r w:rsidRPr="00C0637C">
        <w:rPr>
          <w:b/>
          <w:i/>
        </w:rPr>
        <w:t>A demokratikus intézmények működése</w:t>
      </w:r>
    </w:p>
    <w:p w:rsidR="00E43AEC" w:rsidRPr="00C0637C" w:rsidP="00273FC2" w14:paraId="28DFEA7E" w14:textId="77777777">
      <w:pPr>
        <w:pStyle w:val="NormalHanging12a"/>
        <w:widowControl/>
      </w:pPr>
      <w:r w:rsidRPr="00C0637C">
        <w:t>13.</w:t>
      </w:r>
      <w:r w:rsidRPr="00C0637C">
        <w:tab/>
        <w:t xml:space="preserve">megjegyzi, hogy bár Észak-Macedóniában a demokratikus intézmények kielégítően működnek, a továbbra is fennálló politikai polarizáció késlelteti a szükséges reformokat és kinevezéseket; sajnálatát fejezi ki amiatt, hogy nem próbálták meg elfogadni azokat az alkotmánymódosításokat, amelyek mellett az ország elkötelezte magát, és amelyek </w:t>
      </w:r>
      <w:r w:rsidRPr="00C0637C">
        <w:t>szükségesek az „alapkérdések” témakör megnyitásához; sürgeti az Észak-macedón Köztársaság nemzetgyűlésében képviselt valamennyi politikai pártot, hogy lépjenek túl a kampány heves retorikáján, és kétpárti módon működjenek együtt a szükséges reformokról szóló megállapodás elérése érdekében; felhívja az uniós intézményeket és a tagállamokat, hogy tegyenek több erőfeszítést e kérdés megoldásának megkönnyítése érdekében, többek között technikai segítségnyújtás és a párbeszéd elősegítése révén;</w:t>
      </w:r>
    </w:p>
    <w:p w:rsidR="00E43AEC" w:rsidRPr="00C0637C" w:rsidP="00273FC2" w14:paraId="3133B18D" w14:textId="77777777">
      <w:pPr>
        <w:pStyle w:val="NormalHanging12a"/>
        <w:widowControl/>
      </w:pPr>
      <w:r w:rsidRPr="00C0637C">
        <w:t>14.</w:t>
      </w:r>
      <w:r w:rsidRPr="00C0637C">
        <w:tab/>
        <w:t>hangsúlyozza, hogy tovább kell erősíteni a végrehajtó hatalom parlamenti felügyeletét, és megerősített ellenőrzési mechanizmusokat szorgalmaz, beleértve az ellenzéki pártok és a civil társadalmi szereplők nagyobb mértékű bevonását;</w:t>
      </w:r>
    </w:p>
    <w:p w:rsidR="00E43AEC" w:rsidRPr="00C0637C" w:rsidP="00273FC2" w14:paraId="272F3688" w14:textId="77777777">
      <w:pPr>
        <w:pStyle w:val="NormalHanging12a"/>
        <w:widowControl/>
        <w:rPr>
          <w:bCs/>
          <w:iCs/>
        </w:rPr>
      </w:pPr>
      <w:r w:rsidRPr="00C0637C">
        <w:t>15.</w:t>
      </w:r>
      <w:r w:rsidRPr="00C0637C">
        <w:tab/>
        <w:t>üdvözli, hogy a 2025 októberében és novemberében tartott helyhatósági választások általában véve versenyen alapultak, és hogy a választási adminisztráció bizonyos eljárási hiányosságok ellenére többnyire hatékonyan készítette elő a választásokat; megjegyzi, hogy még mindig esedékes egy átfogó választási reform; ismét kéri a Demokratikus Intézmények és Emberi Jogok Hivatala és a Velencei Bizottság által tett, függőben lévő ajánlások végrehajtását, valamennyi érintett érdekelt felet bevonva és átlátható módon; nagyobb átláthatóságot szorgalmaz továbbá a politikai pártok kiadásai és a politikai reklámok finanszírozása vonatkozásában, a hagyományos sajtóban és online egyaránt, és különösen a közösségi médiában; felhívja Észak-Macedóniát, hogy szüntesse meg azokat a szabályozási hiányosságokat, amelyek lehetővé teszik a választások rejtett befolyásolását, többek között az online politikai hirdetések szabályozása révén, beleértve a szponzorok kötelező azonosítását, a kiadások átláthatóságát és a célkiválasztási kritériumok érdemi közzétételét, valamint a harmadik fél általi finanszírozás és a kampányhoz kapcsolódó kiadási csatornák kezelését; méltányos állami finanszírozásra szólít fel, és kéri, hogy valamennyi politikai párt és független jelölt egyenlő hozzáféréssel rendelkezzen a médiához;</w:t>
      </w:r>
    </w:p>
    <w:p w:rsidR="00E43AEC" w:rsidRPr="00C0637C" w:rsidP="00273FC2" w14:paraId="594BBDBF" w14:textId="77777777">
      <w:pPr>
        <w:pStyle w:val="NormalHanging12a"/>
        <w:widowControl/>
        <w:rPr>
          <w:bCs/>
          <w:iCs/>
        </w:rPr>
      </w:pPr>
      <w:r w:rsidRPr="00C0637C">
        <w:t>16.</w:t>
      </w:r>
      <w:r w:rsidRPr="00C0637C">
        <w:tab/>
        <w:t>felszólít a nők valódi és érdemi politikai szerepvállalásának növelésére helyi, regionális és nemzeti szinten a választási folyamatban és a politikai döntéshozatalban való részvételük fokozása érdekében; javasolja továbbá nemi kvóták bevezetését ott, ahol még nem léteznek, a nemzeti nemi esélyegyenlőségi stratégiában meghatározott, a nemek közötti egyensúlyra vonatkozó kötelezettségvállalásnak való megfelelés biztosítása érdekében;</w:t>
      </w:r>
    </w:p>
    <w:p w:rsidR="00E43AEC" w:rsidRPr="00C0637C" w:rsidP="00273FC2" w14:paraId="49BB2705" w14:textId="77777777">
      <w:pPr>
        <w:pStyle w:val="NormalHanging12a"/>
        <w:widowControl/>
      </w:pPr>
      <w:r w:rsidRPr="00C0637C">
        <w:t>17.</w:t>
      </w:r>
      <w:r w:rsidRPr="00C0637C">
        <w:tab/>
        <w:t>elismeri, hogy történt némi előrelépés a közigazgatási reform és a digitális átalakulás terén, és javult az állami szektor átláthatósága és hatékonysága, többek között az elektronikus azonosításról szóló, az uniós rendeletekkel összhangban nemrégiben elfogadott jogszabály révén; megjegyzi azonban, hogy további erőfeszítésekre van szükség, beleértve a helyi önkormányzatok reformját és a 2023–2030-as közigazgatási stratégia erőteljesebb végrehajtását, amely lehetővé tenné a helyi közigazgatások számára, hogy jobb szolgáltatásokat nyújtsanak a polgároknak, helyi és regionális fejlesztési stratégiákat dolgozzanak ki és hajtsanak végre, valamint biztosítsák a szükséges közigazgatási kapacitás meglétét;</w:t>
      </w:r>
    </w:p>
    <w:p w:rsidR="00E43AEC" w:rsidRPr="00C0637C" w:rsidP="00273FC2" w14:paraId="2BD4D478" w14:textId="77777777">
      <w:pPr>
        <w:pStyle w:val="NormalHanging12a"/>
        <w:widowControl/>
        <w:rPr>
          <w:bCs/>
        </w:rPr>
      </w:pPr>
      <w:r w:rsidRPr="00C0637C">
        <w:t>18.</w:t>
      </w:r>
      <w:r w:rsidRPr="00C0637C">
        <w:tab/>
        <w:t>sürgeti a közigazgatás további depolitizálását, valamint az érdemeken alapuló munkaerő-felvételi és felsővezetői kiválasztási eljárások teljes körű végrehajtását az uniós normákkal összhangban;</w:t>
      </w:r>
    </w:p>
    <w:p w:rsidR="00E43AEC" w:rsidRPr="00C0637C" w:rsidP="00273FC2" w14:paraId="1EE7B76B" w14:textId="77777777">
      <w:pPr>
        <w:pStyle w:val="NormalHanging12a"/>
        <w:widowControl/>
        <w:rPr>
          <w:bCs/>
        </w:rPr>
      </w:pPr>
      <w:r w:rsidRPr="00C0637C">
        <w:t>19.</w:t>
      </w:r>
      <w:r w:rsidRPr="00C0637C">
        <w:tab/>
        <w:t xml:space="preserve">üdvözli az új ombudsman közelmúltbeli kinevezését; pozitívan értékeli a közhivatalok kinevezésével kapcsolatos nyilvános meghallgatások formáját, amelyek növelik az </w:t>
      </w:r>
      <w:r w:rsidRPr="00C0637C">
        <w:t>átláthatóságot és a nyilvánosság általi ellenőrzést; aggodalmát fejezi ki azonban a megkülönböztetés megelőzésével és a hátrányos megkülönböztetéssel szembeni védelemmel foglalkozó bizottság tagjainak kinevezési eljárása során a politikai favoritizmusra utaló jelek miatt; hangsúlyozza, hogy az egyenlőséggel foglalkozó szerveknek függetlenül és politikai befolyástól mentesen kell működniük;</w:t>
      </w:r>
    </w:p>
    <w:p w:rsidR="00E43AEC" w:rsidRPr="00C0637C" w:rsidP="00273FC2" w14:paraId="3A7443B6" w14:textId="77777777">
      <w:pPr>
        <w:pStyle w:val="NormalHanging12a"/>
        <w:widowControl/>
        <w:rPr>
          <w:b/>
        </w:rPr>
      </w:pPr>
      <w:r w:rsidRPr="00C0637C">
        <w:rPr>
          <w:b/>
          <w:i/>
        </w:rPr>
        <w:t>Média és civil társadalom</w:t>
      </w:r>
    </w:p>
    <w:p w:rsidR="00E43AEC" w:rsidRPr="00C0637C" w:rsidP="00273FC2" w14:paraId="19566DAB" w14:textId="77777777">
      <w:pPr>
        <w:pStyle w:val="NormalHanging12a"/>
        <w:widowControl/>
        <w:rPr>
          <w:bCs/>
          <w:iCs/>
        </w:rPr>
      </w:pPr>
      <w:r w:rsidRPr="00C0637C">
        <w:t>20.</w:t>
      </w:r>
      <w:r w:rsidRPr="00C0637C">
        <w:tab/>
        <w:t>üdvözli, hogy Észak-Macedónia megfelelő jogi garanciákat nyújt a véleménynyilvánítás szabadságára vonatkozóan; megjegyzi azonban, hogy további előrelépésre van szükség a szabad és független médiát valóban támogató környezet megteremtése érdekében; felhívja a médiát, hogy tanúsítson önmérsékletet az olyan retorika közzététele során, amely alááshatja az etnikai csoportok és közösségek közötti kapcsolatokat; hangsúlyozza, hogy a közösségimédia-platformoknak meg kell erősíteniük a tartalommoderálást, különösen az etnikai gyűlöletbeszéddel kapcsolatban; ösztönzi továbbá a helyi és regionális magánmédia fejlesztését;</w:t>
      </w:r>
    </w:p>
    <w:p w:rsidR="00E43AEC" w:rsidRPr="00C0637C" w:rsidP="00273FC2" w14:paraId="23B9F6B7" w14:textId="77777777">
      <w:pPr>
        <w:pStyle w:val="NormalHanging12a"/>
        <w:widowControl/>
        <w:rPr>
          <w:bCs/>
          <w:iCs/>
        </w:rPr>
      </w:pPr>
      <w:r w:rsidRPr="00C0637C">
        <w:t>21.</w:t>
      </w:r>
      <w:r w:rsidRPr="00C0637C">
        <w:tab/>
        <w:t>megjegyzi, hogy az újságírók védelmére vonatkozó jogi rendelkezések hatékony végrehajtása továbbra is kihívást jelent, különösen a női újságírókat célzó online zaklatás és nemi alapú erőszak eseteiben; aggodalmát fejezi ki amiatt, hogy a közéleti részvételt akadályozó stratégiai perek elleni konkrét jogszabályok hiánya, valamint a bírák, ügyvédek és újságírók e kérdéssel kapcsolatos korlátozott tudatossága továbbra is akadályozza az újságírók és a nyilvános kritikusok közéleti részvételt akadályozó stratégiai perekkel szembeni hatékony védelmét; hangsúlyozza, hogy a közéleti részvételt akadályozó stratégiai perek elleni irányelvvel</w:t>
      </w:r>
      <w:r>
        <w:rPr>
          <w:rStyle w:val="FootnoteReference"/>
          <w:bCs/>
          <w:iCs/>
        </w:rPr>
        <w:footnoteReference w:id="8"/>
      </w:r>
      <w:r w:rsidRPr="00C0637C">
        <w:t xml:space="preserve"> összehangolt nemzeti jogszabályokat kell elfogadni; aggodalmát fejezi ki a médiában dolgozók társadalmi-gazdasági bizonytalansága miatt, különös tekintettel a médiában dolgozó nőkre; felhívja a bűnüldöző szerveket és az igazságügyi tisztviselőket, hogy biztosítsák az újságírók elleni támadások, fenyegetések, zaklatás és nyomásgyakorlás hatékony kivizsgálását és szankcionálását, különös tekintettel a női újságírókra; sürgeti az illetékes hatóságokat, hogy proaktívan előzzék meg és szisztematikusan vonják büntetőeljárás alá a gyűlöletbeszéd, a gyűlölet-bűncselekmények és a megfélemlítés valamennyi esetét, alaposan vizsgálják ki a kapcsolódó támadásokat, és biztosítsák célpontjaik, például az újságírók, a kisebbségekhez tartozó személyek, a közösségek és más kiszolgáltatott csoportok biztonságát és védelmét;</w:t>
      </w:r>
    </w:p>
    <w:p w:rsidR="00E43AEC" w:rsidRPr="00C0637C" w:rsidP="00273FC2" w14:paraId="303A89CC" w14:textId="77777777">
      <w:pPr>
        <w:pStyle w:val="NormalHanging12a"/>
        <w:widowControl/>
        <w:rPr>
          <w:bCs/>
          <w:iCs/>
        </w:rPr>
      </w:pPr>
      <w:r w:rsidRPr="00C0637C">
        <w:t>22.</w:t>
      </w:r>
      <w:r w:rsidRPr="00C0637C">
        <w:tab/>
        <w:t xml:space="preserve">aggodalommal állapítja meg a médiatulajdonlás fokozódó koncentrálódását és a közvetítőkön keresztüli rejtett ellenőrzés kockázatát; erősebb biztosítékokat kér a szerkesztői függetlenség, az átlátható állami hirdetési gyakorlatok és az újságírók védelme tekintetében; hangsúlyozza, hogy sürgősen hatékony médiareformra és hatékony összefonódás-ellenes intézkedések elfogadására van szükség, beleértve a média tulajdonviszonyainak és az állami hirdetésekre szánt közpénzek elosztásának teljes átláthatóságát, valamint a versenyre, az állami támogatásokra és szellemitulajdon-jogokra vonatkozó szabályoknak való megfelelést; hangsúlyozza, hogy a médiapluralizmus elengedhetetlen a demokratikus reziliencia szempontjából; </w:t>
      </w:r>
      <w:r w:rsidRPr="00C0637C">
        <w:t>hangsúlyozza, hogy meg kell erősíteni a médiaszabályozó, a közszolgálati műsorszolgáltató és az elektronikus hírközlési szabályozó függetlenségét és kapacitását;</w:t>
      </w:r>
    </w:p>
    <w:p w:rsidR="00E43AEC" w:rsidRPr="00C0637C" w:rsidP="00273FC2" w14:paraId="50C51D3E" w14:textId="77777777">
      <w:pPr>
        <w:pStyle w:val="NormalHanging12a"/>
        <w:widowControl/>
        <w:rPr>
          <w:bCs/>
          <w:iCs/>
        </w:rPr>
      </w:pPr>
      <w:r w:rsidRPr="00C0637C">
        <w:t>23.</w:t>
      </w:r>
      <w:r w:rsidRPr="00C0637C">
        <w:tab/>
        <w:t>aggodalmát fejezi ki amiatt, hogy a magyar médiavezetők stratégiailag kulcsfontosságú televízióállomásokat és hírportálokat szereznek meg, lehetővé téve, hogy az Európa-ellenes narratívák áthassák a közbeszédet Észak-Macedóniában;</w:t>
      </w:r>
    </w:p>
    <w:p w:rsidR="00E43AEC" w:rsidRPr="00C0637C" w:rsidP="00273FC2" w14:paraId="34FFADF6" w14:textId="77777777">
      <w:pPr>
        <w:pStyle w:val="NormalHanging12a"/>
        <w:widowControl/>
        <w:rPr>
          <w:bCs/>
          <w:iCs/>
        </w:rPr>
      </w:pPr>
      <w:r w:rsidRPr="00C0637C">
        <w:t>24.</w:t>
      </w:r>
      <w:r w:rsidRPr="00C0637C">
        <w:tab/>
        <w:t>komoly aggodalmát fejez ki a nyilvános vita torzítására, valamint a demokratikus intézményekbe és az ország európai útjába vetett bizalom aláásására irányuló folyamatos kísérletek miatt az információs környezet összehangolt manipulálása révén, beleértve a rejtett befolyásolási műveleteket és a rosszindulatú narratívákat is; felhívja az EU-t és a tagállamokat, hogy tegyenek további erőfeszítéseket Észak-Macedónia támogatására a rosszindulatú külföldi beavatkozás elleni küzdelemben, többek között technikai segítségnyújtás révén; hangsúlyozza, hogy a rosszindulatú külföldi beavatkozás gyengíti az intézményi hitelességet és polarizálja a társadalmat; felhívja a hatóságokat, hogy hozzanak létre a demokratikus reziliencia átfogó és intézményesített keretét, egyértelműen meghatározott felelősségi körökkel, rendszeres kockázatértékeléssel és nyilvános jelentéstétellel, összhangban a demokratikus folyamatok védelmére vonatkozó, folyamatosan változó uniós normákkal; felszólít továbbá a média- és digitális jártasság javítására, a tényellenőrzés előmozdítására, a gyűlöletbeszéd valamennyi formája elleni küzdelemre, valamint a demokratikus értékeket és az ország uniós tagságra irányuló célját megkérdőjelező hibrid fenyegetésekkel szembeni reziliencia megerősítésére;</w:t>
      </w:r>
    </w:p>
    <w:p w:rsidR="00E43AEC" w:rsidRPr="00C0637C" w:rsidP="00273FC2" w14:paraId="4FC1996C" w14:textId="77777777">
      <w:pPr>
        <w:pStyle w:val="NormalHanging12a"/>
        <w:widowControl/>
        <w:rPr>
          <w:bCs/>
          <w:iCs/>
        </w:rPr>
      </w:pPr>
      <w:r w:rsidRPr="00C0637C">
        <w:t>25.</w:t>
      </w:r>
      <w:r w:rsidRPr="00C0637C">
        <w:tab/>
        <w:t>megjegyzi, hogy az elmúlt években az uniós csatlakozási kilátások hiánya teret adott az önkényuralmi szereplők fokozott szerepvállalásának az országban; a széles körű társadalmi támogatás fenntartása és a dezinformáció elleni küzdelem érdekében ezért ösztönzi az EU-val kapcsolatos reformokról és a csatlakozási folyamatról szóló átlátható és tényeken alapuló nyilvános kommunikációt; e tekintetben sürgeti a Bizottságot, hogy hatékonyabban kommunikáljon a macedón nyilvánossággal a valamennyi macedónt érintő kérdéseket kezelő reformok előmozdítására irányuló politikai akarat tartós hiányáról;</w:t>
      </w:r>
    </w:p>
    <w:p w:rsidR="00E43AEC" w:rsidRPr="00C0637C" w:rsidP="00273FC2" w14:paraId="5127A305" w14:textId="77777777">
      <w:pPr>
        <w:pStyle w:val="NormalHanging12a"/>
        <w:widowControl/>
        <w:rPr>
          <w:b/>
          <w:i/>
        </w:rPr>
      </w:pPr>
      <w:r w:rsidRPr="00C0637C">
        <w:t>26.</w:t>
      </w:r>
      <w:r w:rsidRPr="00C0637C">
        <w:tab/>
        <w:t>üdvözli a civil társadalmi szervezetek számára általában kedvező környezetet, ugyanakkor hangsúlyozza, hogy a civil társadalmat jobban be kell vonni a kiemelt területekbe és a nyilvános konzultációkba; tudomásul veszi a kormány és a civil társadalom közötti együttműködési tanács újraindítását; átlátható közfinanszírozást szorgalmaz a civil társadalmi szervezetek számára, valamint a jogszabályok javítását és a nemzetközi normákkal, köztük a Velencei Bizottság ajánlásaival és a Rasszizmus és Intolerancia Elleni Európai Bizottság ajánlásával való összehangolását; hangsúlyozza a civil társadalmi szervezetekkel folytatott inkluzív konzultációk és átláthatóság biztosításának fontosságát; felhívja a Bizottságot, hogy támogassa azokat a civil társadalmi szervezeteket, amelyek alaposan nyomon követik és szükség esetén bírálják az EU-val kapcsolatos reformok végrehajtását;</w:t>
      </w:r>
    </w:p>
    <w:p w:rsidR="00E43AEC" w:rsidRPr="00C0637C" w:rsidP="00273FC2" w14:paraId="78A5C809" w14:textId="77777777">
      <w:pPr>
        <w:pStyle w:val="NormalHanging12a"/>
        <w:widowControl/>
        <w:rPr>
          <w:b/>
          <w:i/>
          <w:iCs/>
        </w:rPr>
      </w:pPr>
      <w:r w:rsidRPr="00C0637C">
        <w:rPr>
          <w:b/>
          <w:i/>
        </w:rPr>
        <w:t>Alapvető jogok</w:t>
      </w:r>
    </w:p>
    <w:p w:rsidR="00E43AEC" w:rsidRPr="00C0637C" w:rsidP="00273FC2" w14:paraId="0AF7FD94" w14:textId="77777777">
      <w:pPr>
        <w:pStyle w:val="NormalHanging12a"/>
        <w:widowControl/>
        <w:rPr>
          <w:bCs/>
          <w:iCs/>
        </w:rPr>
      </w:pPr>
      <w:r w:rsidRPr="00C0637C">
        <w:t>27.</w:t>
      </w:r>
      <w:r w:rsidRPr="00C0637C">
        <w:tab/>
        <w:t xml:space="preserve">hangsúlyozza, hogy az Európa Tanács valamennyi tagállama köteles haladéktalanul végrehajtani az Emberi Jogok Európai Bíróságának függőben lévő ítéleteit; kiemeli, hogy minden jogszabályi változtatásnak meg kell felelnie a nemzetközi normáknak és a Velencei Bizottság ajánlásainak, valamint összhangban kell lennie a Rasszizmus és </w:t>
      </w:r>
      <w:r w:rsidRPr="00C0637C">
        <w:t>Intolerancia Elleni Európai Bizottság (ECRI) ajánlásával, beleértve az egyesületekről és alapítványokról szóló törvényt, valamint az egyesületek bejegyzésére vonatkozó bírósági ítéletek végrehajtását;</w:t>
      </w:r>
    </w:p>
    <w:p w:rsidR="00E43AEC" w:rsidRPr="00C0637C" w:rsidP="00273FC2" w14:paraId="66C7D76D" w14:textId="77777777">
      <w:pPr>
        <w:pStyle w:val="NormalHanging12a"/>
        <w:widowControl/>
        <w:rPr>
          <w:bCs/>
          <w:iCs/>
        </w:rPr>
      </w:pPr>
      <w:r w:rsidRPr="00C0637C">
        <w:t>28.</w:t>
      </w:r>
      <w:r w:rsidRPr="00C0637C">
        <w:tab/>
        <w:t>megjegyzi, hogy az alapvető jogok általános jogi kerete nagyjából megfelel az európai normáknak; felhívja azonban Észak-Macedónia kormányát, hogy erősítse meg a gyakorlati végrehajtást, javítva a nemek közötti egyenlőségre vonatkozó intézményi keretet, hatékony mechanizmust biztosítva a nemi alapú és a kapcsolati erőszak elleni védelemhez, hozzáférést kínálva az egészségügyi szolgáltatásokhoz, és megfelelő forrásokat elkülönítve az áldozattámogató szolgáltatások számára;  felszólít a nemek közötti egyenlőségről szóló törvény, a munkaügyi kapcsolatokról szóló törvény és a munkahelyi zaklatás megelőzéséről és az azzal szembeni védelemről szóló törvény végleges elfogadására, összhangban a nemzetközi normákkal és az uniós vívmányokkal, a nők életminőségének javítása érdekében, a nemek közötti egyenlőséggel kapcsolatos kulcsfontosságú kérdések kezelése révén, különös tekintettel a politikai, gazdasági és társadalmi élethez való hozzáférésre;</w:t>
      </w:r>
    </w:p>
    <w:p w:rsidR="00E43AEC" w:rsidRPr="00C0637C" w:rsidP="00273FC2" w14:paraId="1BA06770" w14:textId="77777777">
      <w:pPr>
        <w:pStyle w:val="NormalHanging12a"/>
        <w:widowControl/>
        <w:rPr>
          <w:bCs/>
          <w:iCs/>
        </w:rPr>
      </w:pPr>
      <w:r w:rsidRPr="00C0637C">
        <w:t>29.</w:t>
      </w:r>
      <w:bookmarkStart w:id="11" w:name="_Hlk228277705"/>
      <w:r w:rsidRPr="00C0637C">
        <w:tab/>
        <w:t>üdvözli a büntető törvénykönyv 2023. évi módosításait, amelyek összehangolják a nemzeti jogszabályokat az isztambuli egyezménnyel</w:t>
      </w:r>
      <w:bookmarkEnd w:id="11"/>
      <w:r w:rsidRPr="00C0637C">
        <w:t>; tudomásul veszi különösen a szexuális kényszerítés beleegyezésen alapuló fogalommeghatározására való áttérést és a nemi alapú erőszak kifejezett elismerését; üdvözli továbbá a családon belüli és a nemi alapú erőszak büntetőeljárás alá vonását megerősítő és az intim képek beleegyezés nélküli terjesztését bűncselekménnyé nyilvánító 2026. évi módosításokat; úgy véli, hogy ezek a reformok az európai normákhoz való érdemi igazodást jelentik;</w:t>
      </w:r>
    </w:p>
    <w:p w:rsidR="00E43AEC" w:rsidRPr="00C0637C" w:rsidP="00273FC2" w14:paraId="73ACEA4F" w14:textId="77777777">
      <w:pPr>
        <w:pStyle w:val="NormalHanging12a"/>
        <w:widowControl/>
        <w:rPr>
          <w:bCs/>
          <w:iCs/>
        </w:rPr>
      </w:pPr>
      <w:r w:rsidRPr="00C0637C">
        <w:t>30.</w:t>
      </w:r>
      <w:r w:rsidRPr="00C0637C">
        <w:tab/>
        <w:t>hangsúlyozza, hogy folytatni kell a munkát a nem többségi közösségek helyzetének javítása érdekében, többek között a nyelvhasználat tekintetében, valamint a megkülönböztetés elleni küzdelem és a sokszínűség előmozdítása érdekében; üdvözli a kisebbségekhez vagy közösségekhez tartozó személyek jogainak védelmére vonatkozó cselekvési terv terén elért eredményeket, és arra ösztönzi Észak-Macedóniát, hogy inkluzív módon véglegesítse azt, egyértelmű referenciaértékeket, mérhető mutatókat és célzott nyomonkövetési mechanizmust határozva meg azzal a céllal, hogy hatékony védelmet biztosítson a megkülönböztetéssel szemben, és javítsa Észak-Macedónia valamennyi polgárának alapvető jogait; sürgeti az érintett politikai érdekelt feleket, hogy tartózkodjanak a polarizáló és eszkaláló nyelvezet használatától, amely hatással lehet a közösségek és kisebbségek kapcsolataira;</w:t>
      </w:r>
      <w:bookmarkStart w:id="12" w:name="_Hlk224741163"/>
    </w:p>
    <w:p w:rsidR="00E43AEC" w:rsidRPr="00C0637C" w:rsidP="00273FC2" w14:paraId="4BA5C27F" w14:textId="77777777">
      <w:pPr>
        <w:pStyle w:val="NormalHanging12a"/>
        <w:widowControl/>
        <w:rPr>
          <w:bCs/>
          <w:iCs/>
        </w:rPr>
      </w:pPr>
      <w:r w:rsidRPr="00C0637C">
        <w:t>31.</w:t>
      </w:r>
      <w:r w:rsidRPr="00C0637C">
        <w:tab/>
        <w:t>hangsúlyozza, hogy Észak-Macedónia etnikai és kulturális sokszínűsége felbecsülhetetlen értéket képvisel, és azt erőforrássá kell tenni a demokratikus és inkluzív kormányzás további megszilárdítása és Észak-Macedónia uniós csatlakozás felé vezető útjának felgyorsítása érdekében; ösztönzi Észak-Macedóniát, hogy alkotmányába foglalja bele valamennyi etnikai közösségét, mozdítsa elő az inkluzivitást, védje a sokszínűséget, küzdjön a megkülönböztetés ellen, erősítse meg a társadalmi kohéziót az európai értékekkel és demokratikus elvekkel összhangban, és teljes mértékben garantáljon egyenlő jogokat és lehetőségeket mindenki számára;</w:t>
      </w:r>
    </w:p>
    <w:bookmarkEnd w:id="12"/>
    <w:p w:rsidR="00E43AEC" w:rsidRPr="00C0637C" w:rsidP="00273FC2" w14:paraId="31236E42" w14:textId="77777777">
      <w:pPr>
        <w:pStyle w:val="NormalHanging12a"/>
        <w:widowControl/>
        <w:rPr>
          <w:bCs/>
          <w:iCs/>
        </w:rPr>
      </w:pPr>
      <w:r w:rsidRPr="00C0637C">
        <w:t>32.</w:t>
      </w:r>
      <w:r w:rsidRPr="00C0637C">
        <w:tab/>
        <w:t xml:space="preserve">fokozott erőfeszítésekre szólít fel a romák tartós társadalmi-gazdasági kirekesztésének kezelése érdekében; sürgeti a hatóságokat, hogy mérhető mutatókkal és megfelelő intézményi ellenőrzéssel és költségvetési előirányzatokkal biztosítsák a romaintegrációs stratégia hatékony végrehajtását; aggodalmát fejezi ki amiatt, hogy egyes településeken </w:t>
      </w:r>
      <w:r w:rsidRPr="00C0637C">
        <w:t>továbbra is iskolai szegregációt alkalmaznak, és proaktív intézkedésekre szólít fel a szegregáció felszámolása érdekében;</w:t>
      </w:r>
    </w:p>
    <w:p w:rsidR="00E43AEC" w:rsidRPr="00C0637C" w:rsidP="00273FC2" w14:paraId="3749B7F0" w14:textId="77777777">
      <w:pPr>
        <w:pStyle w:val="NormalHanging12a"/>
        <w:widowControl/>
        <w:rPr>
          <w:bCs/>
          <w:iCs/>
        </w:rPr>
      </w:pPr>
      <w:r w:rsidRPr="00C0637C">
        <w:t>33.</w:t>
      </w:r>
      <w:r w:rsidRPr="00C0637C">
        <w:tab/>
        <w:t>aggodalommal állapítja meg, hogy alig történt előrelépés azon akadályok csökkentése terén, amelyekkel a fogyatékossággal élő személyek az élet legtöbb területén szembesülnek; nagyobb erőfeszítéseket szorgalmaz a fogyatékossággal élő személyek jogaira vonatkozó jogi és intézményi keret kiteljesítése, valamint a végrehajtás és az érvényesítés javítása érdekében; megjegyzi, hogy az erőforrások hiánya miatt továbbra is strukturális kihívások állnak fenn Észak-Macedónia megkülönböztetés megelőzésével és az azzal szembeni védelemmel foglalkozó bizottságának munkájában;</w:t>
      </w:r>
    </w:p>
    <w:p w:rsidR="00E43AEC" w:rsidRPr="00C0637C" w:rsidP="00273FC2" w14:paraId="2222437D" w14:textId="77777777">
      <w:pPr>
        <w:pStyle w:val="NormalHanging12a"/>
        <w:widowControl/>
        <w:rPr>
          <w:bCs/>
          <w:iCs/>
        </w:rPr>
      </w:pPr>
      <w:r w:rsidRPr="00C0637C">
        <w:t>34.</w:t>
      </w:r>
      <w:r w:rsidRPr="00C0637C">
        <w:tab/>
        <w:t>felszólít az LMBTIQ+-személyek jogai védelmének javítására és a közösség elleni, többek között online gyűlöletbeszéd kezelésére; mély aggodalmát fejezi ki az LMBTIQ+-személyek és a civil társadalmi szervezetek elleni gyűlölet fokozódása miatt Észak-Macedóniában;</w:t>
      </w:r>
    </w:p>
    <w:p w:rsidR="00E43AEC" w:rsidRPr="00C0637C" w:rsidP="00273FC2" w14:paraId="1783C8F6" w14:textId="77777777">
      <w:pPr>
        <w:pStyle w:val="NormalHanging12a"/>
        <w:widowControl/>
        <w:rPr>
          <w:bCs/>
          <w:iCs/>
        </w:rPr>
      </w:pPr>
      <w:r w:rsidRPr="00C0637C">
        <w:t>35.</w:t>
      </w:r>
      <w:r w:rsidRPr="00C0637C">
        <w:tab/>
        <w:t>sürgeti az összes politikai szereplőt, hogy módosítsák az anyakönyvi nyilvántartásról szóló törvényt, biztosítsák a nemek hozzáférhető és akadálytalan jogi elismerését, és hozzanak létre egy átlátható jogi eljárást, összhangban a nemzetközi normákkal és az Emberi Jogok Európai Bíróságának vonatkozó 2019. évi ítéletével;</w:t>
      </w:r>
    </w:p>
    <w:p w:rsidR="00E43AEC" w:rsidRPr="00C0637C" w:rsidP="00273FC2" w14:paraId="35C141D6" w14:textId="77777777">
      <w:pPr>
        <w:pStyle w:val="NormalHanging12a"/>
        <w:widowControl/>
        <w:rPr>
          <w:bCs/>
          <w:iCs/>
        </w:rPr>
      </w:pPr>
      <w:r w:rsidRPr="00C0637C">
        <w:t>36.</w:t>
      </w:r>
      <w:r w:rsidRPr="00C0637C">
        <w:tab/>
        <w:t>sürgeti a hatóságokat, hogy állítsák vissza a megkülönböztetés elleni kulcsfontosságú terminológiát az alapfokú oktatásról szóló törvényben, és felszólít az iskolai erőszak kötelező bejelentésére vonatkozó rendelkezések újbóli bevezetésére a kiszolgáltatott csoportok védelme érdekében;</w:t>
      </w:r>
    </w:p>
    <w:p w:rsidR="00E43AEC" w:rsidRPr="00C0637C" w:rsidP="00273FC2" w14:paraId="5207789F" w14:textId="77777777">
      <w:pPr>
        <w:pStyle w:val="NormalHanging12a"/>
        <w:widowControl/>
        <w:rPr>
          <w:bCs/>
          <w:iCs/>
        </w:rPr>
      </w:pPr>
      <w:r w:rsidRPr="00C0637C">
        <w:t>37.</w:t>
      </w:r>
      <w:r w:rsidRPr="00C0637C">
        <w:tab/>
        <w:t>aggodalommal veszi tudomásul az észak-macedóniai börtönökben uralkodó életkörülményeket, amelyekkel sürgősen foglalkozni kell;</w:t>
      </w:r>
    </w:p>
    <w:p w:rsidR="00E43AEC" w:rsidP="00273FC2" w14:paraId="03AB495A" w14:textId="77777777">
      <w:pPr>
        <w:pStyle w:val="NormalHanging12a"/>
        <w:widowControl/>
      </w:pPr>
      <w:r w:rsidRPr="00C0637C">
        <w:t>38.</w:t>
      </w:r>
      <w:r w:rsidRPr="00C0637C">
        <w:tab/>
        <w:t>üdvözli a határigazgatás terén folytatott megerősített együttműködést, és felszólítja Észak-Macedóniát, hogy az emberi jogok és a nemzetközi jog teljes körű tiszteletben tartása mellett erősítse meg a migrációkezelést, lépjen fel a migránscsempészek, az emberkereskedők és a szervezett bűnözés egyéb típusainak bűnözői hálózatai ellen, javítsa az uniós vívmányokkal való összhangot, és kezelje a jogszerű és az irreguláris migráció kezelése terén tartósan fennálló kihívásokat; hangsúlyozza, hogy meg kell előzni az Észak-Macedónia határain történő jogellenes visszafordításokat;</w:t>
      </w:r>
    </w:p>
    <w:p w:rsidR="00423FBA" w:rsidRPr="00C0637C" w:rsidP="00273FC2" w14:paraId="032551B2" w14:textId="1764CEBF">
      <w:pPr>
        <w:pStyle w:val="NormalHanging12a"/>
        <w:widowControl/>
        <w:rPr>
          <w:bCs/>
          <w:iCs/>
        </w:rPr>
      </w:pPr>
      <w:r>
        <w:rPr>
          <w:bCs/>
          <w:iCs/>
        </w:rPr>
        <w:t>39</w:t>
      </w:r>
      <w:r w:rsidRPr="00423FBA">
        <w:rPr>
          <w:bCs/>
          <w:iCs/>
        </w:rPr>
        <w:t>.</w:t>
      </w:r>
      <w:r w:rsidRPr="00423FBA">
        <w:rPr>
          <w:bCs/>
          <w:iCs/>
        </w:rPr>
        <w:tab/>
        <w:t>elismerését fejezi ki Észak-Macedónia kormányának a szkopjei zsidó közösség egy épületét célzó, 2026. április 12-i antiszemita gyújtogatásra adott gyors válaszáért;</w:t>
      </w:r>
    </w:p>
    <w:p w:rsidR="00E43AEC" w:rsidRPr="00C0637C" w:rsidP="00273FC2" w14:paraId="5D29B026" w14:textId="77777777">
      <w:pPr>
        <w:pStyle w:val="NormalHanging12a"/>
        <w:widowControl/>
        <w:rPr>
          <w:b/>
          <w:i/>
          <w:iCs/>
        </w:rPr>
      </w:pPr>
      <w:r w:rsidRPr="00C0637C">
        <w:rPr>
          <w:b/>
          <w:i/>
        </w:rPr>
        <w:t>Jogállamiság</w:t>
      </w:r>
    </w:p>
    <w:p w:rsidR="00E43AEC" w:rsidRPr="00C0637C" w:rsidP="00273FC2" w14:paraId="23579353" w14:textId="115C25F2">
      <w:pPr>
        <w:pStyle w:val="NormalHanging12a"/>
        <w:widowControl/>
        <w:rPr>
          <w:bCs/>
          <w:iCs/>
        </w:rPr>
      </w:pPr>
      <w:r>
        <w:t>40</w:t>
      </w:r>
      <w:r w:rsidRPr="00C0637C">
        <w:t>.</w:t>
      </w:r>
      <w:r w:rsidRPr="00C0637C">
        <w:tab/>
        <w:t>aggodalmát fejezi ki amiatt, hogy az igazságszolgáltatási rendszer, a bíróságok és az ügyészség függetlensége, valamint a jogállamiság és a korrupcióellenes keretek megerősítésére irányuló erőfeszítések nem haladtak kellő mértékben előre; felhívja a politikai érdekelt feleket, hogy sürgősen tartózkodjanak az igazságszolgáltatásba való politikai beavatkozástól; aggodalommal veszi tudomásul az igazságszolgáltatás működésében tapasztalható mély strukturális hiányosságokat és negatív tendenciákat, többek között az igazságügyi intézmények nem megfelelő finanszírozása és elégtelen személyzete vonatkozásában, ami veszélyezteti a függetlenségét; felhívja ezért Észak-</w:t>
      </w:r>
      <w:r w:rsidRPr="00C0637C">
        <w:t>Macedóniát, hogy gyorsítsa fel a 2024–2028-as időszakra szóló igazságügyi reformstratégia végrehajtását;</w:t>
      </w:r>
    </w:p>
    <w:p w:rsidR="00E43AEC" w:rsidRPr="00C0637C" w:rsidP="00273FC2" w14:paraId="71BB91BE" w14:textId="17285D01">
      <w:pPr>
        <w:pStyle w:val="NormalHanging12a"/>
        <w:widowControl/>
        <w:rPr>
          <w:bCs/>
          <w:iCs/>
        </w:rPr>
      </w:pPr>
      <w:r>
        <w:t>41</w:t>
      </w:r>
      <w:r w:rsidRPr="00C0637C">
        <w:t>.</w:t>
      </w:r>
      <w:r w:rsidRPr="00C0637C">
        <w:tab/>
        <w:t>hangsúlyozza az igazságszolgáltatás integritása és függetlensége megőrzésének fontosságát, többek között a Bírói Tanács megerősítése révén, összhangban a Velencei Bizottság 2023. évi szakértői értékelési missziójának ajánlásával és véleményével;</w:t>
      </w:r>
    </w:p>
    <w:p w:rsidR="00E43AEC" w:rsidRPr="00C0637C" w:rsidP="00273FC2" w14:paraId="43D327E0" w14:textId="0284A9A9">
      <w:pPr>
        <w:pStyle w:val="NormalHanging12a"/>
        <w:widowControl/>
        <w:rPr>
          <w:bCs/>
          <w:iCs/>
        </w:rPr>
      </w:pPr>
      <w:r>
        <w:t>42</w:t>
      </w:r>
      <w:r w:rsidRPr="00C0637C">
        <w:t>.</w:t>
      </w:r>
      <w:r w:rsidRPr="00C0637C">
        <w:tab/>
        <w:t>aggodalmát fejezi ki amiatt, hogy Észak-Macedóniában a büntető törvénykönyv módosításai, amelyek lerövidítették az elévülési időket és csökkentették a magas szinten elkövetett korrupcióra és a hivatali visszaélésre vonatkozó szankciókat, aláásták a folyamatban lévő bírósági eljárásokat, beleértve a nagy horderejű ügyeket is, ami a prominens politikai szereplők büntetlenségének látszatát keltette, és tovább gyengítette az igazságszolgáltatásba vetett közbizalmat;</w:t>
      </w:r>
    </w:p>
    <w:p w:rsidR="00E43AEC" w:rsidRPr="00C0637C" w:rsidP="00273FC2" w14:paraId="16AD8DFA" w14:textId="366D7802">
      <w:pPr>
        <w:pStyle w:val="NormalHanging12a"/>
        <w:widowControl/>
      </w:pPr>
      <w:r>
        <w:t>43</w:t>
      </w:r>
      <w:r w:rsidRPr="00C0637C">
        <w:t>.</w:t>
      </w:r>
      <w:r w:rsidRPr="00C0637C">
        <w:tab/>
        <w:t>felhívja az illetékes hatóságokat, hogy biztosítsák a többek között etnikai csoportokat és közösségeket érintő esetleges gyűlölet-bűncselekmények megfelelő nyomon követését;</w:t>
      </w:r>
    </w:p>
    <w:p w:rsidR="00E43AEC" w:rsidRPr="00C0637C" w:rsidP="00273FC2" w14:paraId="1B2C5BE1" w14:textId="20A1C6BD">
      <w:pPr>
        <w:pStyle w:val="NormalHanging12a"/>
        <w:widowControl/>
        <w:rPr>
          <w:bCs/>
          <w:iCs/>
        </w:rPr>
      </w:pPr>
      <w:r>
        <w:t>44</w:t>
      </w:r>
      <w:r w:rsidRPr="00C0637C">
        <w:t>.</w:t>
      </w:r>
      <w:r w:rsidRPr="00C0637C">
        <w:tab/>
        <w:t>aggodalommal állapítja meg, hogy nem történt előrelépés a korrupció megelőzése és az ellene folytatott küzdelem terén, és hogy a korrupció számos területen továbbra is elterjedt; hangsúlyozza, hogy továbbra is jelentős és megmagyarázhatatlan szakadék áll fenn a hivatalosan bejelentett korrupciós nyomozások és a magas szinten elkövetett korrupciós ügyekben a bűnösség bírósági megállapítása között; felhívja Észak-Macedónia kormányát, hogy javítsa a korrupció és az összeférhetetlenség megelőzésére irányuló nemzeti stratégia végrehajtását, és fogadjon el új büntető törvénykönyvet az uniós vívmányokkal és a nemzetközi normákkal összhangban; felszólít továbbá a visszaélést bejelentő személyek védelmének megerősítésére, mivel az továbbra is gyenge, ami eltántorítja az egyéneket attól, hogy bejelentsék a korrupciós eseteket; üdvözli azonban Észak-Macedónia aktív részvételét a vagyonnyilatkozatok ellenőrzése céljából történő adatcseréről szóló nemzetközi szerződésben, ami regionális referenciapontként pozicionálja az országot ebben a mechanizmusban;</w:t>
      </w:r>
    </w:p>
    <w:p w:rsidR="00E43AEC" w:rsidRPr="00C0637C" w:rsidP="00273FC2" w14:paraId="0FCD9916" w14:textId="7951FB40">
      <w:pPr>
        <w:pStyle w:val="NormalHanging12a"/>
        <w:widowControl/>
        <w:rPr>
          <w:bCs/>
          <w:iCs/>
        </w:rPr>
      </w:pPr>
      <w:r>
        <w:t>45</w:t>
      </w:r>
      <w:r w:rsidRPr="00C0637C">
        <w:t>.</w:t>
      </w:r>
      <w:r w:rsidRPr="00C0637C">
        <w:tab/>
        <w:t>sürgeti a 2026–2030-as időszakra vonatkozó átfogó korrupcióellenes stratégia időben történő elfogadását, amely egyértelmű felelősségi köröket és mérhető célokat tartalmaz, és felszólít a Korrupció Elleni Államok Csoportja (GRECO) fennmaradó ajánlásainak végrehajtására;</w:t>
      </w:r>
    </w:p>
    <w:p w:rsidR="00E43AEC" w:rsidRPr="00C0637C" w:rsidP="00273FC2" w14:paraId="5D76AC5E" w14:textId="5920C819">
      <w:pPr>
        <w:pStyle w:val="NormalHanging12a"/>
        <w:widowControl/>
      </w:pPr>
      <w:r>
        <w:t>46</w:t>
      </w:r>
      <w:r w:rsidRPr="00C0637C">
        <w:t>.</w:t>
      </w:r>
      <w:r w:rsidRPr="00C0637C">
        <w:tab/>
        <w:t>aggodalommal állapítja meg, hogy a bírósági eljárások késedelme és az erőforrások szűkössége továbbra is akadályozza a magas szinten elkövetett korrupciós ügyek terén elért szilárd eredmények felmutatását; felszólít különösen a magas szintű korrupciós ügyekben folytatott nyomozásokra és jogerős ítéletekre, amelyek példaként szolgálhatnak arra, hogy a korrupcióval minden szinten foglalkoznak, és hogy az nem marad büntetlenül;</w:t>
      </w:r>
    </w:p>
    <w:p w:rsidR="00E43AEC" w:rsidRPr="00C0637C" w:rsidP="00273FC2" w14:paraId="2CBF8803" w14:textId="59A95F0A">
      <w:pPr>
        <w:pStyle w:val="NormalHanging12a"/>
        <w:widowControl/>
        <w:rPr>
          <w:bCs/>
        </w:rPr>
      </w:pPr>
      <w:r>
        <w:t>47</w:t>
      </w:r>
      <w:r w:rsidRPr="00C0637C">
        <w:t>.</w:t>
      </w:r>
      <w:r w:rsidRPr="00C0637C">
        <w:tab/>
        <w:t>megállapítja, hogy az igazságszolgáltatásba vetett bizalom érzékelhető szintje továbbra is nagyon alacsony, és hogy további erőfeszítésekre van szükség az indokolatlan befolyás és megfélemlítés megelőzése érdekében;</w:t>
      </w:r>
    </w:p>
    <w:p w:rsidR="00E43AEC" w:rsidRPr="00C0637C" w:rsidP="00273FC2" w14:paraId="4AD1AA37" w14:textId="51AFFB6B">
      <w:pPr>
        <w:pStyle w:val="NormalHanging12a"/>
        <w:widowControl/>
        <w:rPr>
          <w:bCs/>
        </w:rPr>
      </w:pPr>
      <w:r>
        <w:t>48</w:t>
      </w:r>
      <w:r w:rsidRPr="00C0637C">
        <w:t>.</w:t>
      </w:r>
      <w:r w:rsidRPr="00C0637C">
        <w:tab/>
        <w:t>felszólítja Észak-Macedóniát, hogy fokozza a pénzmosás elleni küzdelemre irányuló erőfeszítéseit;</w:t>
      </w:r>
    </w:p>
    <w:p w:rsidR="00E43AEC" w:rsidRPr="00C0637C" w:rsidP="00273FC2" w14:paraId="687BD2A0" w14:textId="674D0A37">
      <w:pPr>
        <w:pStyle w:val="NormalHanging12a"/>
        <w:widowControl/>
        <w:rPr>
          <w:bCs/>
        </w:rPr>
      </w:pPr>
      <w:r>
        <w:t>49</w:t>
      </w:r>
      <w:r w:rsidRPr="00C0637C">
        <w:t>.</w:t>
      </w:r>
      <w:r w:rsidRPr="00C0637C">
        <w:tab/>
        <w:t>összehangoltabb erőfeszítésekre szólít fel a szervezett bűnözés elleni hatékony küzdelemben; felszólítja Észak-Macedónia kormányát, hogy hangolja össze a fegyverekre, kábítószerekre és pszichotróp anyagokra vonatkozó nemzeti jogszabályokat az uniós vívmányokkal;</w:t>
      </w:r>
    </w:p>
    <w:p w:rsidR="00E43AEC" w:rsidRPr="00C0637C" w:rsidP="00273FC2" w14:paraId="714C2B60" w14:textId="118DD1BA">
      <w:pPr>
        <w:pStyle w:val="NormalHanging12a"/>
        <w:widowControl/>
        <w:rPr>
          <w:bCs/>
        </w:rPr>
      </w:pPr>
      <w:r>
        <w:t>50</w:t>
      </w:r>
      <w:r w:rsidRPr="00C0637C">
        <w:t>.</w:t>
      </w:r>
      <w:r w:rsidRPr="00C0637C">
        <w:tab/>
        <w:t>ösztönzi a nemzeti hatóságokat, hogy hozzanak létre átfogó támogatási keretet a nemi alapú erőszak női túlélői számára, beleértve a jogilag garantált pénzügyi segítséget, az ingyenes jogi segítségnyújtás és a bírósági költségek alóli mentesség garantálását, a gyermekek fizetetlen támogatásának fedezésére szolgáló állami alap létrehozását, valamint a nők gazdasági szerepvállalásába történő beruházások növelését célzott képzések, szociális vállalkozások és helyi foglalkoztatási kezdeményezések révén;</w:t>
      </w:r>
    </w:p>
    <w:p w:rsidR="00E43AEC" w:rsidRPr="00C0637C" w:rsidP="00273FC2" w14:paraId="1228E742" w14:textId="77777777">
      <w:pPr>
        <w:pStyle w:val="NormalHanging12a"/>
        <w:widowControl/>
        <w:rPr>
          <w:b/>
          <w:i/>
          <w:iCs/>
        </w:rPr>
      </w:pPr>
      <w:r w:rsidRPr="00C0637C">
        <w:rPr>
          <w:b/>
          <w:i/>
        </w:rPr>
        <w:t>Társadalmi-gazdasági reformok</w:t>
      </w:r>
    </w:p>
    <w:p w:rsidR="00E43AEC" w:rsidRPr="00C0637C" w:rsidP="00273FC2" w14:paraId="463C7950" w14:textId="08B375B6">
      <w:pPr>
        <w:pStyle w:val="NormalHanging12a"/>
        <w:widowControl/>
        <w:rPr>
          <w:bCs/>
          <w:iCs/>
        </w:rPr>
      </w:pPr>
      <w:r>
        <w:t>51</w:t>
      </w:r>
      <w:r w:rsidRPr="00C0637C">
        <w:t>.</w:t>
      </w:r>
      <w:r w:rsidRPr="00C0637C">
        <w:tab/>
        <w:t>támogatja a gazdaság korszerűsítésére, a strukturális munkaerőhiány kezelésére, a digitális gazdaság megerősítésére és az üzleti környezet javítására irányuló folyamatos erőfeszítéseket, amelyek összhangban állnak az EU belső piaca által támasztott versenykényszerre való reagálással; hangsúlyozza, hogy a fenntartható gazdasági növekedés a jogállamiságtól, az igazságszolgáltatás kiszámíthatóságától és a korrupció elleni hatékony fellépéstől függ; felszólít a 2023. évi organikus költségvetési törvény végrehajtására, a költségvetési szabályok és a Költségvetési Tanács bevezetésére, valamint a középtávú költségvetési eljárás megerősítésére;</w:t>
      </w:r>
    </w:p>
    <w:p w:rsidR="00E43AEC" w:rsidRPr="00C0637C" w:rsidP="00273FC2" w14:paraId="1906BD98" w14:textId="67B76FE0">
      <w:pPr>
        <w:pStyle w:val="NormalHanging12a"/>
        <w:widowControl/>
        <w:rPr>
          <w:bCs/>
          <w:iCs/>
        </w:rPr>
      </w:pPr>
      <w:r>
        <w:t>52</w:t>
      </w:r>
      <w:r w:rsidRPr="00C0637C">
        <w:t>.</w:t>
      </w:r>
      <w:r w:rsidRPr="00C0637C">
        <w:tab/>
        <w:t>hangsúlyozza, hogy foglalkozni kell a társadalmi kihívásokkal, minőségi foglalkoztatáspolitikát kell biztosítani, elő kell mozdítani az uniós normákhoz való közeledést, és haladást kell elérni a szociális jogok európai pillére tekintetében;</w:t>
      </w:r>
    </w:p>
    <w:p w:rsidR="00E43AEC" w:rsidRPr="00C0637C" w:rsidP="00273FC2" w14:paraId="32A4274B" w14:textId="034BDD63">
      <w:pPr>
        <w:pStyle w:val="NormalHanging12a"/>
        <w:widowControl/>
      </w:pPr>
      <w:r>
        <w:t>53</w:t>
      </w:r>
      <w:r w:rsidRPr="00C0637C">
        <w:t>.</w:t>
      </w:r>
      <w:r w:rsidRPr="00C0637C">
        <w:tab/>
        <w:t>üdvözli a Nyugat-balkáni Reform- és Növekedéstámogató Eszköz keretében a reformprogram és a többéves munkaprogram végrehajtása terén tett első lépéseket, ami jó úton halad afelé, hogy konkrét előnyöket biztosítson a polgárok számára; ösztönzi Észak-Macedóniát, hogy folytassa reformprogramjának végrehajtását; hangsúlyozza, hogy jelentősen fel kell gyorsítani és végre kell hajtani a reformprogramot, különösen az „alapkérdések” témakörben; hangsúlyozza, hogy a források folyósításának továbbra is szigorúan az elfogadott reformcélkitűzések és mérföldkövek teljesítésétől kell függenie; üdvözli az átfogó kiberbiztonsági keret, valamint az elektronikus dokumentumokról, az elektronikus azonosításról és a bizalmi szolgáltatásokról szóló aktualizált törvény elfogadását; üdvözli, hogy a Bizottság objektív és tényeken alapuló módon értékelte a reformlépések eddigi végrehajtását;</w:t>
      </w:r>
      <w:r>
        <w:t xml:space="preserve"> </w:t>
      </w:r>
      <w:r w:rsidRPr="00423FBA">
        <w:t>melegen üdvözli, hogy a Reform- és Növekedéstámogató Eszköz keretében a közelmúltban 65,7 millió EUR-t folyósítottak Észak-Macedóniának, miután pozitívan értékelték a reformok végrehajtását, különösen a digitalizáció és az oktatás területén;</w:t>
      </w:r>
    </w:p>
    <w:p w:rsidR="00E43AEC" w:rsidRPr="00C0637C" w:rsidP="00273FC2" w14:paraId="5E842F20" w14:textId="1078DFDB">
      <w:pPr>
        <w:pStyle w:val="NormalHanging12a"/>
        <w:widowControl/>
      </w:pPr>
      <w:r>
        <w:t>54</w:t>
      </w:r>
      <w:r w:rsidRPr="00C0637C">
        <w:t>.</w:t>
      </w:r>
      <w:r w:rsidRPr="00C0637C">
        <w:tab/>
        <w:t xml:space="preserve"> felszólítja az EU-t és Észak-Macedóniát, hogy biztosítsák a civil társadalmi szervezetek, a vállalkozói szövetségek és a szociális partnerek megerősített felügyeletét és érdemi részvételét a Nyugat-balkáni Reform- és Növekedéstámogató Eszköz valamennyi szakaszában, beleértve a reformintézkedések kidolgozását, a projektek végrehajtását és az eredmények nyomon követését; elismeri, hogy javítani kell az üzleti környezetet és a piacgazdaság működését; kéri, hogy helyezzenek nagyobb hangsúlyt a piaci torzulások kiigazítására irányuló intézkedésekre és a szociális védelmi intézkedésekre; kéri, hogy fordítsanak nagyobb figyelmet a negatív demográfiai </w:t>
      </w:r>
      <w:r w:rsidRPr="00C0637C">
        <w:t>tendenciákra, valamint az informális gazdaság és annak negatív társadalmi és költségvetési hatásai kezelésére;</w:t>
      </w:r>
    </w:p>
    <w:p w:rsidR="00E43AEC" w:rsidRPr="00C0637C" w:rsidP="00273FC2" w14:paraId="1010D863" w14:textId="08309394">
      <w:pPr>
        <w:pStyle w:val="NormalHanging12a"/>
        <w:widowControl/>
      </w:pPr>
      <w:r>
        <w:t>55</w:t>
      </w:r>
      <w:r w:rsidRPr="00C0637C">
        <w:t>.</w:t>
      </w:r>
      <w:r w:rsidRPr="00C0637C">
        <w:tab/>
        <w:t>felhívja a hatóságokat, hogy jogilag és a gyakorlatban is védjék meg a reprezentatív szakszervezetek függetlenségét és legitim szerepét, valamint biztosítsák az alapvető munkavállalói jogok tiszteletben tartását, beleértve a kollektív tárgyalásokat is; felhívja továbbá a hatóságokat, hogy biztosítsanak konstruktív és érdemi párbeszédet a szakszervezetekkel az olyan sürgős kérdések kezelése érdekében, mint a bérek, a munkakörülmények és a szociális védelem, a platformalapú munkára is kiterjedően;</w:t>
      </w:r>
    </w:p>
    <w:p w:rsidR="00E43AEC" w:rsidRPr="00C0637C" w:rsidP="00273FC2" w14:paraId="714A07CF" w14:textId="4A9A5607">
      <w:pPr>
        <w:pStyle w:val="NormalHanging12a"/>
        <w:widowControl/>
      </w:pPr>
      <w:r>
        <w:t>56</w:t>
      </w:r>
      <w:r w:rsidRPr="00C0637C">
        <w:t>.</w:t>
      </w:r>
      <w:r w:rsidRPr="00C0637C">
        <w:tab/>
        <w:t>elismeri a kulturális és kreatív ágazatok stratégiai jelentőségét, valamint egy stabil, az EU-hoz igazodó szerzői jogi keret szükségességét; felhívja Észak-Macedóniát, hogy biztosítsa a szerzők és előadóművészek méltányos díjazását, hangolja össze a közös jogkezelést az uniós vívmányokkal, és erősítse meg a kalóztevékenység elleni jogérvényesítést; hangsúlyozza, hogy a jogosultak gyenge védelme aláássa a média fenntarthatóságát és a magas színvonalú audiovizuális tartalmak fejlesztését;</w:t>
      </w:r>
    </w:p>
    <w:p w:rsidR="00E43AEC" w:rsidRPr="00C0637C" w:rsidP="00273FC2" w14:paraId="401A72BB" w14:textId="1DE32C67">
      <w:pPr>
        <w:pStyle w:val="NormalHanging12a"/>
        <w:widowControl/>
      </w:pPr>
      <w:r>
        <w:t>57</w:t>
      </w:r>
      <w:r w:rsidRPr="00C0637C">
        <w:t>.</w:t>
      </w:r>
      <w:r w:rsidRPr="00C0637C">
        <w:tab/>
        <w:t>kéri a fiatalokat, a tartósan munkanélkülieket, az alacsony képzettségű személyeket és a hátrányos helyzetű csoportokat, például a nőket, a fogyatékossággal élőket és a romákat és cigányokat célzó munkaerőpiaci aktivizálási stratégiák végrehajtásának folytatását;</w:t>
      </w:r>
    </w:p>
    <w:p w:rsidR="00E43AEC" w:rsidRPr="00C0637C" w:rsidP="00273FC2" w14:paraId="51B04461" w14:textId="2F2B2770">
      <w:pPr>
        <w:pStyle w:val="NormalHanging12a"/>
        <w:widowControl/>
        <w:rPr>
          <w:bCs/>
          <w:iCs/>
        </w:rPr>
      </w:pPr>
      <w:r>
        <w:t>58</w:t>
      </w:r>
      <w:r w:rsidRPr="00C0637C">
        <w:t>.</w:t>
      </w:r>
      <w:r w:rsidRPr="00C0637C">
        <w:tab/>
        <w:t>ösztönzi az ifjúságpolitika megerősítését az ifjúsági részvételről és az ifjúságpolitikákról szóló törvény módosítása, hatékony nyomon követés és külön költségvetési kódex létrehozása, valamint a helyi ifjúsági struktúrák javítása révén;</w:t>
      </w:r>
    </w:p>
    <w:p w:rsidR="00E43AEC" w:rsidRPr="00C0637C" w:rsidP="00273FC2" w14:paraId="723C0BE9" w14:textId="2594BA1F">
      <w:pPr>
        <w:pStyle w:val="NormalHanging12a"/>
        <w:widowControl/>
      </w:pPr>
      <w:r>
        <w:t>59</w:t>
      </w:r>
      <w:r w:rsidRPr="00C0637C">
        <w:t>.</w:t>
      </w:r>
      <w:r w:rsidRPr="00C0637C">
        <w:tab/>
        <w:t>üdvözli Észak-Macedónia integrációját az egységes eurófizetési térség (SEPA) földrajzi hatályába;</w:t>
      </w:r>
    </w:p>
    <w:p w:rsidR="00E43AEC" w:rsidRPr="00C0637C" w:rsidP="00273FC2" w14:paraId="04A1DF36" w14:textId="36B692B9">
      <w:pPr>
        <w:pStyle w:val="NormalHanging12a"/>
        <w:widowControl/>
        <w:rPr>
          <w:bCs/>
        </w:rPr>
      </w:pPr>
      <w:r>
        <w:t>60</w:t>
      </w:r>
      <w:r w:rsidRPr="00C0637C">
        <w:t>.</w:t>
      </w:r>
      <w:r w:rsidRPr="00C0637C">
        <w:tab/>
      </w:r>
      <w:r w:rsidRPr="00423FBA">
        <w:t>melegen üdvözli a Bizottság javaslatát és a Tanács felhatalmazását arra, hogy kezdjenek tárgyalásokat az uniós belföldi díjszabás szerinti barangolás rendszerének Albániára, Bosznia-Hercegovinára, Koszovóra, Montenegróra, Észak-Macedóniára és Szerbiára való kiterjesztéséről, és felhívja a Bizottságot és a nyugat-balkáni partnereket, hogy mielőbb tegyék meg a szükséges lépéseket az EU és a nyugat-balkáni partnerek barangolási piacainak kölcsönös megnyitása érdekében; hangsúlyozza, hogy a „belföldi díjszabás szerinti barangolás” területének a Nyugat-Balkánra való kiterjesztése kézzelfogható előnyökkel járna a polgárok és a vállalkozások számára egyaránt, előmozdítva az emberek közötti kapcsolatokat, fellendítve a gazdasági kapcsolatokat, támogatva az oktatási csereprogramokat és megkönnyítve a turizmust</w:t>
      </w:r>
      <w:r w:rsidRPr="00C0637C">
        <w:t>;</w:t>
      </w:r>
    </w:p>
    <w:p w:rsidR="00E43AEC" w:rsidRPr="00C0637C" w:rsidP="00273FC2" w14:paraId="50FCCDF1" w14:textId="15278659">
      <w:pPr>
        <w:pStyle w:val="NormalHanging12a"/>
        <w:widowControl/>
        <w:rPr>
          <w:bCs/>
        </w:rPr>
      </w:pPr>
      <w:r>
        <w:t>61</w:t>
      </w:r>
      <w:r w:rsidRPr="00C0637C">
        <w:t>.</w:t>
      </w:r>
      <w:r w:rsidRPr="00C0637C">
        <w:tab/>
        <w:t>felszólítja Észak-Macedóniát, hogy hangolja össze jogszabályait a közvetlen külföldi befektetések átvilágítására vonatkozó uniós vívmányokkal;</w:t>
      </w:r>
    </w:p>
    <w:p w:rsidR="00E43AEC" w:rsidRPr="00C0637C" w:rsidP="00273FC2" w14:paraId="0D7580A7" w14:textId="77777777">
      <w:pPr>
        <w:pStyle w:val="NormalHanging12a"/>
        <w:widowControl/>
        <w:rPr>
          <w:b/>
        </w:rPr>
      </w:pPr>
      <w:r w:rsidRPr="00C0637C">
        <w:rPr>
          <w:b/>
          <w:i/>
        </w:rPr>
        <w:t>Környezetvédelem, biológiai sokféleség, energiaügy és közlekedés</w:t>
      </w:r>
    </w:p>
    <w:p w:rsidR="00E43AEC" w:rsidRPr="00C0637C" w:rsidP="00273FC2" w14:paraId="6FD541EF" w14:textId="2859AE38">
      <w:pPr>
        <w:pStyle w:val="NormalHanging12a"/>
        <w:widowControl/>
      </w:pPr>
      <w:bookmarkStart w:id="13" w:name="_f5cyx5lfgtpa"/>
      <w:bookmarkEnd w:id="13"/>
      <w:r>
        <w:t>62</w:t>
      </w:r>
      <w:r w:rsidRPr="00C0637C">
        <w:t>.</w:t>
      </w:r>
      <w:r w:rsidRPr="00C0637C">
        <w:tab/>
        <w:t xml:space="preserve">felszólít a közlekedési és energetikai infrastruktúrába történő beruházások növelésére, valamint a közlekedés-, az energiapolitika és környezetvédelmi jogszabályok uniós normákhoz való közelítésének előmozdítására; kéri, hogy a nemzeti jogszabályokat hangolják össze az utasok jogaira vonatkozó uniós szabályokkal; hangsúlyozza, hogy meg kell erősíteni az összeköttetéseket, és biztosítani kell az akadálytalan kereskedelmi forgalmat, különösen a közúti forgalomban; felszólít az uniós határregisztrációs </w:t>
      </w:r>
      <w:r w:rsidRPr="00C0637C">
        <w:t>rendszer végrehajtására, szem előtt tartva annak a hivatásos járművezetőkre és az ellátási láncokra gyakorolt hatását;</w:t>
      </w:r>
    </w:p>
    <w:p w:rsidR="00E43AEC" w:rsidRPr="00C0637C" w:rsidP="00273FC2" w14:paraId="634F61A9" w14:textId="137D626E">
      <w:pPr>
        <w:pStyle w:val="NormalHanging12a"/>
        <w:widowControl/>
        <w:rPr>
          <w:bCs/>
          <w:iCs/>
        </w:rPr>
      </w:pPr>
      <w:r>
        <w:t>63</w:t>
      </w:r>
      <w:r w:rsidRPr="00C0637C">
        <w:t>.</w:t>
      </w:r>
      <w:r w:rsidRPr="00C0637C">
        <w:tab/>
        <w:t>hangsúlyozza a határokon átnyúló összeköttetések, például a transzeurópai közlekedési hálózat (TEN-T) VIII. és X. folyosójának fontosságát, mivel azok elengedhetetlenek a szomszédos országokkal folytatott gazdasági együttműködés és az emberek közötti kapcsolatok erősítéséhez; számít a vállalt kötelezettségek hatékony végrehajtására; üdvözli a Bulgária és Észak-Macedónia közötti, egy határokon átnyúló vasúti alagút megépítéséről szóló megállapodást, amely döntő lépést jelent a VIII. folyosó mentén húzódó vasúti összeköttetés megvalósítása felé; megjegyzi, hogy a VIII. folyosó stratégiai jelentőséggel bír az EU és a NATO geostratégiai autonómiája szempontjából, és kulcsfontosságú logisztikai útvonalként szolgál a NATO déli szárnya mentén;</w:t>
      </w:r>
    </w:p>
    <w:p w:rsidR="00E43AEC" w:rsidRPr="00C0637C" w:rsidP="00273FC2" w14:paraId="776289B3" w14:textId="4C35BF65">
      <w:pPr>
        <w:pStyle w:val="NormalHanging12a"/>
        <w:widowControl/>
      </w:pPr>
      <w:r>
        <w:t>64</w:t>
      </w:r>
      <w:r w:rsidRPr="00C0637C">
        <w:t>.</w:t>
      </w:r>
      <w:r w:rsidRPr="00C0637C">
        <w:tab/>
        <w:t>üdvözli az energiatörvény 2025. májusi elfogadását, de hangsúlyozza, hogy az ország továbbra is nagymértékben függ a széntől; szorgalmazza a megújuló energia gyors térnyerését és az energiahatékonyságra való fokozott összpontosítást, különösen az épületek esetében;</w:t>
      </w:r>
    </w:p>
    <w:p w:rsidR="00E43AEC" w:rsidRPr="00C0637C" w:rsidP="00273FC2" w14:paraId="1A499B28" w14:textId="44FC70B0">
      <w:pPr>
        <w:pStyle w:val="NormalHanging12a"/>
        <w:widowControl/>
        <w:rPr>
          <w:bCs/>
          <w:iCs/>
        </w:rPr>
      </w:pPr>
      <w:r>
        <w:t>65</w:t>
      </w:r>
      <w:r w:rsidRPr="00C0637C">
        <w:t>.</w:t>
      </w:r>
      <w:r w:rsidRPr="00C0637C">
        <w:tab/>
        <w:t>sajnálja, hogy kevés előrelépés történt a környezetvédelmi jogszabályok terén; sügrős intézkedéseket kér a levegő- és vízminőség, valamint a szennyvízkezelés terén, többek között a városi és vidéki területek vízellátási és szennyvízelvezetési infrastruktúrájának megnövelt és egyértelműen elkülönített nemzeti finanszírozása, lehetőség szerint a falusi vízrendszerek közművekbe való integrálása, egyértelműen kijelölt intézményi felelősségi körök, rendszeres egészségügyi és laboratóriumi ellenőrzések biztosítása és az eredmények nyilvános közzététele, valamint az ellenőrzési felügyelet megerősítése révén, beleértve a szabályozatlan, rosszul karbantartott vagy szennyező rendszerekre vonatkozó szankciók bevezetését is;</w:t>
      </w:r>
    </w:p>
    <w:p w:rsidR="00E43AEC" w:rsidRPr="00C0637C" w:rsidP="00273FC2" w14:paraId="14D1FC37" w14:textId="237BF877">
      <w:pPr>
        <w:pStyle w:val="NormalHanging12a"/>
        <w:widowControl/>
        <w:rPr>
          <w:bCs/>
          <w:iCs/>
        </w:rPr>
      </w:pPr>
      <w:r>
        <w:t>66</w:t>
      </w:r>
      <w:r w:rsidRPr="00C0637C">
        <w:t>.</w:t>
      </w:r>
      <w:r w:rsidRPr="00C0637C">
        <w:tab/>
        <w:t>aggodalommal veszi tudomásul a légszennyezés tartósan magas szintjét, különösen a városi területeken, amely szorosan kapcsolódik a szénégetéshez és a cementgyártáshoz; ezzel összefüggésben komoly aggodalmának ad hangot az ipari kibocsátások ellenőrzéséről szóló új törvénnyel kapcsolatban, és sürgeti a hatóságokat, hogy átlátható és inkluzív nyilvános eljárás keretében módosítsák azt, bevonva valamennyi érdekelt felet, különösen a környezetvédelmi szakértőket és a civil társadalmi szervezeteket; hangsúlyozza, hogy sürgősen javítani kell a levegőminőséget a városokban, többek között olyan intézkedések révén, mint az alacsony kibocsátású övezetek bevezetése és a modern, kevésbé szennyező tömegközlekedési járművek beszerzése;</w:t>
      </w:r>
    </w:p>
    <w:p w:rsidR="00E43AEC" w:rsidRPr="00C0637C" w:rsidP="00273FC2" w14:paraId="56C583AD" w14:textId="65F7AF9D">
      <w:pPr>
        <w:pStyle w:val="NormalHanging12a"/>
        <w:widowControl/>
        <w:rPr>
          <w:bCs/>
          <w:iCs/>
        </w:rPr>
      </w:pPr>
      <w:r>
        <w:t>67</w:t>
      </w:r>
      <w:r w:rsidRPr="00C0637C">
        <w:t>.</w:t>
      </w:r>
      <w:r w:rsidRPr="00C0637C">
        <w:tab/>
        <w:t>aggodalommal veszi tudomásul a horizontális környezetvédelmi jogszabályok végrehajtása terén elért korlátozott előrelépést, és sürgeti Észak-Macedóniát, hogy teljes mértékben hangolja össze és hatékonyan hajtsa végre a környezeti hatásvizsgálatról</w:t>
      </w:r>
      <w:r>
        <w:rPr>
          <w:rStyle w:val="FootnoteReference"/>
          <w:bCs/>
          <w:iCs/>
        </w:rPr>
        <w:footnoteReference w:id="9"/>
      </w:r>
      <w:r w:rsidRPr="00C0637C">
        <w:t xml:space="preserve"> és a stratégiai környezeti vizsgálatról</w:t>
      </w:r>
      <w:r>
        <w:rPr>
          <w:rStyle w:val="FootnoteReference"/>
          <w:bCs/>
          <w:iCs/>
        </w:rPr>
        <w:footnoteReference w:id="10"/>
      </w:r>
      <w:r w:rsidRPr="00C0637C">
        <w:t xml:space="preserve"> szóló irányelveket, beleértve a kis vízenergia-projektekkel kapcsolatos másodlagos jogszabályokat is;</w:t>
      </w:r>
    </w:p>
    <w:p w:rsidR="00E43AEC" w:rsidRPr="00C0637C" w:rsidP="00273FC2" w14:paraId="72595870" w14:textId="6A1917B0">
      <w:pPr>
        <w:pStyle w:val="NormalHanging12a"/>
        <w:widowControl/>
        <w:rPr>
          <w:bCs/>
          <w:iCs/>
        </w:rPr>
      </w:pPr>
      <w:r>
        <w:t>68</w:t>
      </w:r>
      <w:r w:rsidRPr="00C0637C">
        <w:t>.</w:t>
      </w:r>
      <w:r w:rsidRPr="00C0637C">
        <w:tab/>
        <w:t>sürgeti Észak-Macedónia kormányát és a helyi hatóságokat, hogy javítsák a biológiai sokféleséggel kapcsolatos intézkedéseket, hozzanak létre hatékony jogi védelmet a Berni Egyezmény alapján kijelölt Emerald természeti területek számára, és gyorsítsák fel a jövőbeli Natura 2000 területek azonosítását és kijelölését; sürgeti Észak-Macedónia kormányát, hogy kezelje prioritásként és gyorsítsa fel egy új természetvédelmi törvény elfogadását, amely felváltja az elavult jogi keretet, és biztosítja az uniós élőhelyvédelmi</w:t>
      </w:r>
      <w:r>
        <w:rPr>
          <w:rStyle w:val="FootnoteReference"/>
          <w:bCs/>
          <w:iCs/>
        </w:rPr>
        <w:footnoteReference w:id="11"/>
      </w:r>
      <w:r w:rsidRPr="00C0637C">
        <w:t xml:space="preserve"> és madárvédelmi</w:t>
      </w:r>
      <w:r>
        <w:rPr>
          <w:rStyle w:val="FootnoteReference"/>
          <w:bCs/>
          <w:iCs/>
        </w:rPr>
        <w:footnoteReference w:id="12"/>
      </w:r>
      <w:r w:rsidRPr="00C0637C">
        <w:t xml:space="preserve"> irányelvekkel való teljes összhangot;</w:t>
      </w:r>
    </w:p>
    <w:p w:rsidR="00E43AEC" w:rsidRPr="00C0637C" w:rsidP="00273FC2" w14:paraId="68A2C3A9" w14:textId="5FAEAC3A">
      <w:pPr>
        <w:pStyle w:val="NormalHanging12a"/>
        <w:widowControl/>
        <w:rPr>
          <w:bCs/>
          <w:iCs/>
        </w:rPr>
      </w:pPr>
      <w:r>
        <w:t>69</w:t>
      </w:r>
      <w:r w:rsidRPr="00C0637C">
        <w:t>.</w:t>
      </w:r>
      <w:r w:rsidRPr="00C0637C">
        <w:tab/>
        <w:t>üdvözli, hogy Észak-Macedónia folyamatosan együttműködik Koszovóval és Albániával a határokon átnyúló Šar-hegység Nemzeti Parkkal kapcsolatban; megismétli, hogy sürgősen el kell fogadni a Mavrovo Nemzeti Park újbóli létrehozásáról szóló törvényt, és véglegesíteni kell és hatékonyan végre kell hajtani annak irányítási tervét; ösztönzi a Jablanica felvételét a védett területek nemzeti jegyzékébe; sürgeti Észak-Macedóniát, hogy a regionális stratégiával összhangban és a szomszédos országokkal együttműködve dolgozzon ki és hajtson végre nemzeti cselekvési és gazdálkodási tervet a balkáni hiúz megőrzésére, többek között a kulcsfontosságú élőhelyek, köztük Mavrovo és Jablanica, valamint a határokon átnyúló területek közötti ökológiai összeköttetés fenntartása érdekében;</w:t>
      </w:r>
    </w:p>
    <w:p w:rsidR="00E43AEC" w:rsidRPr="00C0637C" w:rsidP="00273FC2" w14:paraId="473917B7" w14:textId="77777777">
      <w:pPr>
        <w:pStyle w:val="NormalHanging12a"/>
        <w:widowControl/>
        <w:rPr>
          <w:b/>
        </w:rPr>
      </w:pPr>
      <w:r w:rsidRPr="00C0637C">
        <w:rPr>
          <w:b/>
          <w:i/>
        </w:rPr>
        <w:t>Regionális együttműködés és külpolitika</w:t>
      </w:r>
    </w:p>
    <w:p w:rsidR="00E43AEC" w:rsidRPr="00C0637C" w:rsidP="00273FC2" w14:paraId="744FA1D7" w14:textId="4B121F7C">
      <w:pPr>
        <w:pStyle w:val="NormalHanging12a"/>
        <w:widowControl/>
      </w:pPr>
      <w:r>
        <w:t>70</w:t>
      </w:r>
      <w:r w:rsidRPr="00C0637C">
        <w:t>.</w:t>
      </w:r>
      <w:r w:rsidRPr="00C0637C">
        <w:tab/>
        <w:t>üdvözli Észak-Macedónia értékes és jelentős hozzájárulását a regionális együttműködéshez és stabilitáshoz, a regionális gazdasági és diplomáciai kezdeményezésekben, például a berlini folyamatban, a Nyugat-Balkánra vonatkozó növekedési tervben és a közös regionális piaci megállapodások végrehajtásában való részvétele révén;</w:t>
      </w:r>
    </w:p>
    <w:p w:rsidR="00E43AEC" w:rsidRPr="00C0637C" w:rsidP="00273FC2" w14:paraId="2E00B78F" w14:textId="114EBFE7">
      <w:pPr>
        <w:pStyle w:val="NormalHanging12a"/>
        <w:widowControl/>
        <w:rPr>
          <w:bCs/>
          <w:iCs/>
        </w:rPr>
      </w:pPr>
      <w:r>
        <w:t>71</w:t>
      </w:r>
      <w:r w:rsidRPr="00C0637C">
        <w:t>.</w:t>
      </w:r>
      <w:r w:rsidRPr="00C0637C">
        <w:tab/>
        <w:t xml:space="preserve">felszólít a szomszédos országokkal folytatott párbeszéd és együttműködés melletti következetes elköteleződésre a regionális stabilitás megerősítése és a kölcsönös bizalom előmozdítása érdekében; felszólít a népek közötti kapcsolatok további előmozdítására Délkelet-Európában; </w:t>
      </w:r>
      <w:bookmarkStart w:id="14" w:name="_Hlk229472357"/>
      <w:r w:rsidRPr="00C0637C">
        <w:t>hangsúlyozza a nemzetközi megállapodások, például a preszpa-tavi megállapodás és a Bulgáriával kötött, a barátságról, a jószomszédi viszonyról és az együttműködésről szóló szerződés jóhiszemű végrehajtásának fontosságát;</w:t>
      </w:r>
      <w:bookmarkEnd w:id="14"/>
    </w:p>
    <w:p w:rsidR="00E43AEC" w:rsidRPr="00C0637C" w:rsidP="00273FC2" w14:paraId="6C8EA590" w14:textId="1524AAF5">
      <w:pPr>
        <w:pStyle w:val="NormalHanging12a"/>
        <w:widowControl/>
        <w:rPr>
          <w:bCs/>
          <w:iCs/>
        </w:rPr>
      </w:pPr>
      <w:r>
        <w:t>72</w:t>
      </w:r>
      <w:r w:rsidRPr="00C0637C">
        <w:t>.</w:t>
      </w:r>
      <w:r w:rsidRPr="00C0637C">
        <w:tab/>
        <w:t xml:space="preserve">elismeri, hogy a macedónok történelmi jellegét illetően eltérő értelmezések léteznek; hangsúlyozza, hogy jelentésének nem célja az e kérdésekkel kapcsolatos tudományos diskurzus befolyásolása vagy korlátozása, és az ilyen értelmezések nem befolyásolják Észak-Macedónia uniós csatlakozás felé tett előrehaladásának értékelését, amely továbbra is a koppenhágai kritériumokban és a jószomszédi kapcsolatok elveiben gyökerezik; sürgeti az összes felet, hogy folytassák a Bulgária és Észak-Macedónia történelmi és oktatási kérdéseivel foglalkozó közös multidiszciplináris szakértői bizottság munkáját, ezáltal közelebb hozva egymáshoz a társadalmakat; elítél minden olyan kísérletet, amely történelmi műemlékek és/vagy műtárgyak eltávolítására irányul, </w:t>
      </w:r>
      <w:r w:rsidRPr="00C0637C">
        <w:t>beleértve az eredeti kulturális örökség lerombolását is; sajnálatát fejezi ki a bolgár feliratok megsemmisítése és meghamisítása miatt;</w:t>
      </w:r>
    </w:p>
    <w:p w:rsidR="00E43AEC" w:rsidRPr="00C0637C" w:rsidP="00273FC2" w14:paraId="3772837E" w14:textId="3ABF28A9">
      <w:pPr>
        <w:pStyle w:val="NormalHanging12a"/>
        <w:widowControl/>
        <w:rPr>
          <w:bCs/>
          <w:iCs/>
        </w:rPr>
      </w:pPr>
      <w:r>
        <w:t>73</w:t>
      </w:r>
      <w:r w:rsidRPr="00C0637C">
        <w:t>.</w:t>
      </w:r>
      <w:r w:rsidRPr="00C0637C">
        <w:tab/>
        <w:t>komoly aggodalmát fejezi ki amiatt, hogy a barátságról, a jószomszédi viszonyról és az együttműködésről szóló szerződés 12. cikke alapján létrehozott kormányközi vegyes bizottság legutóbbi ülését 2022. július 17-én tartották, és azóta nem került sor újabb ülésre; sürgeti Bulgária és Észak-Macedónia kormányát, hogy mielőbb szervezzék meg a kormányközi vegyes bizottság harmadik ülését, hogy folytassák a szerződés és jegyzőkönyvei végrehajtását;</w:t>
      </w:r>
    </w:p>
    <w:p w:rsidR="00E43AEC" w:rsidRPr="00C0637C" w:rsidP="00273FC2" w14:paraId="3F2B4E1E" w14:textId="5287A2F3">
      <w:pPr>
        <w:pStyle w:val="NormalHanging12a"/>
        <w:widowControl/>
        <w:rPr>
          <w:bCs/>
          <w:iCs/>
        </w:rPr>
      </w:pPr>
      <w:r>
        <w:t>74</w:t>
      </w:r>
      <w:r w:rsidRPr="00C0637C">
        <w:t>.</w:t>
      </w:r>
      <w:r w:rsidRPr="00C0637C">
        <w:tab/>
        <w:t>határozottan sürgeti Bulgária és Észak-Macedónia történelmi és oktatási kérdésekkel foglalkozó közös multidiszciplináris szakértői bizottságát, amelyet a barátságról, a jószomszédi viszonyról és az együttműködésről szóló, Bulgáriával kötött szerződés eredményeként hoztak létre, hogy egyértelmű és kézzelfogható eredményeket érjen el; hangsúlyozza, hogy a szövegeknek tükrözniük kell a két nép közös történelméből származó történelmi tények és számok objektív, hiteles és bizonyítékokon alapuló történelmi forrásokon és dokumentumokon, tudományos értelmezésen és történelmi eseményeken alapuló értelmezését, amint azt a Bulgáriával kötött szerződés második jegyzőkönyve előírja;</w:t>
      </w:r>
    </w:p>
    <w:p w:rsidR="00E43AEC" w:rsidRPr="00C0637C" w:rsidP="00273FC2" w14:paraId="7B60AA77" w14:textId="38833006">
      <w:pPr>
        <w:pStyle w:val="NormalHanging12a"/>
        <w:widowControl/>
        <w:rPr>
          <w:bCs/>
          <w:iCs/>
        </w:rPr>
      </w:pPr>
      <w:r>
        <w:t>75</w:t>
      </w:r>
      <w:r w:rsidRPr="00C0637C">
        <w:t>.</w:t>
      </w:r>
      <w:r w:rsidRPr="00C0637C">
        <w:tab/>
        <w:t>aggodalommal veszi tudomásul az Észak-Macedónia és az illiberális programot követő szerb kormány közötti egyre szorosabb kapcsolatokat; óva int továbbá Kína növekvő gazdasági és politikai befolyásától a régióban, különösen infrastrukturális projektek és hitelezés révén; ugyanilyen aggodalommal veszi tudomásul az arra irányuló orosz erőfeszítésekről szóló jelentéseket, hogy befolyást gyakoroljanak Észak-Macedóniában; felhívja az EU-t, hogy támogassa Észak-Macedóniát a vallási hálózatokon keresztül gyakorolt külső befolyással szembeni reziliencia megerősítésében; aggodalmát fejezi ki a régióban népszerűsített narratívák, például az úgynevezett „szerb világ” miatt, amelyek megkérdőjelezik országok szuverenitását és területi integritását;</w:t>
      </w:r>
    </w:p>
    <w:p w:rsidR="00E43AEC" w:rsidRPr="00C0637C" w:rsidP="00273FC2" w14:paraId="467881B4" w14:textId="1BD637AA">
      <w:pPr>
        <w:pStyle w:val="NormalHanging12a"/>
        <w:widowControl/>
        <w:rPr>
          <w:bCs/>
          <w:iCs/>
        </w:rPr>
      </w:pPr>
      <w:r>
        <w:t>76</w:t>
      </w:r>
      <w:r w:rsidRPr="00C0637C">
        <w:t>.</w:t>
      </w:r>
      <w:r w:rsidRPr="00C0637C">
        <w:tab/>
        <w:t>emlékeztet, hogy meg kell nyitni az Észak-Macedóniában és Szerbiában őrzött jugoszláv titkosszolgálati archívumokat (UDBA és KOS); hangsúlyozza, hogy ezeket az archívumokat régiószerte meg kell nyitni a totalitárius múlt átlátható feldolgozása érdekében, a demokrácia, az elszámoltathatóság és az intézmények megerősítése céljából a Nyugat-Balkánon;</w:t>
      </w:r>
    </w:p>
    <w:p w:rsidR="00E43AEC" w:rsidRPr="00C0637C" w:rsidP="00273FC2" w14:paraId="1814B494" w14:textId="0422344D">
      <w:pPr>
        <w:pStyle w:val="NormalHanging12a"/>
        <w:widowControl/>
        <w:rPr>
          <w:bCs/>
          <w:iCs/>
        </w:rPr>
      </w:pPr>
      <w:r>
        <w:t>77</w:t>
      </w:r>
      <w:r w:rsidRPr="00C0637C">
        <w:t>.</w:t>
      </w:r>
      <w:r w:rsidRPr="00C0637C">
        <w:tab/>
        <w:t>elismerését fejezi ki amiatt, hogy Észak-Macedónia erősen és régóta igazodik az EU kül-, biztonság- és védelempolitikájához, többek között a korlátozó intézkedésekre vonatkozóan is; sajnálja ugyanakkor, hogy a többségi uniós álláspont követése helyett egyre inkább a nemzetközi testületekben tartott fontos szavazásokon való tartózkodás irányába mutató tendencia figyelhető meg; felhívja ezért Észak-Macedónia kormányát, hogy kétség esetén igazodjon az EU-n belüli többségi állásponthoz;</w:t>
      </w:r>
      <w:r w:rsidRPr="00C0637C">
        <w:rPr>
          <w:b/>
          <w:i/>
        </w:rPr>
        <w:t xml:space="preserve"> </w:t>
      </w:r>
      <w:r w:rsidRPr="00C0637C">
        <w:t>kiemeli Észak-Macedónia geostratégiai jelentőségét és a NATO tagjaként betöltött fontos szerepét; üdvözli az ország aktív részvételét a közös biztonság és védelempolitika keretében folytatott uniós missziókban és műveletekben, valamint hozzájárulását az EU vezető szerepéhez a békefenntartás, a konfliktusmegelőzés és a nemzetközi válságkezelés terén; üdvözli Észak-Macedónia készségét az EU-val való együttműködés fokozására a biztonsági és védelmi partnerség keretében;</w:t>
      </w:r>
    </w:p>
    <w:p w:rsidR="00E43AEC" w:rsidRPr="00C0637C" w:rsidP="00273FC2" w14:paraId="6D60519A" w14:textId="77777777">
      <w:pPr>
        <w:pStyle w:val="NormalHanging12a"/>
        <w:widowControl/>
        <w:jc w:val="center"/>
      </w:pPr>
      <w:r w:rsidRPr="00C0637C">
        <w:t>°</w:t>
      </w:r>
    </w:p>
    <w:p w:rsidR="00E43AEC" w:rsidRPr="00C0637C" w:rsidP="00273FC2" w14:paraId="232777DC" w14:textId="77777777">
      <w:pPr>
        <w:pStyle w:val="NormalHanging12a"/>
        <w:widowControl/>
        <w:jc w:val="center"/>
      </w:pPr>
      <w:r w:rsidRPr="00C0637C">
        <w:t>°</w:t>
      </w:r>
      <w:r w:rsidRPr="00C0637C">
        <w:tab/>
        <w:t>°</w:t>
      </w:r>
    </w:p>
    <w:p w:rsidR="00E365E1" w:rsidRPr="00CC7F6C" w:rsidP="00273FC2" w14:paraId="7001E485" w14:textId="2F3D22A6">
      <w:pPr>
        <w:pStyle w:val="NormalHanging12a"/>
        <w:widowControl/>
      </w:pPr>
      <w:r>
        <w:t>78</w:t>
      </w:r>
      <w:r w:rsidRPr="00C0637C" w:rsidR="00E43AEC">
        <w:t>.</w:t>
      </w:r>
      <w:r w:rsidRPr="00C0637C" w:rsidR="00E43AEC">
        <w:tab/>
        <w:t>utasítja elnökét, hogy továbbítsa ezt az állásfoglalást az Európai Tanács elnökének, a Tanácsnak, a Bizottságnak, a Bizottság alelnökének / az Unió külügyi és biztonságpolitikai főképviselőjének, a tagállamok kormányainak és parlamentjeinek, valamint az Észak-macedón Köztársaság elnökének, kormányának és parlamentjének.</w:t>
      </w:r>
      <w:bookmarkEnd w:id="8"/>
    </w:p>
    <w:sectPr w:rsidSect="00CC7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7F6C" w14:paraId="17910FB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7F6C" w14:paraId="4F74FCE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7F6C" w14:paraId="54E350D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5AEA" w:rsidRPr="00CC7F6C" w14:paraId="44D559A9" w14:textId="77777777">
      <w:r w:rsidRPr="00CC7F6C">
        <w:separator/>
      </w:r>
    </w:p>
  </w:footnote>
  <w:footnote w:type="continuationSeparator" w:id="1">
    <w:p w:rsidR="00325AEA" w:rsidRPr="00CC7F6C" w14:paraId="1547C716" w14:textId="77777777">
      <w:r w:rsidRPr="00CC7F6C">
        <w:continuationSeparator/>
      </w:r>
    </w:p>
  </w:footnote>
  <w:footnote w:id="2">
    <w:p w:rsidR="00E43AEC" w:rsidRPr="00CC7F6C" w:rsidP="00CC7F6C" w14:paraId="727A0216" w14:textId="6BCD2B24">
      <w:pPr>
        <w:pStyle w:val="FootnoteText"/>
        <w:ind w:left="567" w:hanging="567"/>
        <w:rPr>
          <w:color w:val="000000"/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color w:val="000000"/>
          <w:sz w:val="24"/>
          <w:lang w:val="hu-HU"/>
        </w:rPr>
        <w:t xml:space="preserve"> </w:t>
      </w:r>
      <w:r w:rsidRPr="00CC7F6C" w:rsidR="00CC7F6C">
        <w:rPr>
          <w:color w:val="000000"/>
          <w:sz w:val="24"/>
          <w:lang w:val="hu-HU"/>
        </w:rPr>
        <w:tab/>
      </w:r>
      <w:r w:rsidRPr="00CC7F6C">
        <w:rPr>
          <w:color w:val="000000"/>
          <w:sz w:val="24"/>
          <w:lang w:val="hu-HU"/>
        </w:rPr>
        <w:t xml:space="preserve">HL L 84., 2004.3.20., 13. o., ELI: </w:t>
      </w:r>
      <w:hyperlink r:id="rId1" w:history="1">
        <w:r w:rsidRPr="00CC7F6C">
          <w:rPr>
            <w:rStyle w:val="Hyperlink"/>
            <w:color w:val="0563C1"/>
            <w:sz w:val="24"/>
            <w:lang w:val="hu-HU"/>
          </w:rPr>
          <w:t>http://data.europa.eu/eli/agree_internation/2004/239(2)/oj</w:t>
        </w:r>
      </w:hyperlink>
      <w:r w:rsidRPr="00CC7F6C">
        <w:rPr>
          <w:color w:val="000000"/>
          <w:sz w:val="24"/>
          <w:lang w:val="hu-HU"/>
        </w:rPr>
        <w:t>.</w:t>
      </w:r>
    </w:p>
  </w:footnote>
  <w:footnote w:id="3">
    <w:p w:rsidR="00E43AEC" w:rsidRPr="00CC7F6C" w:rsidP="00CC7F6C" w14:paraId="4DAF072B" w14:textId="593BE249">
      <w:pPr>
        <w:pStyle w:val="FootnoteText"/>
        <w:ind w:left="567" w:hanging="567"/>
        <w:rPr>
          <w:color w:val="000000"/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color w:val="000000"/>
          <w:sz w:val="24"/>
          <w:lang w:val="hu-HU"/>
        </w:rPr>
        <w:t xml:space="preserve"> </w:t>
      </w:r>
      <w:r w:rsidRPr="00CC7F6C" w:rsidR="00CC7F6C">
        <w:rPr>
          <w:color w:val="000000"/>
          <w:sz w:val="24"/>
          <w:lang w:val="hu-HU"/>
        </w:rPr>
        <w:tab/>
      </w:r>
      <w:r w:rsidRPr="00CC7F6C">
        <w:rPr>
          <w:color w:val="000000"/>
          <w:sz w:val="24"/>
          <w:lang w:val="hu-HU"/>
        </w:rPr>
        <w:t xml:space="preserve">HL L 330., 2021.9.20., 1. o., ELI: </w:t>
      </w:r>
      <w:hyperlink r:id="rId2" w:history="1">
        <w:r w:rsidRPr="00CC7F6C">
          <w:rPr>
            <w:rStyle w:val="Hyperlink"/>
            <w:color w:val="0563C1"/>
            <w:sz w:val="24"/>
            <w:lang w:val="hu-HU"/>
          </w:rPr>
          <w:t>http://data.europa.eu/eli/reg/2021/1529/oj</w:t>
        </w:r>
      </w:hyperlink>
      <w:r w:rsidRPr="00CC7F6C">
        <w:rPr>
          <w:color w:val="000000"/>
          <w:sz w:val="24"/>
          <w:lang w:val="hu-HU"/>
        </w:rPr>
        <w:t>.</w:t>
      </w:r>
    </w:p>
  </w:footnote>
  <w:footnote w:id="4">
    <w:p w:rsidR="00E43AEC" w:rsidRPr="00CC7F6C" w:rsidP="00CC7F6C" w14:paraId="4EB2DC27" w14:textId="5F6585E9">
      <w:pPr>
        <w:pStyle w:val="FootnoteText"/>
        <w:ind w:left="567" w:hanging="567"/>
        <w:rPr>
          <w:color w:val="000000"/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color w:val="000000"/>
          <w:sz w:val="24"/>
          <w:lang w:val="hu-HU"/>
        </w:rPr>
        <w:t xml:space="preserve"> </w:t>
      </w:r>
      <w:r w:rsidRPr="00CC7F6C" w:rsidR="00CC7F6C">
        <w:rPr>
          <w:color w:val="000000"/>
          <w:sz w:val="24"/>
          <w:lang w:val="hu-HU"/>
        </w:rPr>
        <w:tab/>
      </w:r>
      <w:r w:rsidRPr="00CC7F6C">
        <w:rPr>
          <w:color w:val="000000"/>
          <w:sz w:val="24"/>
          <w:lang w:val="hu-HU"/>
        </w:rPr>
        <w:t xml:space="preserve">HL L, 2024/1449, 2024.5.24., ELI: </w:t>
      </w:r>
      <w:hyperlink r:id="rId3" w:history="1">
        <w:r w:rsidRPr="00CC7F6C">
          <w:rPr>
            <w:rStyle w:val="Hyperlink"/>
            <w:color w:val="0563C1"/>
            <w:sz w:val="24"/>
            <w:lang w:val="hu-HU"/>
          </w:rPr>
          <w:t>http://data.europa.eu/eli/reg/2024/1449/oj</w:t>
        </w:r>
      </w:hyperlink>
      <w:r w:rsidRPr="00CC7F6C">
        <w:rPr>
          <w:color w:val="000000"/>
          <w:sz w:val="24"/>
          <w:lang w:val="hu-HU"/>
        </w:rPr>
        <w:t>.</w:t>
      </w:r>
    </w:p>
  </w:footnote>
  <w:footnote w:id="5">
    <w:p w:rsidR="00E43AEC" w:rsidRPr="00CC7F6C" w:rsidP="00CC7F6C" w14:paraId="3EB4B4B6" w14:textId="298BCFCC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>HL C 202., 2021.5.28., 86. o.</w:t>
      </w:r>
    </w:p>
  </w:footnote>
  <w:footnote w:id="6">
    <w:p w:rsidR="00E43AEC" w:rsidRPr="00CC7F6C" w:rsidP="00CC7F6C" w14:paraId="35857D37" w14:textId="2E5B7C89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 xml:space="preserve">HL C, C/2024/6746, 2024.11.26., ELI: </w:t>
      </w:r>
      <w:hyperlink r:id="rId4" w:history="1">
        <w:r w:rsidRPr="00CC7F6C">
          <w:rPr>
            <w:rStyle w:val="Hyperlink"/>
            <w:sz w:val="24"/>
            <w:lang w:val="hu-HU"/>
          </w:rPr>
          <w:t>http://data.europa.eu/eli/C/2024/6746/oj</w:t>
        </w:r>
      </w:hyperlink>
      <w:r w:rsidRPr="00CC7F6C">
        <w:rPr>
          <w:sz w:val="24"/>
          <w:lang w:val="hu-HU"/>
        </w:rPr>
        <w:t xml:space="preserve">. </w:t>
      </w:r>
    </w:p>
  </w:footnote>
  <w:footnote w:id="7">
    <w:p w:rsidR="00E43AEC" w:rsidRPr="00CC7F6C" w:rsidP="00CC7F6C" w14:paraId="5D216B50" w14:textId="5D0B225D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>Elfogadott szövegek, P10_TA(2026)0077.</w:t>
      </w:r>
    </w:p>
  </w:footnote>
  <w:footnote w:id="8">
    <w:p w:rsidR="00E43AEC" w:rsidRPr="00CC7F6C" w:rsidP="00CC7F6C" w14:paraId="661ECF13" w14:textId="122E7B8F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 xml:space="preserve">Az Európai Parlament és a Tanács (EU) 2024/1069 irányelve (2024. április 11.) a közéletben részt vevő személyeknek a nyilvánvalóan megalapozatlan keresetekkel vagy visszaélésszerű bírósági eljárásokkal („közéleti részvételt akadályozó stratégiai perekkel”) szembeni védelméről (HL L, 2024/1069, 2024.4.16., ELI: </w:t>
      </w:r>
      <w:hyperlink r:id="rId5" w:history="1">
        <w:r w:rsidRPr="00CC7F6C">
          <w:rPr>
            <w:rStyle w:val="Hyperlink"/>
            <w:sz w:val="24"/>
            <w:lang w:val="hu-HU"/>
          </w:rPr>
          <w:t>http://data.europa.eu/eli/dir/2024/1069/oj</w:t>
        </w:r>
      </w:hyperlink>
      <w:r w:rsidRPr="00CC7F6C">
        <w:rPr>
          <w:sz w:val="24"/>
          <w:lang w:val="hu-HU"/>
        </w:rPr>
        <w:t xml:space="preserve">). </w:t>
      </w:r>
    </w:p>
  </w:footnote>
  <w:footnote w:id="9">
    <w:p w:rsidR="00E43AEC" w:rsidRPr="00CC7F6C" w:rsidP="00CC7F6C" w14:paraId="46FB0523" w14:textId="638E7914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 xml:space="preserve">Az Európai Parlament és a Tanács 2011/92/EU irányelve (2011. december 13.) az egyes köz- és magánprojektek környezetre gyakorolt hatásainak vizsgálatáról (HL L 26., 2012.1.28., 1. o., ELI: </w:t>
      </w:r>
      <w:hyperlink r:id="rId6" w:history="1">
        <w:r w:rsidRPr="00CC7F6C">
          <w:rPr>
            <w:rStyle w:val="Hyperlink"/>
            <w:sz w:val="24"/>
            <w:lang w:val="hu-HU"/>
          </w:rPr>
          <w:t>http://data.europa.eu/eli/dir/2011/92/oj</w:t>
        </w:r>
      </w:hyperlink>
      <w:r w:rsidRPr="00CC7F6C">
        <w:rPr>
          <w:sz w:val="24"/>
          <w:lang w:val="hu-HU"/>
        </w:rPr>
        <w:t>).</w:t>
      </w:r>
    </w:p>
  </w:footnote>
  <w:footnote w:id="10">
    <w:p w:rsidR="00E43AEC" w:rsidRPr="00CC7F6C" w:rsidP="00CC7F6C" w14:paraId="2700E582" w14:textId="6E0F12E3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 xml:space="preserve">Az Európai Parlament és a Tanács 2001/42/EK irányelve (2001. június 27.) bizonyos tervek és programok környezetre gyakorolt hatásainak vizsgálatáról (HL L 197., 2001.7.21., 30. o., ELI: </w:t>
      </w:r>
      <w:hyperlink r:id="rId7" w:history="1">
        <w:r w:rsidRPr="00CC7F6C">
          <w:rPr>
            <w:rStyle w:val="Hyperlink"/>
            <w:sz w:val="24"/>
            <w:lang w:val="hu-HU"/>
          </w:rPr>
          <w:t>http://data.europa.eu/eli/dir/2001/42/oj</w:t>
        </w:r>
      </w:hyperlink>
      <w:r w:rsidRPr="00CC7F6C">
        <w:rPr>
          <w:sz w:val="24"/>
          <w:lang w:val="hu-HU"/>
        </w:rPr>
        <w:t xml:space="preserve">). </w:t>
      </w:r>
    </w:p>
  </w:footnote>
  <w:footnote w:id="11">
    <w:p w:rsidR="00E43AEC" w:rsidRPr="00CC7F6C" w:rsidP="00CC7F6C" w14:paraId="6871853D" w14:textId="6D7F0D0A">
      <w:pPr>
        <w:ind w:left="567" w:hanging="567"/>
      </w:pPr>
      <w:r w:rsidRPr="00CC7F6C">
        <w:rPr>
          <w:rStyle w:val="FootnoteReference"/>
        </w:rPr>
        <w:footnoteRef/>
      </w:r>
      <w:r w:rsidRPr="00CC7F6C" w:rsidR="00CC7F6C">
        <w:t xml:space="preserve"> </w:t>
      </w:r>
      <w:r w:rsidRPr="00CC7F6C" w:rsidR="00CC7F6C">
        <w:tab/>
      </w:r>
      <w:r w:rsidRPr="00CC7F6C">
        <w:t xml:space="preserve">A Tanács 92/43/EGK irányelve (1992. május 21.) a természetes élőhelyek, valamint a vadon élő állatok és növények védelméről (HL L 206., 1992.7.22., 7. o., ELI: </w:t>
      </w:r>
      <w:hyperlink r:id="rId8" w:history="1">
        <w:r w:rsidRPr="00CC7F6C">
          <w:rPr>
            <w:rStyle w:val="Hyperlink"/>
          </w:rPr>
          <w:t>http://data.europa.eu/eli/dir/1992/43/oj</w:t>
        </w:r>
      </w:hyperlink>
      <w:r w:rsidRPr="00CC7F6C">
        <w:t xml:space="preserve">). </w:t>
      </w:r>
    </w:p>
  </w:footnote>
  <w:footnote w:id="12">
    <w:p w:rsidR="00E43AEC" w:rsidRPr="00CC7F6C" w:rsidP="00CC7F6C" w14:paraId="66116D45" w14:textId="0B947EE0">
      <w:pPr>
        <w:pStyle w:val="FootnoteText"/>
        <w:ind w:left="567" w:hanging="567"/>
        <w:rPr>
          <w:sz w:val="24"/>
          <w:lang w:val="hu-HU"/>
        </w:rPr>
      </w:pPr>
      <w:r w:rsidRPr="00CC7F6C">
        <w:rPr>
          <w:rStyle w:val="FootnoteReference"/>
          <w:sz w:val="24"/>
          <w:lang w:val="hu-HU"/>
        </w:rPr>
        <w:footnoteRef/>
      </w:r>
      <w:r w:rsidRPr="00CC7F6C" w:rsidR="00CC7F6C">
        <w:rPr>
          <w:sz w:val="24"/>
          <w:lang w:val="hu-HU"/>
        </w:rPr>
        <w:t xml:space="preserve"> </w:t>
      </w:r>
      <w:r w:rsidRPr="00CC7F6C" w:rsidR="00CC7F6C">
        <w:rPr>
          <w:sz w:val="24"/>
          <w:lang w:val="hu-HU"/>
        </w:rPr>
        <w:tab/>
      </w:r>
      <w:r w:rsidRPr="00CC7F6C">
        <w:rPr>
          <w:sz w:val="24"/>
          <w:lang w:val="hu-HU"/>
        </w:rPr>
        <w:t xml:space="preserve">Az Európai Parlament és a Tanács 2009/147/EK irányelve (2009. november 30.) a vadon élő madarak védelméről (HL L 20., 2010.1.26., 7. o., ELI: </w:t>
      </w:r>
      <w:hyperlink r:id="rId9" w:history="1">
        <w:r w:rsidRPr="00CC7F6C">
          <w:rPr>
            <w:rStyle w:val="Hyperlink"/>
            <w:sz w:val="24"/>
            <w:lang w:val="hu-HU"/>
          </w:rPr>
          <w:t>http://data.europa.eu/eli/dir/2009/147/oj</w:t>
        </w:r>
      </w:hyperlink>
      <w:r w:rsidRPr="00CC7F6C">
        <w:rPr>
          <w:sz w:val="24"/>
          <w:lang w:val="hu-HU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7F6C" w14:paraId="20D9820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7F6C" w14:paraId="6608B9D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7F6C" w14:paraId="30A375E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8803161">
    <w:abstractNumId w:val="9"/>
  </w:num>
  <w:num w:numId="2" w16cid:durableId="2006008229">
    <w:abstractNumId w:val="9"/>
  </w:num>
  <w:num w:numId="3" w16cid:durableId="1197817243">
    <w:abstractNumId w:val="7"/>
  </w:num>
  <w:num w:numId="4" w16cid:durableId="1836262094">
    <w:abstractNumId w:val="7"/>
  </w:num>
  <w:num w:numId="5" w16cid:durableId="1733502454">
    <w:abstractNumId w:val="6"/>
  </w:num>
  <w:num w:numId="6" w16cid:durableId="1989280963">
    <w:abstractNumId w:val="6"/>
  </w:num>
  <w:num w:numId="7" w16cid:durableId="1054425581">
    <w:abstractNumId w:val="5"/>
  </w:num>
  <w:num w:numId="8" w16cid:durableId="872036687">
    <w:abstractNumId w:val="5"/>
  </w:num>
  <w:num w:numId="9" w16cid:durableId="1562599209">
    <w:abstractNumId w:val="4"/>
  </w:num>
  <w:num w:numId="10" w16cid:durableId="452747666">
    <w:abstractNumId w:val="4"/>
  </w:num>
  <w:num w:numId="11" w16cid:durableId="563562864">
    <w:abstractNumId w:val="8"/>
  </w:num>
  <w:num w:numId="12" w16cid:durableId="4866666">
    <w:abstractNumId w:val="8"/>
  </w:num>
  <w:num w:numId="13" w16cid:durableId="1012996613">
    <w:abstractNumId w:val="3"/>
  </w:num>
  <w:num w:numId="14" w16cid:durableId="1143425552">
    <w:abstractNumId w:val="3"/>
  </w:num>
  <w:num w:numId="15" w16cid:durableId="523984705">
    <w:abstractNumId w:val="2"/>
  </w:num>
  <w:num w:numId="16" w16cid:durableId="1745495532">
    <w:abstractNumId w:val="2"/>
  </w:num>
  <w:num w:numId="17" w16cid:durableId="1814908261">
    <w:abstractNumId w:val="1"/>
  </w:num>
  <w:num w:numId="18" w16cid:durableId="76370280">
    <w:abstractNumId w:val="1"/>
  </w:num>
  <w:num w:numId="19" w16cid:durableId="752748858">
    <w:abstractNumId w:val="0"/>
  </w:num>
  <w:num w:numId="20" w16cid:durableId="1513454928">
    <w:abstractNumId w:val="0"/>
  </w:num>
  <w:num w:numId="21" w16cid:durableId="1154026454">
    <w:abstractNumId w:val="9"/>
  </w:num>
  <w:num w:numId="22" w16cid:durableId="176818989">
    <w:abstractNumId w:val="7"/>
  </w:num>
  <w:num w:numId="23" w16cid:durableId="1041049888">
    <w:abstractNumId w:val="6"/>
  </w:num>
  <w:num w:numId="24" w16cid:durableId="1308896725">
    <w:abstractNumId w:val="5"/>
  </w:num>
  <w:num w:numId="25" w16cid:durableId="577907147">
    <w:abstractNumId w:val="4"/>
  </w:num>
  <w:num w:numId="26" w16cid:durableId="1891916256">
    <w:abstractNumId w:val="8"/>
  </w:num>
  <w:num w:numId="27" w16cid:durableId="1427076702">
    <w:abstractNumId w:val="3"/>
  </w:num>
  <w:num w:numId="28" w16cid:durableId="273902019">
    <w:abstractNumId w:val="2"/>
  </w:num>
  <w:num w:numId="29" w16cid:durableId="501313218">
    <w:abstractNumId w:val="1"/>
  </w:num>
  <w:num w:numId="30" w16cid:durableId="1990598289">
    <w:abstractNumId w:val="0"/>
  </w:num>
  <w:num w:numId="31" w16cid:durableId="1167091524">
    <w:abstractNumId w:val="9"/>
  </w:num>
  <w:num w:numId="32" w16cid:durableId="963534178">
    <w:abstractNumId w:val="7"/>
  </w:num>
  <w:num w:numId="33" w16cid:durableId="1788818314">
    <w:abstractNumId w:val="6"/>
  </w:num>
  <w:num w:numId="34" w16cid:durableId="1893536409">
    <w:abstractNumId w:val="5"/>
  </w:num>
  <w:num w:numId="35" w16cid:durableId="330988005">
    <w:abstractNumId w:val="4"/>
  </w:num>
  <w:num w:numId="36" w16cid:durableId="1582366973">
    <w:abstractNumId w:val="8"/>
  </w:num>
  <w:num w:numId="37" w16cid:durableId="568347381">
    <w:abstractNumId w:val="3"/>
  </w:num>
  <w:num w:numId="38" w16cid:durableId="1542286282">
    <w:abstractNumId w:val="2"/>
  </w:num>
  <w:num w:numId="39" w16cid:durableId="825129125">
    <w:abstractNumId w:val="1"/>
  </w:num>
  <w:num w:numId="40" w16cid:durableId="1336417013">
    <w:abstractNumId w:val="0"/>
  </w:num>
  <w:num w:numId="41" w16cid:durableId="611598425">
    <w:abstractNumId w:val="10"/>
  </w:num>
  <w:num w:numId="42" w16cid:durableId="1212494378">
    <w:abstractNumId w:val="10"/>
  </w:num>
  <w:num w:numId="43" w16cid:durableId="277375630">
    <w:abstractNumId w:val="10"/>
  </w:num>
  <w:num w:numId="44" w16cid:durableId="1078793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E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FC2"/>
    <w:rsid w:val="002767FF"/>
    <w:rsid w:val="002B18FE"/>
    <w:rsid w:val="002B5493"/>
    <w:rsid w:val="00325AEA"/>
    <w:rsid w:val="00343214"/>
    <w:rsid w:val="00361C00"/>
    <w:rsid w:val="00395FA1"/>
    <w:rsid w:val="003E15D4"/>
    <w:rsid w:val="00411CCE"/>
    <w:rsid w:val="0041666E"/>
    <w:rsid w:val="00421060"/>
    <w:rsid w:val="00423FB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A43"/>
    <w:rsid w:val="00637D2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07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71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37C"/>
    <w:rsid w:val="00C23CD4"/>
    <w:rsid w:val="00C61C0C"/>
    <w:rsid w:val="00C941CB"/>
    <w:rsid w:val="00CC2357"/>
    <w:rsid w:val="00CC7F6C"/>
    <w:rsid w:val="00CF071A"/>
    <w:rsid w:val="00D058B8"/>
    <w:rsid w:val="00D56C11"/>
    <w:rsid w:val="00D834A0"/>
    <w:rsid w:val="00D872DF"/>
    <w:rsid w:val="00D91E21"/>
    <w:rsid w:val="00DA7FCD"/>
    <w:rsid w:val="00DB0673"/>
    <w:rsid w:val="00E365E1"/>
    <w:rsid w:val="00E43AE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2/2026"/>
    <w:docVar w:name="dvlangue" w:val="HU"/>
    <w:docVar w:name="dvnumam" w:val="0"/>
    <w:docVar w:name="dvpe" w:val="784.260"/>
    <w:docVar w:name="dvrapporteur" w:val="Előadó: "/>
    <w:docVar w:name="dvtitre" w:val="Az Európai Parlament 2026.  ...-i állásfoglalása a Bizottság Észak-Macedóniáról szóló, 2025. évi jelentéséről(2025/2254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E3D164"/>
  <w15:chartTrackingRefBased/>
  <w15:docId w15:val="{2528AC93-929C-46D5-BBA9-9641A43C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3AEC"/>
    <w:pPr>
      <w:spacing w:after="240"/>
      <w:ind w:left="567" w:hanging="567"/>
    </w:pPr>
  </w:style>
  <w:style w:type="paragraph" w:customStyle="1" w:styleId="EPComma">
    <w:name w:val="EPComma"/>
    <w:basedOn w:val="Normal"/>
    <w:rsid w:val="00E43AEC"/>
    <w:pPr>
      <w:spacing w:before="480" w:after="240"/>
    </w:pPr>
  </w:style>
  <w:style w:type="character" w:styleId="Hyperlink">
    <w:name w:val="Hyperlink"/>
    <w:basedOn w:val="DefaultParagraphFont"/>
    <w:rsid w:val="00E43AE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43AEC"/>
    <w:rPr>
      <w:sz w:val="24"/>
      <w:lang w:val="hu-HU"/>
    </w:rPr>
  </w:style>
  <w:style w:type="paragraph" w:styleId="Revision">
    <w:name w:val="Revision"/>
    <w:hidden/>
    <w:uiPriority w:val="99"/>
    <w:semiHidden/>
    <w:rsid w:val="00273FC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4/239(2)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4/6746/oj" TargetMode="External" /><Relationship Id="rId5" Type="http://schemas.openxmlformats.org/officeDocument/2006/relationships/hyperlink" Target="http://data.europa.eu/eli/dir/2024/1069/oj" TargetMode="External" /><Relationship Id="rId6" Type="http://schemas.openxmlformats.org/officeDocument/2006/relationships/hyperlink" Target="http://data.europa.eu/eli/dir/2011/92/oj" TargetMode="External" /><Relationship Id="rId7" Type="http://schemas.openxmlformats.org/officeDocument/2006/relationships/hyperlink" Target="http://data.europa.eu/eli/dir/2001/42/oj" TargetMode="External" /><Relationship Id="rId8" Type="http://schemas.openxmlformats.org/officeDocument/2006/relationships/hyperlink" Target="http://data.europa.eu/eli/dir/1992/43/oj" TargetMode="External" /><Relationship Id="rId9" Type="http://schemas.openxmlformats.org/officeDocument/2006/relationships/hyperlink" Target="http://data.europa.eu/eli/dir/2009/14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6316</Words>
  <Characters>47388</Characters>
  <Application>Microsoft Office Word</Application>
  <DocSecurity>0</DocSecurity>
  <Lines>831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2026-06-17T14:17:00Z</dcterms:created>
  <dcterms:modified xsi:type="dcterms:W3CDTF">2026-06-17T14:17:00Z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A10-0162/2026</vt:lpwstr>
  </property>
  <property fmtid="{D5CDD505-2E9C-101B-9397-08002B2CF9AE}" pid="4" name="&lt;Type&gt;">
    <vt:lpwstr>RR</vt:lpwstr>
  </property>
</Properties>
</file>