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4B461E" w14:textId="77777777" w:rsidTr="0010095E">
        <w:tblPrEx>
          <w:tblW w:w="9072" w:type="dxa"/>
          <w:tblLook w:val="01E0"/>
        </w:tblPrEx>
        <w:trPr>
          <w:trHeight w:hRule="exact" w:val="1418"/>
        </w:trPr>
        <w:tc>
          <w:tcPr>
            <w:tcW w:w="6804" w:type="dxa"/>
            <w:shd w:val="clear" w:color="auto" w:fill="auto"/>
            <w:vAlign w:val="center"/>
          </w:tcPr>
          <w:p w:rsidR="00751A4A" w:rsidRPr="00AD70A2" w:rsidP="0010095E" w14:paraId="60BD8245" w14:textId="77777777">
            <w:pPr>
              <w:pStyle w:val="EPName"/>
            </w:pPr>
            <w:r w:rsidRPr="00AD70A2">
              <w:t>Parlamentul European</w:t>
            </w:r>
          </w:p>
          <w:p w:rsidR="00751A4A" w:rsidRPr="00AD70A2" w:rsidP="005F1B17" w14:paraId="613B8175" w14:textId="77777777">
            <w:pPr>
              <w:pStyle w:val="EPTerm"/>
              <w:rPr>
                <w:rStyle w:val="HideTWBExt"/>
                <w:noProof w:val="0"/>
                <w:vanish w:val="0"/>
                <w:color w:val="auto"/>
              </w:rPr>
            </w:pPr>
            <w:r w:rsidRPr="00AD70A2">
              <w:t>2024</w:t>
            </w:r>
            <w:r w:rsidRPr="00AD70A2" w:rsidR="00817416">
              <w:t>-202</w:t>
            </w:r>
            <w:r w:rsidRPr="00AD70A2">
              <w:t>9</w:t>
            </w:r>
          </w:p>
        </w:tc>
        <w:tc>
          <w:tcPr>
            <w:tcW w:w="2268" w:type="dxa"/>
            <w:shd w:val="clear" w:color="auto" w:fill="auto"/>
          </w:tcPr>
          <w:p w:rsidR="00751A4A" w:rsidRPr="00AD70A2" w:rsidP="0010095E" w14:paraId="42E25107" w14:textId="77777777">
            <w:pPr>
              <w:pStyle w:val="EPLogo"/>
            </w:pPr>
            <w:r w:rsidRPr="00AD70A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D70A2" w:rsidP="004C5D52" w14:paraId="05CDDF2B" w14:textId="77777777">
      <w:pPr>
        <w:pStyle w:val="LineTop"/>
      </w:pPr>
    </w:p>
    <w:p w:rsidR="00680577" w:rsidRPr="00AD70A2" w:rsidP="00680577" w14:paraId="45F7283F" w14:textId="77777777">
      <w:pPr>
        <w:pStyle w:val="EPBodyTA1"/>
      </w:pPr>
      <w:r w:rsidRPr="00AD70A2">
        <w:t>TEXTE ADOPTATE</w:t>
      </w:r>
    </w:p>
    <w:p w:rsidR="00D058B8" w:rsidRPr="00AD70A2" w:rsidP="00D058B8" w14:paraId="35CFD87F" w14:textId="77777777">
      <w:pPr>
        <w:pStyle w:val="LineBottom"/>
      </w:pPr>
    </w:p>
    <w:p w:rsidR="004C60A1" w:rsidRPr="00AD70A2" w:rsidP="004C60A1" w14:paraId="01B1514A" w14:textId="5B3CC190">
      <w:pPr>
        <w:pStyle w:val="ATHeading1"/>
      </w:pPr>
      <w:bookmarkStart w:id="0" w:name="TANumber"/>
      <w:r w:rsidRPr="00AD70A2">
        <w:t>P10_TA(2026)0</w:t>
      </w:r>
      <w:bookmarkEnd w:id="0"/>
      <w:r w:rsidRPr="00AD70A2" w:rsidR="006923C3">
        <w:t>218</w:t>
      </w:r>
    </w:p>
    <w:p w:rsidR="004C60A1" w:rsidRPr="00AD70A2" w:rsidP="004C60A1" w14:paraId="0A882C7F" w14:textId="44DAAAFF">
      <w:pPr>
        <w:pStyle w:val="ATHeading2"/>
      </w:pPr>
      <w:bookmarkStart w:id="1" w:name="title"/>
      <w:r w:rsidRPr="00AD70A2">
        <w:t xml:space="preserve">Raportul Comisiei </w:t>
      </w:r>
      <w:r w:rsidRPr="00AD70A2" w:rsidR="00C97527">
        <w:t xml:space="preserve">pe </w:t>
      </w:r>
      <w:r w:rsidRPr="00AD70A2">
        <w:t>2025 privind Macedonia de Nord</w:t>
      </w:r>
      <w:bookmarkEnd w:id="1"/>
    </w:p>
    <w:p w:rsidR="004C60A1" w:rsidRPr="00AD70A2" w:rsidP="004C60A1" w14:paraId="251FC8DA" w14:textId="77777777">
      <w:pPr>
        <w:rPr>
          <w:i/>
          <w:vanish/>
        </w:rPr>
      </w:pPr>
      <w:r>
        <w:rPr>
          <w:i/>
        </w:rPr>
        <w:fldChar w:fldCharType="begin"/>
      </w:r>
      <w:r w:rsidRPr="00AD70A2">
        <w:rPr>
          <w:i/>
        </w:rPr>
        <w:instrText xml:space="preserve"> TC"(</w:instrText>
      </w:r>
      <w:bookmarkStart w:id="2" w:name="DocNumber"/>
      <w:r w:rsidRPr="00AD70A2">
        <w:rPr>
          <w:i/>
        </w:rPr>
        <w:instrText>A10-0162/2026</w:instrText>
      </w:r>
      <w:bookmarkEnd w:id="2"/>
      <w:r w:rsidRPr="00AD70A2">
        <w:rPr>
          <w:i/>
        </w:rPr>
        <w:instrText xml:space="preserve"> - Raportor: Thomas Waitz)"\l3 \n&gt; \* MERGEFORMAT </w:instrText>
      </w:r>
      <w:r>
        <w:rPr>
          <w:i/>
        </w:rPr>
        <w:fldChar w:fldCharType="end"/>
      </w:r>
    </w:p>
    <w:p w:rsidR="004C60A1" w:rsidRPr="00AD70A2" w:rsidP="004C60A1" w14:paraId="4F690CF4" w14:textId="77777777">
      <w:pPr>
        <w:rPr>
          <w:vanish/>
        </w:rPr>
      </w:pPr>
      <w:bookmarkStart w:id="3" w:name="Commission"/>
      <w:r w:rsidRPr="00AD70A2">
        <w:rPr>
          <w:vanish/>
        </w:rPr>
        <w:t>Comisia pentru afaceri externe</w:t>
      </w:r>
      <w:bookmarkEnd w:id="3"/>
    </w:p>
    <w:p w:rsidR="004C60A1" w:rsidRPr="00AD70A2" w:rsidP="004C60A1" w14:paraId="0C22DF52" w14:textId="77777777">
      <w:pPr>
        <w:rPr>
          <w:vanish/>
        </w:rPr>
      </w:pPr>
      <w:bookmarkStart w:id="4" w:name="PE"/>
      <w:r w:rsidRPr="00AD70A2">
        <w:rPr>
          <w:vanish/>
        </w:rPr>
        <w:t>PE784.260</w:t>
      </w:r>
      <w:bookmarkEnd w:id="4"/>
    </w:p>
    <w:p w:rsidR="004C60A1" w:rsidRPr="00AD70A2" w:rsidP="004C60A1" w14:paraId="30DE1386" w14:textId="2AF050B3">
      <w:pPr>
        <w:pStyle w:val="ATHeading3"/>
      </w:pPr>
      <w:bookmarkStart w:id="5" w:name="Sujet"/>
      <w:r w:rsidRPr="00AD70A2">
        <w:t xml:space="preserve">Rezoluția Parlamentului European din 17 iunie 2026 referitoare la raportul </w:t>
      </w:r>
      <w:r w:rsidRPr="00AD70A2" w:rsidR="00C97527">
        <w:t xml:space="preserve">Comisiei </w:t>
      </w:r>
      <w:r w:rsidRPr="00AD70A2">
        <w:t>pe 2025 privind Macedonia de Nord</w:t>
      </w:r>
      <w:bookmarkEnd w:id="5"/>
      <w:r w:rsidRPr="00AD70A2">
        <w:t xml:space="preserve"> </w:t>
      </w:r>
      <w:bookmarkStart w:id="6" w:name="References"/>
      <w:r w:rsidRPr="00AD70A2">
        <w:t>(2025/2254(INI))</w:t>
      </w:r>
      <w:bookmarkEnd w:id="6"/>
    </w:p>
    <w:p w:rsidR="00D32AED" w:rsidRPr="00AD70A2" w:rsidP="00D32AED" w14:paraId="2280E6DB" w14:textId="77777777">
      <w:pPr>
        <w:pStyle w:val="EPComma"/>
      </w:pPr>
      <w:r w:rsidRPr="00AD70A2">
        <w:rPr>
          <w:i/>
        </w:rPr>
        <w:t>Parlamentul European</w:t>
      </w:r>
      <w:r w:rsidRPr="00AD70A2">
        <w:t>,</w:t>
      </w:r>
    </w:p>
    <w:p w:rsidR="00D32AED" w:rsidRPr="00AD70A2" w:rsidP="00D32AED" w14:paraId="462525D7" w14:textId="77777777">
      <w:pPr>
        <w:pStyle w:val="NormalHanging12a"/>
      </w:pPr>
      <w:r w:rsidRPr="00AD70A2">
        <w:t>–</w:t>
      </w:r>
      <w:r w:rsidRPr="00AD70A2">
        <w:tab/>
        <w:t>având în vedere Acordul de stabilizare și de asociere dintre Comunitățile Europene și statele lor membre, pe de o parte, și Fosta Republică Iugoslavă a Macedoniei, pe de altă parte</w:t>
      </w:r>
      <w:r>
        <w:rPr>
          <w:vertAlign w:val="superscript"/>
        </w:rPr>
        <w:footnoteReference w:id="2"/>
      </w:r>
      <w:r w:rsidRPr="00AD70A2">
        <w:t>,</w:t>
      </w:r>
    </w:p>
    <w:p w:rsidR="00D32AED" w:rsidRPr="00AD70A2" w:rsidP="00D32AED" w14:paraId="1A29917C" w14:textId="77777777">
      <w:pPr>
        <w:pStyle w:val="NormalHanging12a"/>
      </w:pPr>
      <w:r w:rsidRPr="00AD70A2">
        <w:t>–</w:t>
      </w:r>
      <w:r w:rsidRPr="00AD70A2">
        <w:tab/>
        <w:t>având în vedere cererea de aderare la Uniunea Europeană depusă de Macedonia de Nord la 22 martie 2004,</w:t>
      </w:r>
    </w:p>
    <w:p w:rsidR="00D32AED" w:rsidRPr="00AD70A2" w:rsidP="00D32AED" w14:paraId="47BEF67F" w14:textId="77777777">
      <w:pPr>
        <w:pStyle w:val="NormalHanging12a"/>
      </w:pPr>
      <w:r w:rsidRPr="00AD70A2">
        <w:t>–</w:t>
      </w:r>
      <w:r w:rsidRPr="00AD70A2">
        <w:tab/>
        <w:t>având în vedere decizia Consiliului European din 16 decembrie 2005 de a acorda Macedoniei de Nord statutul de țară candidată la aderarea la UE,</w:t>
      </w:r>
    </w:p>
    <w:p w:rsidR="00D32AED" w:rsidRPr="00AD70A2" w:rsidP="00D32AED" w14:paraId="040345AD" w14:textId="77777777">
      <w:pPr>
        <w:spacing w:after="240"/>
        <w:ind w:left="567" w:hanging="567"/>
        <w:rPr>
          <w:bCs/>
          <w:iCs/>
        </w:rPr>
      </w:pPr>
      <w:r w:rsidRPr="00AD70A2">
        <w:t>–</w:t>
      </w:r>
      <w:r w:rsidRPr="00AD70A2">
        <w:tab/>
        <w:t>având în vedere Concluziile Consiliului din 18 iulie 2022 privind extinderea: Macedonia de Nord și Albania, precum și Concluziile Consiliului din 17 decembrie 2024 privind extinderea,</w:t>
      </w:r>
    </w:p>
    <w:p w:rsidR="00D32AED" w:rsidRPr="00AD70A2" w:rsidP="00D32AED" w14:paraId="0C94A1AB" w14:textId="77777777">
      <w:pPr>
        <w:pStyle w:val="NormalHanging12a"/>
      </w:pPr>
      <w:r w:rsidRPr="00AD70A2">
        <w:t>–</w:t>
      </w:r>
      <w:r w:rsidRPr="00AD70A2">
        <w:tab/>
        <w:t>având în vedere Regulamentul (UE) 2021/1529 al Parlamentului European și al Consiliului din 15 septembrie 2021 de instituire a Instrumentului de asistență pentru preaderare (IPA III)</w:t>
      </w:r>
      <w:r>
        <w:rPr>
          <w:vertAlign w:val="superscript"/>
        </w:rPr>
        <w:footnoteReference w:id="3"/>
      </w:r>
      <w:r w:rsidRPr="00AD70A2">
        <w:t>,</w:t>
      </w:r>
    </w:p>
    <w:p w:rsidR="00D32AED" w:rsidRPr="00AD70A2" w:rsidP="00D32AED" w14:paraId="3D0AC9DB" w14:textId="77777777">
      <w:pPr>
        <w:pStyle w:val="NormalHanging12a"/>
      </w:pPr>
      <w:r w:rsidRPr="00AD70A2">
        <w:t>–</w:t>
      </w:r>
      <w:r w:rsidRPr="00AD70A2">
        <w:tab/>
        <w:t>având în vedere Regulamentul (UE) 2024/1449 al Parlamentului European și al Consiliului din 14 mai 2024 privind instituirea Mecanismului de reformă și creștere pentru Balcanii de Vest</w:t>
      </w:r>
      <w:r>
        <w:rPr>
          <w:vertAlign w:val="superscript"/>
        </w:rPr>
        <w:footnoteReference w:id="4"/>
      </w:r>
      <w:r w:rsidRPr="00AD70A2">
        <w:t>,</w:t>
      </w:r>
    </w:p>
    <w:p w:rsidR="00D32AED" w:rsidRPr="00AD70A2" w:rsidP="00D32AED" w14:paraId="61EE9AE4" w14:textId="77777777">
      <w:pPr>
        <w:pStyle w:val="NormalHanging12a"/>
      </w:pPr>
      <w:r w:rsidRPr="00AD70A2">
        <w:t>–</w:t>
      </w:r>
      <w:r w:rsidRPr="00AD70A2">
        <w:tab/>
        <w:t>având în vedere Agenda de reforme a Macedoniei de Nord, aprobată de Comisie la 23 octombrie 2024 în cadrul Mecanismului de reformă și creștere pentru Balcanii de Vest,</w:t>
      </w:r>
    </w:p>
    <w:p w:rsidR="00D32AED" w:rsidRPr="00AD70A2" w:rsidP="00D32AED" w14:paraId="19B90FD9" w14:textId="77777777">
      <w:pPr>
        <w:pStyle w:val="NormalHanging12a"/>
      </w:pPr>
      <w:r w:rsidRPr="00AD70A2">
        <w:t>–</w:t>
      </w:r>
      <w:r w:rsidRPr="00AD70A2">
        <w:tab/>
        <w:t xml:space="preserve">având în vedere comunicarea Comisiei din 5 februarie 2020 intitulată „Consolidarea procesului de aderare – O perspectivă credibilă de aderare la UE pentru Balcanii de </w:t>
      </w:r>
      <w:r w:rsidRPr="00AD70A2">
        <w:t>Vest” (COM(2020)0057),</w:t>
      </w:r>
    </w:p>
    <w:p w:rsidR="00D32AED" w:rsidRPr="00AD70A2" w:rsidP="00D32AED" w14:paraId="6BA1A456" w14:textId="77777777">
      <w:pPr>
        <w:pStyle w:val="NormalHanging12a"/>
      </w:pPr>
      <w:r w:rsidRPr="00AD70A2">
        <w:t>–</w:t>
      </w:r>
      <w:r w:rsidRPr="00AD70A2">
        <w:tab/>
        <w:t>având în vedere comunicarea Comisiei din 8 noiembrie 2023 intitulată „Un nou plan de creștere pentru Balcanii de Vest” (COM(2023)0691),</w:t>
      </w:r>
    </w:p>
    <w:p w:rsidR="00D32AED" w:rsidRPr="00AD70A2" w:rsidP="00D32AED" w14:paraId="332A7366" w14:textId="77777777">
      <w:pPr>
        <w:pStyle w:val="NormalHanging12a"/>
      </w:pPr>
      <w:r w:rsidRPr="00AD70A2">
        <w:t>–</w:t>
      </w:r>
      <w:r w:rsidRPr="00AD70A2">
        <w:tab/>
        <w:t>având în vedere comunicarea Comisiei din 20 martie 2024 privind reformele și revizuirea politicilor înainte de extindere (COM(2024)0146),</w:t>
      </w:r>
    </w:p>
    <w:p w:rsidR="00D32AED" w:rsidRPr="00AD70A2" w:rsidP="00D32AED" w14:paraId="7E99E924" w14:textId="77777777">
      <w:pPr>
        <w:pStyle w:val="NormalHanging12a"/>
      </w:pPr>
      <w:r w:rsidRPr="00AD70A2">
        <w:t>–</w:t>
      </w:r>
      <w:r w:rsidRPr="00AD70A2">
        <w:tab/>
        <w:t>având în vedere comunicarea Comisiei din 8 iulie 2025 intitulată „Raportul din 2025 privind statul de drept” (COM(2025)0900), însoțită de documentul de lucru al serviciilor Comisiei intitulat „Raportul din 2025 privind statul de drept – Capitolul consacrat situației statului de drept în Macedonia de Nord” (SWD(2025)0930),</w:t>
      </w:r>
    </w:p>
    <w:p w:rsidR="00D32AED" w:rsidRPr="00AD70A2" w:rsidP="00D32AED" w14:paraId="71920927" w14:textId="77777777">
      <w:pPr>
        <w:pStyle w:val="NormalHanging12a"/>
      </w:pPr>
      <w:r w:rsidRPr="00AD70A2">
        <w:t>–</w:t>
      </w:r>
      <w:r w:rsidRPr="00AD70A2">
        <w:tab/>
        <w:t>având în vedere comunicarea Comisiei din 4 noiembrie 2025 intitulată „Comunicarea din 2025 privind politica de extindere a UE” (COM(2025)0690), însoțită de documentul de lucru al serviciilor Comisiei intitulat „Raportul pe 2025 privind Macedonia de Nord” (SWD(2025)0753),</w:t>
      </w:r>
    </w:p>
    <w:p w:rsidR="00D32AED" w:rsidRPr="00AD70A2" w:rsidP="00D32AED" w14:paraId="0A761FC6" w14:textId="77777777">
      <w:pPr>
        <w:spacing w:after="240"/>
        <w:ind w:left="567" w:hanging="567"/>
        <w:rPr>
          <w:bCs/>
          <w:iCs/>
        </w:rPr>
      </w:pPr>
      <w:r w:rsidRPr="00AD70A2">
        <w:t>–</w:t>
      </w:r>
      <w:r w:rsidRPr="00AD70A2">
        <w:tab/>
        <w:t xml:space="preserve">având în vedere Convenția europeană a drepturilor omului și jurisprudența Curții Europene a Drepturilor Omului, </w:t>
      </w:r>
    </w:p>
    <w:p w:rsidR="00D32AED" w:rsidRPr="00AD70A2" w:rsidP="00D32AED" w14:paraId="70AD931E" w14:textId="77777777">
      <w:pPr>
        <w:spacing w:after="240"/>
        <w:ind w:left="567" w:hanging="567"/>
        <w:rPr>
          <w:bCs/>
          <w:iCs/>
        </w:rPr>
      </w:pPr>
      <w:r w:rsidRPr="00AD70A2">
        <w:t>–</w:t>
      </w:r>
      <w:r w:rsidRPr="00AD70A2">
        <w:tab/>
        <w:t xml:space="preserve">având în vedere </w:t>
      </w:r>
      <w:r w:rsidRPr="00AD70A2">
        <w:t>summiturile</w:t>
      </w:r>
      <w:r w:rsidRPr="00AD70A2">
        <w:t xml:space="preserve"> UE-Balcanii de Vest, care au avut loc la Sofia, Zagreb și </w:t>
      </w:r>
      <w:r w:rsidRPr="00AD70A2">
        <w:t>Brdo</w:t>
      </w:r>
      <w:r w:rsidRPr="00AD70A2">
        <w:t xml:space="preserve"> </w:t>
      </w:r>
      <w:r w:rsidRPr="00AD70A2">
        <w:t>pri</w:t>
      </w:r>
      <w:r w:rsidRPr="00AD70A2">
        <w:t xml:space="preserve"> </w:t>
      </w:r>
      <w:r w:rsidRPr="00AD70A2">
        <w:t>Kranju</w:t>
      </w:r>
      <w:r w:rsidRPr="00AD70A2">
        <w:t xml:space="preserve"> în 2018, 2020 și, respectiv, 2021, precum și declarațiile acestora, </w:t>
      </w:r>
    </w:p>
    <w:p w:rsidR="00D32AED" w:rsidRPr="00AD70A2" w:rsidP="00D32AED" w14:paraId="4DF1DBD6" w14:textId="77777777">
      <w:pPr>
        <w:pStyle w:val="NormalHanging12a"/>
      </w:pPr>
      <w:r w:rsidRPr="00AD70A2">
        <w:t>–</w:t>
      </w:r>
      <w:r w:rsidRPr="00AD70A2">
        <w:tab/>
        <w:t xml:space="preserve">având în vedere declarația adoptată cu ocazia </w:t>
      </w:r>
      <w:r w:rsidRPr="00AD70A2">
        <w:t>summitului</w:t>
      </w:r>
      <w:r w:rsidRPr="00AD70A2">
        <w:t xml:space="preserve"> UE-Balcanii de Vest organizat la Bruxelles la 17 decembrie 2025,</w:t>
      </w:r>
    </w:p>
    <w:p w:rsidR="00D32AED" w:rsidRPr="00AD70A2" w:rsidP="00D32AED" w14:paraId="528B76FC" w14:textId="77777777">
      <w:pPr>
        <w:pStyle w:val="NormalHanging12a"/>
      </w:pPr>
      <w:r w:rsidRPr="00AD70A2">
        <w:t>–</w:t>
      </w:r>
      <w:r w:rsidRPr="00AD70A2">
        <w:tab/>
        <w:t>având în vedere raportul final din 23 septembrie 2024 al misiunii de observare a alegerilor a Biroului pentru Instituții Democratice și Drepturile Omului (ODIHR) din cadrul Organizației pentru Securitate și Cooperare în Europa (OSCE), care viza alegerile prezidențiale din 24 aprilie 2024 și alegerile parlamentare din 8 mai 2024 desfășurate în Macedonia de Nord,</w:t>
      </w:r>
    </w:p>
    <w:p w:rsidR="00D32AED" w:rsidRPr="00AD70A2" w:rsidP="00D32AED" w14:paraId="4B607E02" w14:textId="77777777">
      <w:pPr>
        <w:spacing w:after="240"/>
        <w:ind w:left="567" w:hanging="567"/>
        <w:rPr>
          <w:bCs/>
          <w:iCs/>
        </w:rPr>
      </w:pPr>
      <w:r w:rsidRPr="00AD70A2">
        <w:t>–</w:t>
      </w:r>
      <w:r w:rsidRPr="00AD70A2">
        <w:tab/>
        <w:t xml:space="preserve">având în vedere cea de a 19-a reuniune a Comisiei de stabilizare și de asociere dintre Uniunea Europeană și Republica Macedonia de Nord, </w:t>
      </w:r>
    </w:p>
    <w:p w:rsidR="00D32AED" w:rsidRPr="00AD70A2" w:rsidP="00D32AED" w14:paraId="4FCEF21C" w14:textId="77777777">
      <w:pPr>
        <w:pStyle w:val="NormalHanging12a"/>
      </w:pPr>
      <w:r w:rsidRPr="00AD70A2">
        <w:t>–</w:t>
      </w:r>
      <w:r w:rsidRPr="00AD70A2">
        <w:tab/>
        <w:t>având în vedere recomandările comune adoptate în urma celei de a 24-a reuniuni a Comisiei parlamentare mixte UE-Macedonia de Nord, care a avut loc la 26 și 27 noiembrie 2025 la Strasbourg,</w:t>
      </w:r>
    </w:p>
    <w:p w:rsidR="00D32AED" w:rsidRPr="00AD70A2" w:rsidP="00D32AED" w14:paraId="512AFEC7" w14:textId="77777777">
      <w:pPr>
        <w:pStyle w:val="NormalHanging12a"/>
      </w:pPr>
      <w:r w:rsidRPr="00AD70A2">
        <w:t>–</w:t>
      </w:r>
      <w:r w:rsidRPr="00AD70A2">
        <w:tab/>
        <w:t xml:space="preserve">având în vedere rezoluțiile sale anterioare referitoare la Macedonia de Nord, în special </w:t>
      </w:r>
      <w:bookmarkStart w:id="7" w:name="_Hlk222322460"/>
      <w:r w:rsidRPr="00AD70A2">
        <w:t>rezoluția sa din 24 octombrie 2019 referitoare la deschiderea negocierilor de aderare cu Macedonia de Nord și Albania</w:t>
      </w:r>
      <w:r>
        <w:rPr>
          <w:rStyle w:val="FootnoteReference"/>
        </w:rPr>
        <w:footnoteReference w:id="5"/>
      </w:r>
      <w:bookmarkEnd w:id="7"/>
      <w:r w:rsidRPr="00AD70A2">
        <w:t>,</w:t>
      </w:r>
    </w:p>
    <w:p w:rsidR="00D32AED" w:rsidRPr="00AD70A2" w:rsidP="00D32AED" w14:paraId="797CF3A1" w14:textId="77777777">
      <w:pPr>
        <w:spacing w:after="240"/>
        <w:ind w:left="567" w:hanging="567"/>
        <w:rPr>
          <w:bCs/>
          <w:iCs/>
        </w:rPr>
      </w:pPr>
      <w:r w:rsidRPr="00AD70A2">
        <w:t>–</w:t>
      </w:r>
      <w:r w:rsidRPr="00AD70A2">
        <w:tab/>
        <w:t>având în vedere rezoluția sa din 29 februarie 2024 referitoare la aprofundarea integrării UE în vederea extinderilor viitoare</w:t>
      </w:r>
      <w:r>
        <w:rPr>
          <w:rStyle w:val="FootnoteReference"/>
          <w:bCs/>
          <w:iCs/>
        </w:rPr>
        <w:footnoteReference w:id="6"/>
      </w:r>
      <w:r w:rsidRPr="00AD70A2">
        <w:t>,</w:t>
      </w:r>
    </w:p>
    <w:p w:rsidR="00D32AED" w:rsidRPr="00AD70A2" w:rsidP="00D32AED" w14:paraId="499B5170" w14:textId="77777777">
      <w:pPr>
        <w:spacing w:after="240"/>
        <w:ind w:left="567" w:hanging="567"/>
        <w:rPr>
          <w:bCs/>
          <w:iCs/>
        </w:rPr>
      </w:pPr>
      <w:r w:rsidRPr="00AD70A2">
        <w:t>–</w:t>
      </w:r>
      <w:r w:rsidRPr="00AD70A2">
        <w:tab/>
        <w:t xml:space="preserve">având în vedere rezoluția sa din 11 martie 2026 referitoare la strategia de extindere a </w:t>
      </w:r>
      <w:r w:rsidRPr="00AD70A2">
        <w:t>UE</w:t>
      </w:r>
      <w:r>
        <w:rPr>
          <w:rStyle w:val="FootnoteReference"/>
          <w:bCs/>
          <w:iCs/>
        </w:rPr>
        <w:footnoteReference w:id="7"/>
      </w:r>
      <w:r w:rsidRPr="00AD70A2">
        <w:t>,</w:t>
      </w:r>
    </w:p>
    <w:p w:rsidR="00D32AED" w:rsidRPr="00AD70A2" w:rsidP="00D32AED" w14:paraId="66900988" w14:textId="77777777">
      <w:pPr>
        <w:spacing w:after="240"/>
        <w:ind w:left="567" w:hanging="567"/>
        <w:rPr>
          <w:bCs/>
          <w:iCs/>
        </w:rPr>
      </w:pPr>
      <w:r w:rsidRPr="00AD70A2">
        <w:t>–</w:t>
      </w:r>
      <w:r w:rsidRPr="00AD70A2">
        <w:tab/>
        <w:t xml:space="preserve">având în vedere Acordul-cadru de la </w:t>
      </w:r>
      <w:r w:rsidRPr="00AD70A2">
        <w:t>Ohrid</w:t>
      </w:r>
      <w:r w:rsidRPr="00AD70A2">
        <w:t xml:space="preserve"> din 2001,</w:t>
      </w:r>
    </w:p>
    <w:p w:rsidR="00D32AED" w:rsidRPr="00AD70A2" w:rsidP="00D32AED" w14:paraId="3ECA8A10" w14:textId="77777777">
      <w:pPr>
        <w:pStyle w:val="NormalHanging12a"/>
      </w:pPr>
      <w:r w:rsidRPr="00AD70A2">
        <w:t>–</w:t>
      </w:r>
      <w:r w:rsidRPr="00AD70A2">
        <w:tab/>
        <w:t>având în vedere Tratatul de prietenie, bună vecinătate și cooperare dintre Bulgaria și Macedonia de Nord, semnat la 1 august 2017 și ratificat în ianuarie 2018,</w:t>
      </w:r>
    </w:p>
    <w:p w:rsidR="00D32AED" w:rsidRPr="00AD70A2" w:rsidP="00D32AED" w14:paraId="7B1F519D" w14:textId="77777777">
      <w:pPr>
        <w:pStyle w:val="NormalHanging12a"/>
      </w:pPr>
      <w:r w:rsidRPr="00AD70A2">
        <w:t>–</w:t>
      </w:r>
      <w:r w:rsidRPr="00AD70A2">
        <w:tab/>
        <w:t xml:space="preserve">având în vedere Acordul final privind soluționarea diferendelor, astfel cum sunt descrise în Rezoluțiile 817 (1993) și 845 (1993) ale Consiliului de Securitate al Organizației Națiunilor Unite, încetarea Acordului interimar din 1995 și instituirea la 17 iunie 2018 a unui parteneriat strategic între Grecia și Macedonia de Nord, cunoscut și ca Acordul de la </w:t>
      </w:r>
      <w:r w:rsidRPr="00AD70A2">
        <w:t>Prespa</w:t>
      </w:r>
      <w:r w:rsidRPr="00AD70A2">
        <w:t>,</w:t>
      </w:r>
    </w:p>
    <w:p w:rsidR="00D32AED" w:rsidRPr="00AD70A2" w:rsidP="00D32AED" w14:paraId="7B8AF103" w14:textId="77777777">
      <w:pPr>
        <w:pStyle w:val="NormalHanging12a"/>
      </w:pPr>
      <w:r w:rsidRPr="00AD70A2">
        <w:t>–</w:t>
      </w:r>
      <w:r w:rsidRPr="00AD70A2">
        <w:tab/>
        <w:t>având în vedere cea de a treia Conferință a ONU din 1977 privind standardizarea denumirilor geografice,</w:t>
      </w:r>
    </w:p>
    <w:p w:rsidR="00D32AED" w:rsidRPr="00AD70A2" w:rsidP="00D32AED" w14:paraId="1C4CFF65" w14:textId="77777777">
      <w:pPr>
        <w:pStyle w:val="NormalHanging12a"/>
      </w:pPr>
      <w:r w:rsidRPr="00AD70A2">
        <w:t>–</w:t>
      </w:r>
      <w:r w:rsidRPr="00AD70A2">
        <w:tab/>
        <w:t>având în vedere dialogul cu Macedonia de Nord ulterior procesului de monitorizare și raportul aferent adoptat la 8 ianuarie 2026 de Adunarea Parlamentară a Consiliului Europei,</w:t>
      </w:r>
    </w:p>
    <w:p w:rsidR="00D32AED" w:rsidRPr="00AD70A2" w:rsidP="00D32AED" w14:paraId="50EE908B" w14:textId="77777777">
      <w:pPr>
        <w:spacing w:after="240"/>
        <w:ind w:left="567" w:hanging="567"/>
        <w:rPr>
          <w:bCs/>
          <w:iCs/>
        </w:rPr>
      </w:pPr>
      <w:r w:rsidRPr="00AD70A2">
        <w:t>–</w:t>
      </w:r>
      <w:r w:rsidRPr="00AD70A2">
        <w:tab/>
        <w:t>având în vedere cel de al șaselea raport al Comisiei Europene împotriva Rasismului și Intoleranței privind Macedonia de Nord, adoptat la 29 iunie 2023,</w:t>
      </w:r>
    </w:p>
    <w:p w:rsidR="00D32AED" w:rsidRPr="00AD70A2" w:rsidP="00D32AED" w14:paraId="6B2C0FF1" w14:textId="77777777">
      <w:pPr>
        <w:spacing w:after="240"/>
        <w:ind w:left="567" w:hanging="567"/>
        <w:rPr>
          <w:bCs/>
          <w:iCs/>
        </w:rPr>
      </w:pPr>
      <w:r w:rsidRPr="00AD70A2">
        <w:t>–</w:t>
      </w:r>
      <w:r w:rsidRPr="00AD70A2">
        <w:tab/>
        <w:t>având în vedere documentul de lucru comun al serviciilor Comisiei intitulat „Obiective și indicatori pentru cadrul punerii în aplicare a Planului de acțiune pentru egalitatea de gen III (2021-25)” (SWD(2020)0284), care însoțește comunicarea comună a Comisiei și 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 precum și planul de punere în aplicare la nivel național pentru Macedonia de Nord,</w:t>
      </w:r>
    </w:p>
    <w:p w:rsidR="00D32AED" w:rsidRPr="00AD70A2" w:rsidP="00D32AED" w14:paraId="146C7C87" w14:textId="77777777">
      <w:pPr>
        <w:pStyle w:val="NormalHanging12a"/>
      </w:pPr>
      <w:r w:rsidRPr="00AD70A2">
        <w:t>–</w:t>
      </w:r>
      <w:r w:rsidRPr="00AD70A2">
        <w:tab/>
        <w:t>având în vedere articolul 55 din Regulamentul său de procedură,</w:t>
      </w:r>
    </w:p>
    <w:p w:rsidR="00D32AED" w:rsidRPr="00AD70A2" w:rsidP="00D32AED" w14:paraId="20F1F0C8" w14:textId="77777777">
      <w:pPr>
        <w:pStyle w:val="NormalHanging12a"/>
      </w:pPr>
      <w:r w:rsidRPr="00AD70A2">
        <w:t>–</w:t>
      </w:r>
      <w:r w:rsidRPr="00AD70A2">
        <w:tab/>
        <w:t>având în vedere raportul Comisiei pentru afaceri externe (A10-0162/2026),</w:t>
      </w:r>
    </w:p>
    <w:p w:rsidR="00D32AED" w:rsidRPr="00AD70A2" w:rsidP="00D32AED" w14:paraId="7CAEE2CC" w14:textId="77777777">
      <w:pPr>
        <w:pStyle w:val="NormalHanging12a"/>
      </w:pPr>
      <w:r w:rsidRPr="00AD70A2">
        <w:t>A.</w:t>
      </w:r>
      <w:r w:rsidRPr="00AD70A2">
        <w:tab/>
        <w:t>întrucât Macedonia de Nord este țară candidată la UE din 2005 și a finalizat cu succes procesul de examinare analitică în decembrie 2023;</w:t>
      </w:r>
    </w:p>
    <w:p w:rsidR="00D32AED" w:rsidRPr="00AD70A2" w:rsidP="00D32AED" w14:paraId="5C3FAA83" w14:textId="77777777">
      <w:pPr>
        <w:pStyle w:val="NormalHanging12a"/>
      </w:pPr>
      <w:r w:rsidRPr="00AD70A2">
        <w:t>B.</w:t>
      </w:r>
      <w:r w:rsidRPr="00AD70A2">
        <w:tab/>
        <w:t>întrucât angajamentul strategic al Macedoniei de Nord față de aderarea la UE și consensul național în rândul partidelor politice sunt de neclintit, iar sprijinul în rândul cetățenilor pentru aderarea la UE a crescut cu aproape 10 % față de 2024, situându-se la 71 %;</w:t>
      </w:r>
    </w:p>
    <w:p w:rsidR="00D32AED" w:rsidRPr="00AD70A2" w:rsidP="00D32AED" w14:paraId="117D4DEB" w14:textId="77777777">
      <w:pPr>
        <w:spacing w:after="240"/>
        <w:ind w:left="567" w:hanging="567"/>
        <w:rPr>
          <w:bCs/>
        </w:rPr>
      </w:pPr>
      <w:r w:rsidRPr="00AD70A2">
        <w:t>C.</w:t>
      </w:r>
      <w:r w:rsidRPr="00AD70A2">
        <w:tab/>
        <w:t xml:space="preserve">întrucât politica de extindere a UE rămâne o investiție strategică în pace, democrație, stabilitate și prosperitate pe continentul european, iar credibilitatea procesului de aderare depinde de condițiile stricte impuse țărilor candidate și de tratamentul corect al acestora; întrucât țările candidate trebuie să respecte pe deplin criteriile de la Copenhaga și să adere la valorile europene; întrucât problemele bilaterale ar trebui rezolvate bilateral și în conformitate cu dreptul internațional și nu ar trebui să fie utilizate pentru a bloca procesul de extindere sau pentru a-l politiza și mai mult; întrucât credibilitatea </w:t>
      </w:r>
      <w:r w:rsidRPr="00AD70A2">
        <w:t>politicii de extindere a UE depinde în mod egal de realizarea reformelor de către țările candidate și de îndeplinirea de către UE a angajamentelor sale odată ce sunt îndeplinite toate condițiile;</w:t>
      </w:r>
    </w:p>
    <w:p w:rsidR="00D32AED" w:rsidRPr="00AD70A2" w:rsidP="00D32AED" w14:paraId="0F22DA2F" w14:textId="77777777">
      <w:pPr>
        <w:spacing w:after="240"/>
        <w:ind w:left="567" w:hanging="567"/>
      </w:pPr>
      <w:r w:rsidRPr="00AD70A2">
        <w:t>D.</w:t>
      </w:r>
      <w:r w:rsidRPr="00AD70A2">
        <w:tab/>
        <w:t>întrucât Parlamentul sprijină în mod constant perspectiva europeană a Macedoniei de Nord și întreține un dialog permanent cu autoritățile, părțile interesate și societatea civilă din Macedonia de Nord, subliniind că trebuie realizate reforme susținute, trebuie respectate valorile democratice, statul de drept și drepturile omului și trebuie îndeplinite angajamentele convenite;</w:t>
      </w:r>
    </w:p>
    <w:p w:rsidR="00D32AED" w:rsidRPr="00AD70A2" w:rsidP="00D32AED" w14:paraId="4718FE30" w14:textId="77777777">
      <w:pPr>
        <w:spacing w:after="240"/>
        <w:ind w:left="567" w:hanging="567"/>
        <w:rPr>
          <w:bCs/>
          <w:iCs/>
        </w:rPr>
      </w:pPr>
      <w:r w:rsidRPr="00AD70A2">
        <w:t>E.</w:t>
      </w:r>
      <w:r w:rsidRPr="00AD70A2">
        <w:tab/>
        <w:t>întrucât emigrația continuă să afecteze Macedonia de Nord, cu riscuri pe termen lung pentru sustenabilitatea financiară a serviciilor publice esențiale;</w:t>
      </w:r>
    </w:p>
    <w:p w:rsidR="00D32AED" w:rsidRPr="00AD70A2" w:rsidP="00D32AED" w14:paraId="24DC4B5C" w14:textId="77777777">
      <w:pPr>
        <w:spacing w:after="240"/>
        <w:ind w:left="567" w:hanging="567"/>
        <w:rPr>
          <w:b/>
          <w:bCs/>
        </w:rPr>
      </w:pPr>
      <w:r w:rsidRPr="00AD70A2">
        <w:t>F.</w:t>
      </w:r>
      <w:r w:rsidRPr="00AD70A2">
        <w:tab/>
        <w:t>întrucât polarizarea politică, cooperarea limitată între partide și realizarea lentă a reformelor continuă să reducă încrederea și implicarea publicului;</w:t>
      </w:r>
    </w:p>
    <w:p w:rsidR="00D32AED" w:rsidRPr="00AD70A2" w:rsidP="00D32AED" w14:paraId="3243CCAF" w14:textId="77777777">
      <w:pPr>
        <w:spacing w:after="240"/>
        <w:ind w:left="567" w:hanging="567"/>
        <w:rPr>
          <w:iCs/>
        </w:rPr>
      </w:pPr>
      <w:r w:rsidRPr="00AD70A2">
        <w:t>G.</w:t>
      </w:r>
      <w:r w:rsidRPr="00AD70A2">
        <w:tab/>
        <w:t>întrucât, în special în contexte istorice complexe, aspectele legate de limbă, de identitate și de cultură sunt în mod inerent sensibile; întrucât introducerea acestor aspecte în discuțiile privind aderarea riscă să complice și să politizeze procesul de aderare al țărilor candidate și, prin urmare, acestea ar trebui să fie abordate cu reținere și responsabilitate, într-un mod care să păstreze integritatea politicii de extindere a UE;</w:t>
      </w:r>
    </w:p>
    <w:p w:rsidR="00D32AED" w:rsidRPr="00AD70A2" w:rsidP="00D32AED" w14:paraId="6E101B41" w14:textId="77777777">
      <w:pPr>
        <w:spacing w:after="240"/>
        <w:ind w:left="567" w:hanging="567"/>
        <w:rPr>
          <w:bCs/>
          <w:iCs/>
        </w:rPr>
      </w:pPr>
      <w:r w:rsidRPr="00AD70A2">
        <w:t>H.</w:t>
      </w:r>
      <w:r w:rsidRPr="00AD70A2">
        <w:tab/>
        <w:t>întrucât Macedonia de Nord a înregistrat progrese măsurabile, deși lente, în ceea ce privește punerea în aplicare a agendei sale de reformă, realizând în principal reforme în alte domenii decât cele legate de elementele fundamentale; întrucât punerea în aplicare a agendei de reformă contribuie la modernizarea și dezvoltarea societății, a economiei și a instituțiilor Macedoniei de Nord;</w:t>
      </w:r>
    </w:p>
    <w:p w:rsidR="00D32AED" w:rsidRPr="00AD70A2" w:rsidP="00D32AED" w14:paraId="7AF289F7" w14:textId="77777777">
      <w:pPr>
        <w:spacing w:after="240"/>
        <w:ind w:left="567" w:hanging="567"/>
        <w:rPr>
          <w:bCs/>
          <w:iCs/>
        </w:rPr>
      </w:pPr>
      <w:r w:rsidRPr="00AD70A2">
        <w:t>I.</w:t>
      </w:r>
      <w:r w:rsidRPr="00AD70A2">
        <w:tab/>
        <w:t>întrucât Consiliul a constatat că este pregătit să desfășoare o conferință interguvernamentală fără nicio altă întârziere și fără nicio decizie politică suplimentară, imediat ce Macedonia de Nord își îndeplinește angajamentul de a finaliza, în conformitate cu procedurile sale interne, modificările constituționale obligatorii;</w:t>
      </w:r>
    </w:p>
    <w:p w:rsidR="00D32AED" w:rsidRPr="00AD70A2" w:rsidP="00D32AED" w14:paraId="45A3C496" w14:textId="2FFA9D3F">
      <w:pPr>
        <w:pStyle w:val="NormalHanging12a"/>
      </w:pPr>
      <w:r w:rsidRPr="00AD70A2">
        <w:t>J.</w:t>
      </w:r>
      <w:r w:rsidRPr="00AD70A2">
        <w:tab/>
        <w:t>întrucât statele membre ale UE și-au exprimat pozițiile individuale cu privire la cadrul de negociere privind Macedonia de Nord</w:t>
      </w:r>
      <w:r w:rsidRPr="00AD70A2" w:rsidR="00AA6715">
        <w:t>;</w:t>
      </w:r>
    </w:p>
    <w:p w:rsidR="00AA6715" w:rsidRPr="00AD70A2" w:rsidP="00D32AED" w14:paraId="7936C53A" w14:textId="26F36550">
      <w:pPr>
        <w:pStyle w:val="NormalHanging12a"/>
      </w:pPr>
      <w:r w:rsidRPr="00AD70A2">
        <w:t>K</w:t>
      </w:r>
      <w:r w:rsidRPr="00AD70A2">
        <w:t>.</w:t>
      </w:r>
      <w:r w:rsidRPr="00AD70A2">
        <w:tab/>
        <w:t xml:space="preserve">întrucât găsirea unei abordări comune </w:t>
      </w:r>
      <w:r w:rsidRPr="00AD70A2" w:rsidR="0068565B">
        <w:t xml:space="preserve">în materie de </w:t>
      </w:r>
      <w:r w:rsidRPr="00AD70A2">
        <w:t xml:space="preserve">comunicare și </w:t>
      </w:r>
      <w:r w:rsidRPr="00AD70A2" w:rsidR="0068565B">
        <w:t xml:space="preserve">de raportare la </w:t>
      </w:r>
      <w:r w:rsidRPr="00AD70A2">
        <w:t>trecut și instituirea unei culturi a comemorării într-un mod respectuos pentru ambele părți reprezintă fundamentul pe care Bulgaria și Macedonia de Nord ar trebui să își construiască relațiile viitoare; întrucât relația dintre generațiile viitoare din Macedonia de Nord și din Bulgaria va reflecta procesele educaționale din cele două țări;</w:t>
      </w:r>
    </w:p>
    <w:p w:rsidR="00D32AED" w:rsidRPr="00AD70A2" w:rsidP="00D32AED" w14:paraId="36B99213" w14:textId="77777777">
      <w:pPr>
        <w:pStyle w:val="NormalHanging12a"/>
        <w:rPr>
          <w:bCs/>
          <w:iCs/>
        </w:rPr>
      </w:pPr>
      <w:r w:rsidRPr="00AD70A2">
        <w:t>1.</w:t>
      </w:r>
      <w:r w:rsidRPr="00AD70A2">
        <w:tab/>
        <w:t>își reiterează sprijinul deplin pentru angajamentul Macedoniei de Nord față de aderarea la UE, pe baza unor progrese clare și măsurabile și a unei condiționalități stricte, dar echitabile, precum și față de schimbările transformatoare necesare pentru îndeplinirea criteriilor de aderare; salută angajamentul țării față de integrarea europeană și încurajează continuarea eforturilor de promovare a reformelor aliniate la UE; reamintește totuși că progresul în negocierile de aderare depinde în continuare de realizarea unor reforme persistente și profunde și se bazează strict pe merite;</w:t>
      </w:r>
    </w:p>
    <w:p w:rsidR="00D32AED" w:rsidRPr="00AD70A2" w:rsidP="00D32AED" w14:paraId="0825A5BE" w14:textId="77777777">
      <w:pPr>
        <w:pStyle w:val="NormalHanging12a"/>
      </w:pPr>
      <w:r w:rsidRPr="00AD70A2">
        <w:t>2.</w:t>
      </w:r>
      <w:r w:rsidRPr="00AD70A2">
        <w:tab/>
        <w:t xml:space="preserve">constată cu regret lipsa progreselor de la ultimul său raport; subliniază că dinamica reformelor necesită un angajament politic revigorat și măsuri clare, inclusiv modificările constituționale necesare, o cooperare constructivă între partide și un control parlamentar </w:t>
      </w:r>
      <w:r w:rsidRPr="00AD70A2">
        <w:t>efectiv; înțelege că modificările constituționale reprezintă un subiect important, dar care creează disensiuni într-o țară care a depășit multe provocări pe calea sa către independență; subliniază, în acest sens, că toate părțile interesate politice devotate parcursului european al țării ar trebui să își unească urgent forțele pentru a realiza modificările constituționale necesare, care vor permite deschiderea primului grup tematic de negociere; reamintește că cooperarea între partide va continua să fie esențială pe tot parcursul negocierilor pentru alinierea legislației țării la acquis-</w:t>
      </w:r>
      <w:r w:rsidRPr="00AD70A2">
        <w:t>ul</w:t>
      </w:r>
      <w:r w:rsidRPr="00AD70A2">
        <w:t xml:space="preserve"> UE;</w:t>
      </w:r>
    </w:p>
    <w:p w:rsidR="00D32AED" w:rsidRPr="00AD70A2" w:rsidP="00D32AED" w14:paraId="27541E66" w14:textId="77777777">
      <w:pPr>
        <w:pStyle w:val="NormalHanging12a"/>
      </w:pPr>
      <w:r w:rsidRPr="00AD70A2">
        <w:t>3.</w:t>
      </w:r>
      <w:r w:rsidRPr="00AD70A2">
        <w:tab/>
        <w:t>salută semnalele politice recente din Macedonia de Nord cu privire la revigorarea angajamentului de a întreprinde reforme; subliniază, cu toate acestea, că țara va fi evaluată numai pe baza rezultatelor obținute în realizarea reformelor; evidențiază totuși că lipsa cooperării între partide pentru a promova modificarea constituției nu este un motiv pentru amânarea altor reforme necesare, care ar fi în beneficiul țării și al cetățenilor săi, indiferent de parcursul său european;</w:t>
      </w:r>
    </w:p>
    <w:p w:rsidR="00D32AED" w:rsidRPr="00AD70A2" w:rsidP="00D32AED" w14:paraId="611F079E" w14:textId="77777777">
      <w:pPr>
        <w:pStyle w:val="NormalHanging12a"/>
        <w:rPr>
          <w:bCs/>
          <w:iCs/>
        </w:rPr>
      </w:pPr>
      <w:r w:rsidRPr="00AD70A2">
        <w:t>4.</w:t>
      </w:r>
      <w:r w:rsidRPr="00AD70A2">
        <w:tab/>
        <w:t>invită statele membre, Consiliul și Comisia să asigure previzibilitatea și credibilitatea procesului de aderare, inclusiv pentru a menține sprijinul populației pentru aderare în țările candidate; îndeamnă în această privință Consiliul European și statele membre să transmită un semnal public și neechivoc cu privire la intenția Consiliului de a adopta rapid și necondiționat decizia pozitivă de inițiere a următoarei etape a negocierilor de aderare cu Macedonia de Nord, odată ce sunt îndeplinite condițiile stabilite în concluziile sale din 18 iulie 2022; observă că Macedonia de Nord este țara candidată care are acest statut de cel mai mult timp, fiindu-i acordat în urmă cu două decenii; evidențiază că amânarea repetată de către Consiliul European a începerii negocierilor de aderare cu Macedonia de Nord a contribuit la formarea unei percepții negative în rândul părților interesate politice din această țară și în rândul cetățenilor cu privire la perspectivele de aderare la UE;</w:t>
      </w:r>
    </w:p>
    <w:p w:rsidR="00D32AED" w:rsidRPr="00AD70A2" w:rsidP="00D32AED" w14:paraId="7E742D0F" w14:textId="77777777">
      <w:pPr>
        <w:pStyle w:val="NormalHanging12a"/>
        <w:rPr>
          <w:bCs/>
          <w:iCs/>
        </w:rPr>
      </w:pPr>
      <w:r w:rsidRPr="00AD70A2">
        <w:t>5.</w:t>
      </w:r>
      <w:r w:rsidRPr="00AD70A2">
        <w:tab/>
        <w:t>reiterează apelul Consiliului European din concluziile sale din 2024 privind Macedonia de Nord de a accelera finalizarea modificărilor constituționale; reamintește că Consiliul și-a reafirmat disponibilitatea de a convoca o altă conferință interguvernamentală, fără întârzieri suplimentare sau decizii politice suplimentare, de îndată ce Macedonia de Nord își îndeplinește angajamentul, în conformitate cu procedurile sale interne, și că, ulterior, Consiliul este pregătit să deschidă primul grup tematic de negociere cât mai curând posibil, în conformitate cu cadrul de negocieri;</w:t>
      </w:r>
    </w:p>
    <w:p w:rsidR="00D32AED" w:rsidRPr="00AD70A2" w:rsidP="00D32AED" w14:paraId="49F19188" w14:textId="77777777">
      <w:pPr>
        <w:pStyle w:val="NormalHanging12a"/>
      </w:pPr>
      <w:r w:rsidRPr="00AD70A2">
        <w:t>6.</w:t>
      </w:r>
      <w:r w:rsidRPr="00AD70A2">
        <w:tab/>
        <w:t>salută angajamentul cetățenilor Macedoniei de Nord față de integrarea în UE și sprijinul pe care îl demonstrează pentru acest proiect după două decenii de la începerea procesului; invită Comisia să prezinte propuneri clare privind modul în care să se aplice instrumentele de integrare treptată și să se garanteze punerea lor efectivă în aplicare în cât mai multe domenii posibil, inclusiv a celor din cadrul Planului de creștere pentru Balcanii de Vest, ca o completare a aderării cu drepturi depline și nu ca o măsură de înlocuire a acesteia, pentru a permite cetățenilor Macedoniei de Nord să beneficieze de integrarea în UE înainte de aderare;</w:t>
      </w:r>
    </w:p>
    <w:p w:rsidR="00D32AED" w:rsidRPr="00AD70A2" w:rsidP="00D32AED" w14:paraId="5368FCA0" w14:textId="77777777">
      <w:pPr>
        <w:pStyle w:val="NormalHanging12a"/>
      </w:pPr>
      <w:bookmarkStart w:id="8" w:name="_Hlk221624932"/>
      <w:r w:rsidRPr="00AD70A2">
        <w:t>7.</w:t>
      </w:r>
      <w:r w:rsidRPr="00AD70A2">
        <w:tab/>
        <w:t>reamintește că pentru deschiderea și închiderea negocierilor de aderare deciziile se iau prin unanimitate, acestea fiind etape politice majore în procesul de extindere; își reiterează apelul de a se întări capacitatea UE de a acționa prin procese simplificate, cum ar fi utilizarea votului cu majoritate calificată, în etapele intermediare ale procesului de extindere, în deplină conformitate cu tratatele;</w:t>
      </w:r>
    </w:p>
    <w:p w:rsidR="00D32AED" w:rsidRPr="00AD70A2" w:rsidP="00D32AED" w14:paraId="7DB06761" w14:textId="77777777">
      <w:pPr>
        <w:pStyle w:val="NormalHanging12a"/>
      </w:pPr>
      <w:r w:rsidRPr="00AD70A2">
        <w:t>8.</w:t>
      </w:r>
      <w:r w:rsidRPr="00AD70A2">
        <w:tab/>
        <w:t xml:space="preserve">reamintește că diferendele bilaterale dintre țări ar trebui soluționate prin dialog deschis, </w:t>
      </w:r>
      <w:r w:rsidRPr="00AD70A2">
        <w:t>cu implicarea societății civile și a experților, și prin cooperare loială, cu bună-credință și în conformitate cu dreptul internațional și că aceste diferende nu ar trebui instrumentalizate în procesul de aderare;</w:t>
      </w:r>
      <w:bookmarkEnd w:id="8"/>
    </w:p>
    <w:p w:rsidR="00D32AED" w:rsidRPr="00AD70A2" w:rsidP="00D32AED" w14:paraId="737AEB99" w14:textId="77777777">
      <w:pPr>
        <w:pStyle w:val="NormalHanging12a"/>
        <w:rPr>
          <w:bCs/>
          <w:iCs/>
        </w:rPr>
      </w:pPr>
      <w:r w:rsidRPr="00AD70A2">
        <w:t>9.</w:t>
      </w:r>
      <w:r w:rsidRPr="00AD70A2">
        <w:tab/>
        <w:t>subliniază că identitatea lingvistică, culturală și națională constituie fundamentul autentic al fiecărei țări și nu ar trebui pusă la îndoială de părți terțe; constată, de asemenea, că astfel de chestiuni nu ar trebui să influențeze procesul de aderare la UE, care se axează pe punerea în aplicare a acquis-ului UE și pe alinierea la valorile și principiile UE, astfel cum sunt prevăzute în criteriile de la Copenhaga și în principiile relațiilor de bună vecinătate, și care ar trebui să fie ghidat de criterii obiective și să se bazeze exclusiv pe merite; respinge cu fermitate retorica etno-naționalistă, inclusiv a actorilor politici, care instigă la diviziune și subminează relațiile de bună vecinătate și relațiile dintre grupurile etnice și diferitele comunități; invită UE să depună mai multe eforturi pentru a stopa aceste discursuri și a le neutraliza impactul;</w:t>
      </w:r>
    </w:p>
    <w:p w:rsidR="00D32AED" w:rsidRPr="00AD70A2" w:rsidP="00D32AED" w14:paraId="4DAD340F" w14:textId="77777777">
      <w:pPr>
        <w:pStyle w:val="NormalHanging12a"/>
      </w:pPr>
      <w:r w:rsidRPr="00AD70A2">
        <w:t>10.</w:t>
      </w:r>
      <w:r w:rsidRPr="00AD70A2">
        <w:tab/>
        <w:t xml:space="preserve">salută stabilitatea relațiilor interetnice din Macedonia de Nord și punerea în aplicare a Acordului-cadru de la </w:t>
      </w:r>
      <w:r w:rsidRPr="00AD70A2">
        <w:t>Ohrid</w:t>
      </w:r>
      <w:r w:rsidRPr="00AD70A2">
        <w:t>, inclusiv prin mecanisme de reprezentare echitabilă; invită toți actorii să mențină bazele stabilității și integrității țării, să promoveze relațiile, cooperarea și schimburile între grupurile etnice și minoritare și alte comunități și să evite discursurile care dezbină;</w:t>
      </w:r>
    </w:p>
    <w:p w:rsidR="00D32AED" w:rsidRPr="00AD70A2" w:rsidP="00D32AED" w14:paraId="08B2F773" w14:textId="37476FB1">
      <w:pPr>
        <w:pStyle w:val="NormalHanging12a"/>
        <w:rPr>
          <w:bCs/>
          <w:iCs/>
        </w:rPr>
      </w:pPr>
      <w:r w:rsidRPr="00AD70A2">
        <w:t>11.</w:t>
      </w:r>
      <w:r w:rsidRPr="00AD70A2">
        <w:tab/>
        <w:t xml:space="preserve">ia act de decizia Curții Constituționale a Macedoniei de Nord din 18 septembrie 2024 privind anularea anumitor dispoziții referitoare la cotele pentru reprezentanții comunității albaneze și ai altor comunități în instituțiile publice; subliniază că administrația țării ar trebui să reflecte structura multietnică a acesteia; invită autoritățile să asigure reprezentarea corespunzătoare și corectă a tuturor comunităților, în conformitate cu Acordul-cadru de la </w:t>
      </w:r>
      <w:r w:rsidRPr="00AD70A2">
        <w:t>Ohrid</w:t>
      </w:r>
      <w:r w:rsidRPr="00AD70A2">
        <w:t>, și să modifice și să pună în aplicare proiectul de lege respectiv în deplină conformitate cu avizul Comisiei de la Veneția și cu standardele UE;</w:t>
      </w:r>
      <w:r w:rsidRPr="00AD70A2" w:rsidR="006923C3">
        <w:t xml:space="preserve"> îndeamnă autoritățile din Macedonia de Nord să soluționeze rapid problema utilizării limbii albaneze la examenele de stat, pentru a asigura punerea în aplicare concretă a Acordului-cadru de la </w:t>
      </w:r>
      <w:r w:rsidRPr="00AD70A2" w:rsidR="006923C3">
        <w:t>Ohrid</w:t>
      </w:r>
      <w:r w:rsidRPr="00AD70A2" w:rsidR="006923C3">
        <w:t>, atât în litera, cât și în spiritul acestuia, și să nu prezinte în mod fals protestele studenților ca fiind motivate politic sau ca un factor de destabilizare;</w:t>
      </w:r>
    </w:p>
    <w:p w:rsidR="00D32AED" w:rsidRPr="00AD70A2" w:rsidP="00D32AED" w14:paraId="54CB9BA4" w14:textId="77777777">
      <w:pPr>
        <w:pStyle w:val="NormalHanging12a"/>
        <w:rPr>
          <w:bCs/>
          <w:iCs/>
        </w:rPr>
      </w:pPr>
      <w:r w:rsidRPr="00AD70A2">
        <w:t>12.</w:t>
      </w:r>
      <w:r w:rsidRPr="00AD70A2">
        <w:tab/>
      </w:r>
      <w:bookmarkStart w:id="9" w:name="_Hlk228954086"/>
      <w:r w:rsidRPr="00AD70A2">
        <w:t>observă că Comisia de stabilizare și de asociere a salutat recent progresul realizat în direcția îndeplinirii criteriilor de referință pentru deschiderea grupului tematic al elementelor fundamentale, și anume o foaie de parcurs pentru reforma administrației publice și o foaie de parcurs pentru capitolele legate de statul de drept; </w:t>
      </w:r>
      <w:bookmarkEnd w:id="9"/>
      <w:r w:rsidRPr="00AD70A2">
        <w:t>încurajează Macedonia de Nord să pregătească și să finalizeze toate lucrările legate de criteriile de referință necesare pentru deschiderea grupului tematic al elementelor fundamentale în cadrul unui proces de consultare transparent și semnificativ cu toate părțile interesate vizate, inclusiv cu societatea civilă;</w:t>
      </w:r>
    </w:p>
    <w:p w:rsidR="00D32AED" w:rsidRPr="00AD70A2" w:rsidP="00D32AED" w14:paraId="221ECA81" w14:textId="77777777">
      <w:pPr>
        <w:pStyle w:val="NormalHanging12a"/>
        <w:rPr>
          <w:b/>
          <w:i/>
          <w:iCs/>
        </w:rPr>
      </w:pPr>
      <w:r w:rsidRPr="00AD70A2">
        <w:rPr>
          <w:b/>
          <w:i/>
        </w:rPr>
        <w:t>Funcționarea instituțiilor democratice</w:t>
      </w:r>
    </w:p>
    <w:p w:rsidR="00D32AED" w:rsidRPr="00AD70A2" w:rsidP="00D32AED" w14:paraId="124B8E3C" w14:textId="77777777">
      <w:pPr>
        <w:pStyle w:val="NormalHanging12a"/>
      </w:pPr>
      <w:r w:rsidRPr="00AD70A2">
        <w:t>13.</w:t>
      </w:r>
      <w:r w:rsidRPr="00AD70A2">
        <w:tab/>
        <w:t xml:space="preserve">constată că, deși instituțiile democratice din Macedonia de Nord funcționează satisfăcător, persistă polarizarea politică, ceea ce întârzie reformele și numirile atât de necesare; regretă că nu s-au făcut încercări de a se adopta modificările constituționale față de care s-a angajat țara și care sunt necesare pentru deschiderea grupului tematic al elementelor fundamentale; îndeamnă toate partidele politice reprezentate în Adunarea Republicii Macedonia de Nord să renunțe la retorica de campanie înflăcărată și să lucreze împreună într-o atmosferă de înțelegere pentru a ajunge la un acord cu privire la </w:t>
      </w:r>
      <w:r w:rsidRPr="00AD70A2">
        <w:t>reformele necesare; invită instituțiile UE și statele membre să depună mai multe eforturi pentru a facilita rezolvarea acestei probleme, inclusiv prin asistență tehnică și facilitarea dialogului;</w:t>
      </w:r>
    </w:p>
    <w:p w:rsidR="00D32AED" w:rsidRPr="00AD70A2" w:rsidP="00D32AED" w14:paraId="779C3F54" w14:textId="77777777">
      <w:pPr>
        <w:pStyle w:val="NormalHanging12a"/>
      </w:pPr>
      <w:r w:rsidRPr="00AD70A2">
        <w:t>14.</w:t>
      </w:r>
      <w:r w:rsidRPr="00AD70A2">
        <w:tab/>
        <w:t>subliniază că controlul parlamentar asupra executivului ar trebui consolidat în continuare și solicită mecanisme de control întărite, inclusiv o mai mare implicare a partidelor din opoziție și a actorilor societății civile;</w:t>
      </w:r>
    </w:p>
    <w:p w:rsidR="00D32AED" w:rsidRPr="00AD70A2" w:rsidP="00D32AED" w14:paraId="403667CF" w14:textId="77777777">
      <w:pPr>
        <w:pStyle w:val="NormalHanging12a"/>
        <w:rPr>
          <w:bCs/>
          <w:iCs/>
        </w:rPr>
      </w:pPr>
      <w:r w:rsidRPr="00AD70A2">
        <w:t>15.</w:t>
      </w:r>
      <w:r w:rsidRPr="00AD70A2">
        <w:tab/>
        <w:t>apreciază că alegerile locale, desfășurate în octombrie și noiembrie 2025, au fost în general competitive și că autoritatea electorală a gestionat pregătirile electorale în mare parte în mod eficient, în pofida unor lacune procedurale; observă că se face încă așteptată o reformă electorală cuprinzătoare; își reiterează apelul pentru punerea în aplicare a recomandărilor restante formulate de OSCE/ODIHR și de Comisia de la Veneția, printr-un proces transparent, care să implice toate părțile interesate vizate; solicită, de asemenea, o mai mare transparență în ceea ce privește finanțarea și cheltuielile partidelor politice și publicitatea politică, atât în mass-media tradițională, cât și în mediul online, în special pe rețelele de socializare; invită Macedonia de Nord să elimine lacunele normative care permit influența ascunsă în alegeri, în special prin reglementarea publicității politice online, inclusiv prin identificarea obligatorie a comanditarilor, transparența cheltuielilor și publicarea corectă a criteriilor de selecție a grupurilor-țintă, precum și prin tratarea problemei legate de finanțarea de către terți și de canalele de cheltuieli destinate campaniilor; solicită o finanțare echitabilă din partea statului și un acces egal la mass-media pentru toate partidele politice și candidații independenți;</w:t>
      </w:r>
    </w:p>
    <w:p w:rsidR="00D32AED" w:rsidRPr="00AD70A2" w:rsidP="00D32AED" w14:paraId="0239586E" w14:textId="77777777">
      <w:pPr>
        <w:pStyle w:val="NormalHanging12a"/>
        <w:rPr>
          <w:bCs/>
          <w:iCs/>
        </w:rPr>
      </w:pPr>
      <w:r w:rsidRPr="00AD70A2">
        <w:t>16.</w:t>
      </w:r>
      <w:r w:rsidRPr="00AD70A2">
        <w:tab/>
        <w:t>solicită emanciparea politică reală și semnificativă a femeilor la nivel local, regional și național, pentru a le spori participarea la procesul electoral și la luarea deciziilor politice; recomandă, în plus, să se introducă cote de gen în cazul în care încă nu există, pentru a se asigura respectarea angajamentului față de echilibrul de gen, asumat în strategia națională privind egalitatea de gen;</w:t>
      </w:r>
    </w:p>
    <w:p w:rsidR="00D32AED" w:rsidRPr="00AD70A2" w:rsidP="00D32AED" w14:paraId="6D021A79" w14:textId="77777777">
      <w:pPr>
        <w:pStyle w:val="NormalHanging12a"/>
      </w:pPr>
      <w:r w:rsidRPr="00AD70A2">
        <w:t>17.</w:t>
      </w:r>
      <w:r w:rsidRPr="00AD70A2">
        <w:tab/>
        <w:t>recunoaște că s-au înregistrat progrese moderate în ceea ce privește reforma administrației publice și transformarea digitală, care au condus la îmbunătățirea transparenței și a eficienței sectorului public, inclusiv prin adoptarea recentă a unor acte legislative privind identificarea electronică în conformitate cu normele UE; constată, cu toate acestea, că sunt necesare eforturi suplimentare, inclusiv reforma autonomiei locale și punerea în aplicare mai fermă a strategiei administrației publice pentru perioada 2023-2030, care ar permite autorităților locale să ofere servicii mai bune cetățenilor, să dezvolte și să pună în aplicare strategii de dezvoltare locală și regională și să asigure capacitatea administrativă necesară;</w:t>
      </w:r>
    </w:p>
    <w:p w:rsidR="00D32AED" w:rsidRPr="00AD70A2" w:rsidP="00D32AED" w14:paraId="04BE7BBD" w14:textId="77777777">
      <w:pPr>
        <w:pStyle w:val="NormalHanging12a"/>
        <w:rPr>
          <w:bCs/>
        </w:rPr>
      </w:pPr>
      <w:r w:rsidRPr="00AD70A2">
        <w:t>18.</w:t>
      </w:r>
      <w:r w:rsidRPr="00AD70A2">
        <w:tab/>
        <w:t>cere cu insistență să se continue depolitizarea administrației publice și punerea în aplicare deplină a procedurilor de recrutare și de selectare a personalului de conducere de nivel superior bazate pe merit, în conformitate cu standardele UE;</w:t>
      </w:r>
    </w:p>
    <w:p w:rsidR="00D32AED" w:rsidRPr="00AD70A2" w:rsidP="00D32AED" w14:paraId="1A9DBBBB" w14:textId="77777777">
      <w:pPr>
        <w:pStyle w:val="NormalHanging12a"/>
        <w:rPr>
          <w:bCs/>
        </w:rPr>
      </w:pPr>
      <w:r w:rsidRPr="00AD70A2">
        <w:t>19.</w:t>
      </w:r>
      <w:r w:rsidRPr="00AD70A2">
        <w:tab/>
        <w:t>consideră binevenită numirea recentă a noului Avocat al Poporului; apreciază formatul audierilor publice pentru numirile în posturile publice, care sporește transparența și controlul public; își exprimă totuși îngrijorarea cu privire la semnele de favoritism politic în procesul de numire a membrilor Comisiei pentru prevenirea și protecția împotriva discriminării; accentuează că organismele de promovare a egalității trebuie să acționeze în mod independent și fără ingerințe politice;</w:t>
      </w:r>
    </w:p>
    <w:p w:rsidR="00D32AED" w:rsidRPr="00AD70A2" w:rsidP="00D32AED" w14:paraId="3037C602" w14:textId="77777777">
      <w:pPr>
        <w:pStyle w:val="NormalHanging12a"/>
        <w:rPr>
          <w:b/>
        </w:rPr>
      </w:pPr>
      <w:r w:rsidRPr="00AD70A2">
        <w:rPr>
          <w:b/>
          <w:i/>
        </w:rPr>
        <w:t>Mass-media și societatea civilă</w:t>
      </w:r>
    </w:p>
    <w:p w:rsidR="00D32AED" w:rsidRPr="00AD70A2" w:rsidP="00D32AED" w14:paraId="66B402BB" w14:textId="77777777">
      <w:pPr>
        <w:pStyle w:val="NormalHanging12a"/>
        <w:rPr>
          <w:bCs/>
          <w:iCs/>
        </w:rPr>
      </w:pPr>
      <w:r w:rsidRPr="00AD70A2">
        <w:t>20.</w:t>
      </w:r>
      <w:r w:rsidRPr="00AD70A2">
        <w:tab/>
        <w:t>salută faptul că Macedonia de Nord oferă garanții juridice adecvate privind libertatea de exprimare; constată, cu toate acestea, necesitatea unor îmbunătățiri suplimentare în sensul creării unui mediu cu adevărat propice pentru o mass-media liberă și independentă; invită mass-media să dea dovadă de reținere în publicarea discursurilor care pot submina relațiile dintre grupurile și comunitățile etnice; subliniază că platformele sociale trebuie să îmbunătățească moderarea conținutului, în special în legătură cu discursurile de incitare la ură pe bază etnică; încurajează, de asemenea, dezvoltarea mass-mediei private la nivel local și regional;</w:t>
      </w:r>
    </w:p>
    <w:p w:rsidR="00D32AED" w:rsidRPr="00AD70A2" w:rsidP="00D32AED" w14:paraId="22D9AF21" w14:textId="77777777">
      <w:pPr>
        <w:pStyle w:val="NormalHanging12a"/>
        <w:rPr>
          <w:bCs/>
          <w:iCs/>
        </w:rPr>
      </w:pPr>
      <w:r w:rsidRPr="00AD70A2">
        <w:t>21.</w:t>
      </w:r>
      <w:r w:rsidRPr="00AD70A2">
        <w:tab/>
        <w:t>observă că punerea în aplicare efectivă a dispozițiilor juridice privind protecția jurnaliștilor continuă să se confrunte cu provocări, în special în cazurile de hărțuire online și de violență bazată pe gen care vizează jurnalistele; este îngrijorat că lipsa unei legislații specifice de combatere a acțiunilor strategice în justiție împotriva mobilizării publice (SLAPP) și cunoașterea limitată a acestei probleme în rândul judecătorilor, al avocaților și al jurnaliștilor sunt obstacole în calea unei protecții efective a jurnaliștilor și a criticilor publici de acțiunile SLAPP; evidențiază că trebuie adoptate acte legislative naționale care să fie aliniate la Directiva privind combaterea SLAPP</w:t>
      </w:r>
      <w:r>
        <w:rPr>
          <w:rStyle w:val="FootnoteReference"/>
          <w:bCs/>
          <w:iCs/>
        </w:rPr>
        <w:footnoteReference w:id="8"/>
      </w:r>
      <w:r w:rsidRPr="00AD70A2">
        <w:t xml:space="preserve">; își exprimă îngrijorarea cu privire la insecuritatea socioeconomică a lucrătorilor din mass-media, în special a femeilor care lucrează în acest domeniu; invită autoritățile de aplicare a legii și sistemul judiciar să asigure desfășurarea unor anchete și aplicarea unor sancțiuni eficace în cazurile de atac, amenințare, hărțuire și presiune împotriva jurnaliștilor, axându-se în special pe jurnaliste; îndeamnă autoritățile competente să prevină în mod </w:t>
      </w:r>
      <w:r w:rsidRPr="00AD70A2">
        <w:t>proactiv</w:t>
      </w:r>
      <w:r w:rsidRPr="00AD70A2">
        <w:t xml:space="preserve"> și să urmărească penal în mod sistematic toate cazurile de discursuri de incitare la ură, toate infracțiunile motivate de ură și toate cazurile de intimidare, să ancheteze temeinic atacurile conexe și să asigure siguranța și securitatea persoanelor vizate, cum ar fi jurnaliștii și persoanele care aparțin minorităților, comunităților și altor grupuri vulnerabile;</w:t>
      </w:r>
    </w:p>
    <w:p w:rsidR="00D32AED" w:rsidRPr="00AD70A2" w:rsidP="00D32AED" w14:paraId="14204DBF" w14:textId="77777777">
      <w:pPr>
        <w:pStyle w:val="NormalHanging12a"/>
        <w:rPr>
          <w:bCs/>
          <w:iCs/>
        </w:rPr>
      </w:pPr>
      <w:r w:rsidRPr="00AD70A2">
        <w:t>22.</w:t>
      </w:r>
      <w:r w:rsidRPr="00AD70A2">
        <w:tab/>
        <w:t>constată cu îngrijorare concentrarea tot mai mare a proprietății asupra mass-mediei și existența unui risc de control ascuns prin intermediari; solicită garanții mai puternice pentru independența editorială, transparența publicității de stat și protecția jurnaliștilor; evidențiază că este nevoie urgentă de o reformă efectivă a mass-mediei și de adoptarea unor măsuri eficace de combatere a concentrării, inclusiv privind transparența deplină a structurii de proprietate a mass-mediei, și alocarea de fonduri publice pentru publicitatea de stat, precum și de respectarea legislației în domeniul concurenței, al ajutoarelor de stat și al drepturilor de proprietate intelectuală; subliniază că pluralismul mass-mediei este esențial pentru reziliența democratică; evidențiază necesitatea de a consolida independența și capacitatea autorității de reglementare în domeniul mass-mediei, a serviciului public de radiodifuziune și a autorității de reglementare în domeniul comunicațiilor electronice;</w:t>
      </w:r>
    </w:p>
    <w:p w:rsidR="00D32AED" w:rsidRPr="00AD70A2" w:rsidP="00D32AED" w14:paraId="36535A2D" w14:textId="77777777">
      <w:pPr>
        <w:pStyle w:val="NormalHanging12a"/>
        <w:rPr>
          <w:bCs/>
          <w:iCs/>
        </w:rPr>
      </w:pPr>
      <w:r w:rsidRPr="00AD70A2">
        <w:t>23.</w:t>
      </w:r>
      <w:r w:rsidRPr="00AD70A2">
        <w:tab/>
        <w:t xml:space="preserve">este îngrijorat de achiziția strategică a principalelor posturi de televiziune și portaluri de știri de către administratori de mass-media din Ungaria, ceea ce permite difuzarea </w:t>
      </w:r>
      <w:r w:rsidRPr="00AD70A2">
        <w:t>discursurilor antieuropene către publicul din Macedonia de Nord;</w:t>
      </w:r>
    </w:p>
    <w:p w:rsidR="00D32AED" w:rsidRPr="00AD70A2" w:rsidP="00D32AED" w14:paraId="36B73642" w14:textId="77777777">
      <w:pPr>
        <w:pStyle w:val="NormalHanging12a"/>
        <w:rPr>
          <w:bCs/>
          <w:iCs/>
        </w:rPr>
      </w:pPr>
      <w:r w:rsidRPr="00AD70A2">
        <w:t>24.</w:t>
      </w:r>
      <w:r w:rsidRPr="00AD70A2">
        <w:tab/>
        <w:t>își exprimă îngrijorarea profundă cu privire la încercările persistente de a denatura dezbaterea publică și de a submina încrederea în instituțiile democratice și în traseul european al țării prin manipularea coordonată a mediului de informare, inclusiv prin operațiuni de influență ascunsă și prin discursuri răuvoitoare; invită UE și statele membre să depună și mai multe eforturi pentru a ajuta Macedonia de Nord să combată ingerințele străine răuvoitoare în această țară, inclusiv prin asistență tehnică; accentuează că influența străină răuvoitoare slăbește credibilitatea instituțională și polarizează societatea; invită autoritățile să stabilească un cadru cuprinzător și instituționalizat pentru reziliența democratică, cu responsabilități clar stabilite, cu evaluări periodice ale riscurilor și cu rapoarte publice, în conformitate cu evoluția standardelor Uniunii pentru protejarea proceselor democratice; solicită, de asemenea, îmbunătățirea culturii mediatice și digitale, promovarea verificării faptelor, combaterea discursurilor de incitare la ură în toate formele sale și consolidarea rezilienței la amenințările hibride care pun sub semnul întrebării valorile democratice și obiectivul țării de a adera la UE;</w:t>
      </w:r>
    </w:p>
    <w:p w:rsidR="00D32AED" w:rsidRPr="00AD70A2" w:rsidP="00D32AED" w14:paraId="2DA94783" w14:textId="77777777">
      <w:pPr>
        <w:pStyle w:val="NormalHanging12a"/>
        <w:rPr>
          <w:bCs/>
          <w:iCs/>
        </w:rPr>
      </w:pPr>
      <w:r w:rsidRPr="00AD70A2">
        <w:t>25.</w:t>
      </w:r>
      <w:r w:rsidRPr="00AD70A2">
        <w:tab/>
        <w:t>observă că absența perspectivelor de aderare la UE din ultimii ani le-a oferit actorilor autoritari posibilitatea de a se implica mai mult în afacerile țării; încurajează, prin urmare, o comunicare publică transparentă și bazată pe date cu privire la reformele legate de UE și la procesul de aderare, pentru a menține sprijinul larg al societății și a contracara dezinformarea; îndeamnă în această privință Comisia să comunice mai eficace cu publicul macedonean cu privire la absența persistentă a voinței politice de a se promova reformele care ar soluționa problemele ce îi afectează pe toți macedonenii;</w:t>
      </w:r>
    </w:p>
    <w:p w:rsidR="00D32AED" w:rsidRPr="00AD70A2" w:rsidP="00D32AED" w14:paraId="522935A5" w14:textId="77777777">
      <w:pPr>
        <w:pStyle w:val="NormalHanging12a"/>
      </w:pPr>
      <w:r w:rsidRPr="00AD70A2">
        <w:t>26.</w:t>
      </w:r>
      <w:r w:rsidRPr="00AD70A2">
        <w:tab/>
        <w:t>salută mediul general favorabil pentru organizațiile societății civile, subliniind, în același timp, că societatea civilă trebuie implicată într-o măsură mai mare în domeniile prioritare și în consultările publice; ia act de reactivarea Consiliului pentru cooperarea dintre guvern și societatea civilă; solicită o finanțare publică transparentă pentru organizațiile societății civile și îmbunătățirea legislației și alinierea acesteia la standardele internaționale, cum ar fi recomandările Comisiei de la Veneția și ale Comisiei Europene împotriva Rasismului și Intoleranței; subliniază că este important să se asigure consultări incluzive cu organizațiile societății civile și transparența relațiilor cu acestea; invită Comisia să sprijine organizațiile societății civile care monitorizează temeinic și, dacă este necesar, critică punerea în aplicare a reformelor legate de UE;</w:t>
      </w:r>
    </w:p>
    <w:p w:rsidR="00D32AED" w:rsidRPr="00AD70A2" w:rsidP="00D32AED" w14:paraId="11FBD89B" w14:textId="77777777">
      <w:pPr>
        <w:pStyle w:val="NormalHanging12a"/>
        <w:rPr>
          <w:b/>
          <w:i/>
          <w:iCs/>
        </w:rPr>
      </w:pPr>
      <w:r w:rsidRPr="00AD70A2">
        <w:rPr>
          <w:b/>
          <w:i/>
        </w:rPr>
        <w:t>Drepturile fundamentale</w:t>
      </w:r>
    </w:p>
    <w:p w:rsidR="00D32AED" w:rsidRPr="00AD70A2" w:rsidP="00D32AED" w14:paraId="05B167BD" w14:textId="77777777">
      <w:pPr>
        <w:pStyle w:val="NormalHanging12a"/>
        <w:rPr>
          <w:bCs/>
          <w:iCs/>
        </w:rPr>
      </w:pPr>
      <w:r w:rsidRPr="00AD70A2">
        <w:t>27.</w:t>
      </w:r>
      <w:r w:rsidRPr="00AD70A2">
        <w:tab/>
        <w:t>subliniază obligația tuturor statelor membre ale Consiliului Europei de a pune rapid în aplicare hotărârile pendinte ale Curții Europene a Drepturilor Omului; subliniază că orice modificare legislativă ar trebui să respecte standardele și recomandările internaționale ale Comisiei de la Veneția și să fie în conformitate cu Recomandarea Comisiei Europene împotriva Rasismului și Intoleranței, inclusiv cu Legea privind asociațiile și fundațiile și cu punerea în aplicare a hotărârilor judecătorești privind înregistrarea asociațiilor;</w:t>
      </w:r>
    </w:p>
    <w:p w:rsidR="00D32AED" w:rsidRPr="00AD70A2" w:rsidP="00D32AED" w14:paraId="01E55E55" w14:textId="77777777">
      <w:pPr>
        <w:pStyle w:val="NormalHanging12a"/>
        <w:rPr>
          <w:bCs/>
          <w:iCs/>
        </w:rPr>
      </w:pPr>
      <w:r w:rsidRPr="00AD70A2">
        <w:t>28.</w:t>
      </w:r>
      <w:r w:rsidRPr="00AD70A2">
        <w:tab/>
        <w:t xml:space="preserve">constată că, în mare măsură, cadrul juridic general pentru drepturile fundamentale este în conformitate cu standardele europene; invită, cu toate acestea, guvernul Macedoniei de Nord să consolideze punerea sa în practică, în special prin îmbunătățirea cadrului instituțional pentru egalitatea de gen și prin asigurarea unor mecanisme eficace de protecție împotriva violenței de gen și a violenței domestice, a accesului la servicii de </w:t>
      </w:r>
      <w:r w:rsidRPr="00AD70A2">
        <w:t>sănătate și a alocării de resurse suficiente serviciilor de sprijinire a victimelor; solicită adoptarea finală a Legii privind egalitatea de gen, a Legii privind relațiile de muncă și a Legii privind prevenirea și protecția împotriva hărțuirii la locul de muncă, în conformitate cu standardele internaționale și cu acquis-</w:t>
      </w:r>
      <w:r w:rsidRPr="00AD70A2">
        <w:t>ul</w:t>
      </w:r>
      <w:r w:rsidRPr="00AD70A2">
        <w:t xml:space="preserve"> UE, pentru a îmbunătăți calitatea vieții femeilor prin abordarea aspectelor-cheie legate de egalitatea de gen, în special în ceea ce privește accesul la viața politică, economică și socială;</w:t>
      </w:r>
    </w:p>
    <w:p w:rsidR="00D32AED" w:rsidRPr="00AD70A2" w:rsidP="00D32AED" w14:paraId="309465CD" w14:textId="509AF15F">
      <w:pPr>
        <w:pStyle w:val="NormalHanging12a"/>
        <w:rPr>
          <w:bCs/>
          <w:iCs/>
        </w:rPr>
      </w:pPr>
      <w:r w:rsidRPr="00AD70A2">
        <w:t>29.</w:t>
      </w:r>
      <w:bookmarkStart w:id="10" w:name="_Hlk228277705"/>
      <w:r w:rsidRPr="00AD70A2">
        <w:tab/>
        <w:t>consideră binevenite modificările din 2023 aduse Codului penal, care aliniază legislația internă la Convenția de la Istanbul</w:t>
      </w:r>
      <w:bookmarkEnd w:id="10"/>
      <w:r w:rsidRPr="00AD70A2">
        <w:t>; observă în special tranziția către o definiție a violului bazată pe consimțământ și recunoașterea explicită a violenței de gen; salută, de asemenea, modificările din 2026 care consolidează urmărirea penală a violenței domestice și a violenței de gen, precum și incriminarea diseminării fără consimțământ a imaginilor intime; consideră că aceste reforme reprezintă o aliniere semnificativă la standardele europene;</w:t>
      </w:r>
    </w:p>
    <w:p w:rsidR="00D32AED" w:rsidRPr="00AD70A2" w:rsidP="00D32AED" w14:paraId="48123D64" w14:textId="77777777">
      <w:pPr>
        <w:pStyle w:val="NormalHanging12a"/>
        <w:rPr>
          <w:bCs/>
          <w:iCs/>
        </w:rPr>
      </w:pPr>
      <w:r w:rsidRPr="00AD70A2">
        <w:t>30.</w:t>
      </w:r>
      <w:r w:rsidRPr="00AD70A2">
        <w:tab/>
        <w:t>subliniază că este necesar să se depună în continuare eforturi pentru a îmbunătăți situația comunităților nemajoritare, inclusiv în ceea ce privește utilizarea limbilor, precum și pentru a combate discriminarea și a promova diversitatea; salută progresele înregistrate în ceea ce privește planul de acțiune privind protecția drepturilor persoanelor care aparțin minorităților sau comunităților și încurajează Macedonia de Nord să îl finalizeze într-un mod incluziv, stabilind criterii de referință clare, indicatori măsurabili și un mecanism de monitorizare specific, cu scopul de a garanta o protecție eficace împotriva discriminării și de a îmbunătăți drepturile fundamentale ale tuturor cetățenilor Macedoniei de Nord; îndeamnă actorii politici relevanți să evite utilizarea unui limbaj polarizant și escaladator care ar putea afecta relațiile dintre comunități și minorități;</w:t>
      </w:r>
      <w:bookmarkStart w:id="11" w:name="_Hlk224741163"/>
    </w:p>
    <w:p w:rsidR="00D32AED" w:rsidRPr="00AD70A2" w:rsidP="00D32AED" w14:paraId="7ECA0FF3" w14:textId="77777777">
      <w:pPr>
        <w:pStyle w:val="NormalHanging12a"/>
        <w:rPr>
          <w:bCs/>
          <w:iCs/>
        </w:rPr>
      </w:pPr>
      <w:r w:rsidRPr="00AD70A2">
        <w:t>31.</w:t>
      </w:r>
      <w:r w:rsidRPr="00AD70A2">
        <w:tab/>
        <w:t>accentuează că diversitatea etnică și culturală a Macedoniei de Nord constituie un avantaj de neprețuit și ar trebui transformată într-o forță pentru a consolida și mai mult guvernanța democratică și incluzivă și a accelera parcursul Macedoniei de Nord către aderarea la UE; încurajează Macedonia de Nord să includă toate comunitățile sale etnice în constituție, să promoveze incluziunea, să protejeze diversitatea, să combată discriminarea și să consolideze coeziunea socială în conformitate cu valorile europene și cu principiile democratice și să garanteze pe deplin drepturi și oportunități egale pentru toți;</w:t>
      </w:r>
    </w:p>
    <w:bookmarkEnd w:id="11"/>
    <w:p w:rsidR="00D32AED" w:rsidRPr="00AD70A2" w:rsidP="00D32AED" w14:paraId="28D2C953" w14:textId="77777777">
      <w:pPr>
        <w:pStyle w:val="NormalHanging12a"/>
        <w:rPr>
          <w:bCs/>
          <w:iCs/>
        </w:rPr>
      </w:pPr>
      <w:r w:rsidRPr="00AD70A2">
        <w:t>32.</w:t>
      </w:r>
      <w:r w:rsidRPr="00AD70A2">
        <w:tab/>
        <w:t xml:space="preserve">solicită intensificarea eforturilor de combatere a excluziunii socioeconomice persistente a romilor; îndeamnă autoritățile să asigure punerea în aplicare efectivă a strategiei pentru incluziunea romilor, cu indicatori măsurabili, o monitorizare instituțională adecvată și o alocare bugetară adecvată; își exprimă îngrijorarea cu privire la practica continuă a segregării școlare în anumite municipalități și solicită măsuri </w:t>
      </w:r>
      <w:r w:rsidRPr="00AD70A2">
        <w:t>proactive</w:t>
      </w:r>
      <w:r w:rsidRPr="00AD70A2">
        <w:t xml:space="preserve"> de desegregare;</w:t>
      </w:r>
    </w:p>
    <w:p w:rsidR="00D32AED" w:rsidRPr="00AD70A2" w:rsidP="00D32AED" w14:paraId="39824C4B" w14:textId="77777777">
      <w:pPr>
        <w:pStyle w:val="NormalHanging12a"/>
        <w:tabs>
          <w:tab w:val="left" w:pos="1977"/>
        </w:tabs>
        <w:rPr>
          <w:bCs/>
          <w:iCs/>
        </w:rPr>
      </w:pPr>
      <w:r w:rsidRPr="00AD70A2">
        <w:t>33.</w:t>
      </w:r>
      <w:r w:rsidRPr="00AD70A2">
        <w:tab/>
        <w:t>constată cu îngrijorare că nu s-au înregistrat aproape deloc progrese în ceea ce privește reducerea barierelor cu care se confruntă persoanele cu dizabilități în majoritatea aspectelor vieții; încurajează să se depună mai multe eforturi pentru a finaliza cadrul juridic și instituțional privind drepturile persoanelor cu dizabilități și să se îmbunătățească punerea în aplicare și asigurarea respectării legii; observă provocările structurale persistente în activitatea Comisiei pentru prevenirea și protecția împotriva discriminării din Macedonia de Nord, din cauza resurselor insuficiente;</w:t>
      </w:r>
    </w:p>
    <w:p w:rsidR="00D32AED" w:rsidRPr="00AD70A2" w:rsidP="00D32AED" w14:paraId="56B5BC9A" w14:textId="77777777">
      <w:pPr>
        <w:pStyle w:val="NormalHanging12a"/>
        <w:rPr>
          <w:bCs/>
          <w:iCs/>
        </w:rPr>
      </w:pPr>
      <w:r w:rsidRPr="00AD70A2">
        <w:t>34.</w:t>
      </w:r>
      <w:r w:rsidRPr="00AD70A2">
        <w:tab/>
        <w:t xml:space="preserve">cere îmbunătățirea protecției juridice a drepturilor persoanelor LGBTIQ+ și combaterea </w:t>
      </w:r>
      <w:r w:rsidRPr="00AD70A2">
        <w:t>discursurilor de incitare la ură împotriva comunității, inclusiv a celor online; este profund îngrijorat de exacerbarea urii împotriva persoanelor LGBTIQ+ și a organizațiilor societății civile din Macedonia de Nord;</w:t>
      </w:r>
    </w:p>
    <w:p w:rsidR="00D32AED" w:rsidRPr="00AD70A2" w:rsidP="00D32AED" w14:paraId="1511343E" w14:textId="77777777">
      <w:pPr>
        <w:pStyle w:val="NormalHanging12a"/>
        <w:rPr>
          <w:bCs/>
          <w:iCs/>
        </w:rPr>
      </w:pPr>
      <w:r w:rsidRPr="00AD70A2">
        <w:t>35.</w:t>
      </w:r>
      <w:r w:rsidRPr="00AD70A2">
        <w:tab/>
        <w:t>îndeamnă toți actorii politici să modifice Legea privind registrul de stare civilă, să asigure recunoașterea juridică rapidă, accesibilă și neîngrădită a genului și să stabilească o procedură juridică transparentă în conformitate cu standardele internaționale și cu hotărârea respectivă din 2019 a Curții Europene a Drepturilor Omului;</w:t>
      </w:r>
    </w:p>
    <w:p w:rsidR="00D32AED" w:rsidRPr="00AD70A2" w:rsidP="00D32AED" w14:paraId="500DEF43" w14:textId="77777777">
      <w:pPr>
        <w:pStyle w:val="NormalHanging12a"/>
        <w:rPr>
          <w:bCs/>
          <w:iCs/>
        </w:rPr>
      </w:pPr>
      <w:r w:rsidRPr="00AD70A2">
        <w:t>36.</w:t>
      </w:r>
      <w:r w:rsidRPr="00AD70A2">
        <w:tab/>
        <w:t>îndeamnă autoritățile să restabilească terminologia esențială de combatere a discriminării în Legea privind învățământul primar și solicită reintroducerea dispozițiilor privind raportarea obligatorie a violenței în școli, pentru a proteja grupurile vulnerabile;</w:t>
      </w:r>
    </w:p>
    <w:p w:rsidR="00D32AED" w:rsidRPr="00AD70A2" w:rsidP="00D32AED" w14:paraId="41A0B4C8" w14:textId="77777777">
      <w:pPr>
        <w:pStyle w:val="NormalHanging12a"/>
        <w:rPr>
          <w:bCs/>
          <w:iCs/>
        </w:rPr>
      </w:pPr>
      <w:r w:rsidRPr="00AD70A2">
        <w:t>37.</w:t>
      </w:r>
      <w:r w:rsidRPr="00AD70A2">
        <w:tab/>
        <w:t>constată, cu îngrijorare, condițiile de viață din închisorile din Macedonia de Nord, care trebuie îmbunătățite urgent;</w:t>
      </w:r>
    </w:p>
    <w:p w:rsidR="00D32AED" w:rsidRPr="00AD70A2" w:rsidP="00D32AED" w14:paraId="4D443585" w14:textId="77777777">
      <w:pPr>
        <w:pStyle w:val="NormalHanging12a"/>
      </w:pPr>
      <w:r w:rsidRPr="00AD70A2">
        <w:t>38.</w:t>
      </w:r>
      <w:r w:rsidRPr="00AD70A2">
        <w:tab/>
        <w:t xml:space="preserve">salută cooperarea consolidată în ceea ce privește gestionarea frontierelor și invită Macedonia de Nord să consolideze gestionarea migrației, să combată rețelele infracționale de persoane care introduc ilegal </w:t>
      </w:r>
      <w:r w:rsidRPr="00AD70A2">
        <w:t>migranți</w:t>
      </w:r>
      <w:r w:rsidRPr="00AD70A2">
        <w:t>, de traficanți de persoane și de alte tipuri de criminalitate organizată, să îmbunătățească alinierea la acquis-</w:t>
      </w:r>
      <w:r w:rsidRPr="00AD70A2">
        <w:t>ul</w:t>
      </w:r>
      <w:r w:rsidRPr="00AD70A2">
        <w:t xml:space="preserve"> UE și să abordeze provocările persistente în gestionarea migrației legale și ilegale, cu respectarea deplină a drepturilor omului și a dreptului internațional; subliniază că trebuie prevenite returnările ilegale la frontierele Macedoniei de Nord;</w:t>
      </w:r>
    </w:p>
    <w:p w:rsidR="00AA6715" w:rsidRPr="00AD70A2" w:rsidP="00D32AED" w14:paraId="53F7176E" w14:textId="6003E7CA">
      <w:pPr>
        <w:pStyle w:val="NormalHanging12a"/>
        <w:rPr>
          <w:bCs/>
          <w:iCs/>
        </w:rPr>
      </w:pPr>
      <w:r w:rsidRPr="00AD70A2">
        <w:rPr>
          <w:bCs/>
          <w:iCs/>
        </w:rPr>
        <w:t>39</w:t>
      </w:r>
      <w:r w:rsidRPr="00AD70A2">
        <w:rPr>
          <w:bCs/>
          <w:iCs/>
        </w:rPr>
        <w:t>.</w:t>
      </w:r>
      <w:r w:rsidRPr="00AD70A2">
        <w:rPr>
          <w:bCs/>
          <w:iCs/>
        </w:rPr>
        <w:tab/>
        <w:t>felicită guvernul Macedoniei de Nord pentru răspunsul său rapid la incendierea antisemită care a vizat o clădire a comunității evreiești din Skopje la 12 aprilie 2026;</w:t>
      </w:r>
    </w:p>
    <w:p w:rsidR="00D32AED" w:rsidRPr="00AD70A2" w:rsidP="00D32AED" w14:paraId="4CC6197D" w14:textId="77777777">
      <w:pPr>
        <w:pStyle w:val="NormalHanging12a"/>
        <w:rPr>
          <w:b/>
          <w:i/>
          <w:iCs/>
        </w:rPr>
      </w:pPr>
      <w:r w:rsidRPr="00AD70A2">
        <w:rPr>
          <w:b/>
          <w:i/>
        </w:rPr>
        <w:t>Statul de drept</w:t>
      </w:r>
    </w:p>
    <w:p w:rsidR="00D32AED" w:rsidRPr="00AD70A2" w:rsidP="00D32AED" w14:paraId="66CCB902" w14:textId="62827B50">
      <w:pPr>
        <w:pStyle w:val="NormalHanging12a"/>
        <w:rPr>
          <w:bCs/>
          <w:iCs/>
        </w:rPr>
      </w:pPr>
      <w:r w:rsidRPr="00AD70A2">
        <w:t>40</w:t>
      </w:r>
      <w:r w:rsidRPr="00AD70A2">
        <w:t>.</w:t>
      </w:r>
      <w:r w:rsidRPr="00AD70A2">
        <w:tab/>
        <w:t>își exprimă îngrijorarea cu privire la faptul că sistemul judiciar, independența instanțelor și a parchetelor, precum și eforturile de consolidare a statului de drept și a cadrelor anticorupție nu au avansat suficient; invită părțile interesate politice să renunțe urgent la ingerințele politice în sistemul judiciar; ia act cu îngrijorare de deficiențele structurale profunde și de tendințele negative în funcționarea sistemului judiciar, inclusiv de finanțarea inadecvată și personalul insuficient din instituțiile judiciare, care subminează independența sistemului; invită, prin urmare, Macedonia de Nord să accelereze punerea în aplicare a Strategiei de reformă judiciară 2024-2028;</w:t>
      </w:r>
    </w:p>
    <w:p w:rsidR="00D32AED" w:rsidRPr="00AD70A2" w:rsidP="00D32AED" w14:paraId="56E27172" w14:textId="42C19051">
      <w:pPr>
        <w:pStyle w:val="NormalHanging12a"/>
        <w:rPr>
          <w:bCs/>
          <w:iCs/>
        </w:rPr>
      </w:pPr>
      <w:r w:rsidRPr="00AD70A2">
        <w:t>41</w:t>
      </w:r>
      <w:r w:rsidRPr="00AD70A2">
        <w:t>.</w:t>
      </w:r>
      <w:r w:rsidRPr="00AD70A2">
        <w:tab/>
        <w:t xml:space="preserve">subliniază că este important să se protejeze integritatea și independența sistemului judiciar, inclusiv prin consolidarea Consiliului Judiciar, în conformitate cu recomandarea și avizul misiunii de evaluare inter </w:t>
      </w:r>
      <w:r w:rsidRPr="00AD70A2">
        <w:t>pares</w:t>
      </w:r>
      <w:r w:rsidRPr="00AD70A2">
        <w:t xml:space="preserve"> a Comisiei de la Veneția din 2023;</w:t>
      </w:r>
    </w:p>
    <w:p w:rsidR="00D32AED" w:rsidRPr="00AD70A2" w:rsidP="00D32AED" w14:paraId="4826F596" w14:textId="16CA4E9E">
      <w:pPr>
        <w:pStyle w:val="NormalHanging12a"/>
        <w:rPr>
          <w:bCs/>
          <w:iCs/>
        </w:rPr>
      </w:pPr>
      <w:r w:rsidRPr="00AD70A2">
        <w:t>42</w:t>
      </w:r>
      <w:r w:rsidRPr="00AD70A2">
        <w:t>.</w:t>
      </w:r>
      <w:r w:rsidRPr="00AD70A2">
        <w:tab/>
        <w:t>se declară îngrijorat de modificările aduse Codului penal în Macedonia de Nord, care au scurtat termenele de prescripție și au redus sancțiunile pentru corupția la nivel înalt și abuzul în serviciu, au subminat procedurile judiciare în curs, inclusiv cazurile la nivel înalt, generând o percepție de impunitate pentru actorii politici importanți și slăbind și mai mult încrederea publică în sistemul judiciar;</w:t>
      </w:r>
    </w:p>
    <w:p w:rsidR="00D32AED" w:rsidRPr="00AD70A2" w:rsidP="00D32AED" w14:paraId="19A846CC" w14:textId="6A36B90B">
      <w:pPr>
        <w:pStyle w:val="NormalHanging12a"/>
      </w:pPr>
      <w:r w:rsidRPr="00AD70A2">
        <w:t>43</w:t>
      </w:r>
      <w:r w:rsidRPr="00AD70A2">
        <w:t>.</w:t>
      </w:r>
      <w:r w:rsidRPr="00AD70A2">
        <w:tab/>
        <w:t>solicită autorităților competente să asigure monitorizarea adecvată a cazurilor de potențiale infracțiuni motivate de ură, inclusiv cele care vizează grupuri și comunități etnice;</w:t>
      </w:r>
    </w:p>
    <w:p w:rsidR="00D32AED" w:rsidRPr="00AD70A2" w:rsidP="00D32AED" w14:paraId="67B0C8A3" w14:textId="5065DD4C">
      <w:pPr>
        <w:pStyle w:val="NormalHanging12a"/>
        <w:rPr>
          <w:bCs/>
          <w:iCs/>
        </w:rPr>
      </w:pPr>
      <w:r w:rsidRPr="00AD70A2">
        <w:t>44</w:t>
      </w:r>
      <w:r w:rsidRPr="00AD70A2">
        <w:t>.</w:t>
      </w:r>
      <w:r w:rsidRPr="00AD70A2">
        <w:tab/>
        <w:t>constată cu îngrijorare că nu s-au înregistrat progrese în prevenirea și combaterea corupției și că corupția rămâne predominantă în multe domenii; subliniază că există în continuare un decalaj semnificativ și inexplicabil între investigațiile anunțate oficial ale cazurilor de corupție și hotărârile judecătorești pronunțate în cazurile de corupție la nivel înalt; invită guvernul Macedoniei de Nord să îmbunătățească punerea în aplicare a strategiei naționale pentru prevenirea corupției și a conflictelor de interese și să adopte un nou Cod penal în conformitate cu acquis-</w:t>
      </w:r>
      <w:r w:rsidRPr="00AD70A2">
        <w:t>ul</w:t>
      </w:r>
      <w:r w:rsidRPr="00AD70A2">
        <w:t xml:space="preserve"> UE și cu standardele internaționale; solicită, de asemenea, consolidarea protecției avertizorilor de integritate, deoarece aceasta rămâne slabă, descurajând astfel persoanele să raporteze cazurile de corupție; apreciază totuși participarea activă a Macedoniei de Nord la Tratatul internațional privind schimbul de date pentru verificarea declarațiilor de avere, fapt ce poziționează țara ca punct de referință regional în acest mecanism;</w:t>
      </w:r>
    </w:p>
    <w:p w:rsidR="00D32AED" w:rsidRPr="00AD70A2" w:rsidP="00D32AED" w14:paraId="040E0ED4" w14:textId="6EE78193">
      <w:pPr>
        <w:pStyle w:val="NormalHanging12a"/>
        <w:rPr>
          <w:bCs/>
          <w:iCs/>
        </w:rPr>
      </w:pPr>
      <w:r w:rsidRPr="00AD70A2">
        <w:t>45</w:t>
      </w:r>
      <w:r w:rsidRPr="00AD70A2">
        <w:t>.</w:t>
      </w:r>
      <w:r w:rsidRPr="00AD70A2">
        <w:tab/>
        <w:t>îndeamnă la adoptarea în timp util a unei strategii anticorupție cuprinzătoare pentru perioada 2026-2030, cu responsabilități clare și obiective măsurabile, și solicită punerea în aplicare a recomandărilor încă neaplicate ale Grupului de state împotriva corupției (GRECO);</w:t>
      </w:r>
    </w:p>
    <w:p w:rsidR="00D32AED" w:rsidRPr="00AD70A2" w:rsidP="00D32AED" w14:paraId="2A5B86ED" w14:textId="4262E3DB">
      <w:pPr>
        <w:pStyle w:val="NormalHanging12a"/>
      </w:pPr>
      <w:r w:rsidRPr="00AD70A2">
        <w:t>46</w:t>
      </w:r>
      <w:r w:rsidRPr="00AD70A2">
        <w:t>.</w:t>
      </w:r>
      <w:r w:rsidRPr="00AD70A2">
        <w:tab/>
        <w:t>observă cu îngrijorare că întârzierile procedurilor judiciare și constrângerile legate de resurse continuă să îngreuneze stabilirea unui palmares solid de cazuri de corupție la nivel înalt; solicită, în special, anchete și condamnări definitive în cazurile de corupție la nivel înalt, care ar putea servi drept exemplu că corupția este abordată la toate nivelurile și că nu există impunitate;</w:t>
      </w:r>
    </w:p>
    <w:p w:rsidR="00D32AED" w:rsidRPr="00AD70A2" w:rsidP="00D32AED" w14:paraId="1453F683" w14:textId="66CC2159">
      <w:pPr>
        <w:pStyle w:val="NormalHanging12a"/>
        <w:rPr>
          <w:bCs/>
        </w:rPr>
      </w:pPr>
      <w:r w:rsidRPr="00AD70A2">
        <w:t>47</w:t>
      </w:r>
      <w:r w:rsidRPr="00AD70A2">
        <w:t>.</w:t>
      </w:r>
      <w:r w:rsidRPr="00AD70A2">
        <w:tab/>
        <w:t>constată că nivelul perceput al încrederii în sistemul judiciar rămâne foarte scăzut și că sunt necesare eforturi suplimentare pentru a preveni influența nejustificată și intimidarea;</w:t>
      </w:r>
    </w:p>
    <w:p w:rsidR="00D32AED" w:rsidRPr="00AD70A2" w:rsidP="00D32AED" w14:paraId="7424ACD8" w14:textId="4028368A">
      <w:pPr>
        <w:pStyle w:val="NormalHanging12a"/>
        <w:rPr>
          <w:bCs/>
        </w:rPr>
      </w:pPr>
      <w:r w:rsidRPr="00AD70A2">
        <w:t>48</w:t>
      </w:r>
      <w:r w:rsidRPr="00AD70A2">
        <w:t>.</w:t>
      </w:r>
      <w:r w:rsidRPr="00AD70A2">
        <w:tab/>
        <w:t>invită Macedonia de Nord să își intensifice eforturile de a combate spălarea banilor;</w:t>
      </w:r>
    </w:p>
    <w:p w:rsidR="00D32AED" w:rsidRPr="00AD70A2" w:rsidP="00D32AED" w14:paraId="3E07CF95" w14:textId="61C1127D">
      <w:pPr>
        <w:pStyle w:val="NormalHanging12a"/>
        <w:rPr>
          <w:bCs/>
        </w:rPr>
      </w:pPr>
      <w:r w:rsidRPr="00AD70A2">
        <w:t>49</w:t>
      </w:r>
      <w:r w:rsidRPr="00AD70A2">
        <w:t>.</w:t>
      </w:r>
      <w:r w:rsidRPr="00AD70A2">
        <w:tab/>
        <w:t>solicită un efort mai concertat în combaterea eficace a criminalității organizate; invită guvernul Macedoniei de Nord să alinieze legislația națională privind armele, stupefiantele și substanțele psihotrope la acquis-</w:t>
      </w:r>
      <w:r w:rsidRPr="00AD70A2">
        <w:t>ul</w:t>
      </w:r>
      <w:r w:rsidRPr="00AD70A2">
        <w:t xml:space="preserve"> UE;</w:t>
      </w:r>
    </w:p>
    <w:p w:rsidR="00D32AED" w:rsidRPr="00AD70A2" w:rsidP="00D32AED" w14:paraId="4CB35D5F" w14:textId="46EF34C1">
      <w:pPr>
        <w:pStyle w:val="NormalHanging12a"/>
        <w:rPr>
          <w:bCs/>
        </w:rPr>
      </w:pPr>
      <w:r w:rsidRPr="00AD70A2">
        <w:t>50</w:t>
      </w:r>
      <w:r w:rsidRPr="00AD70A2">
        <w:t>.</w:t>
      </w:r>
      <w:r w:rsidRPr="00AD70A2">
        <w:tab/>
        <w:t>încurajează autoritățile naționale să instituie un cadru cuprinzător de sprijin pentru femeile care au supraviețuit violenței de gen, inclusiv prin furnizarea de asistență financiară garantată prin lege, garantarea asistenței juridice gratuite și scutirea de la plata cheltuielilor de judecată, crearea unui fond de stat pentru a acoperi sprijinul neplătit pentru copii și creșterea investițiilor în capacitarea economică a femeilor prin formare specifică, întreprinderi sociale și inițiative locale de ocupare a forței de muncă;</w:t>
      </w:r>
    </w:p>
    <w:p w:rsidR="00D32AED" w:rsidRPr="00AD70A2" w:rsidP="00D32AED" w14:paraId="1811E1FA" w14:textId="77777777">
      <w:pPr>
        <w:pStyle w:val="NormalHanging12a"/>
        <w:rPr>
          <w:b/>
          <w:i/>
          <w:iCs/>
        </w:rPr>
      </w:pPr>
      <w:r w:rsidRPr="00AD70A2">
        <w:rPr>
          <w:b/>
          <w:i/>
        </w:rPr>
        <w:t>Reformele socioeconomice</w:t>
      </w:r>
    </w:p>
    <w:p w:rsidR="00D32AED" w:rsidRPr="00AD70A2" w:rsidP="00D32AED" w14:paraId="0116ECD8" w14:textId="61C7A6CE">
      <w:pPr>
        <w:pStyle w:val="NormalHanging12a"/>
        <w:rPr>
          <w:bCs/>
          <w:iCs/>
        </w:rPr>
      </w:pPr>
      <w:r w:rsidRPr="00AD70A2">
        <w:t>51</w:t>
      </w:r>
      <w:r w:rsidRPr="00AD70A2">
        <w:t>.</w:t>
      </w:r>
      <w:r w:rsidRPr="00AD70A2">
        <w:tab/>
        <w:t>sprijină eforturile continue de modernizare a economiei, de abordare a neconcordanțelor de competențe, de consolidare a economiei digitale și de îmbunătățire a mediului de afaceri, care sunt adecvate pentru a răspunde presiunilor competitive de pe piața internă a UE; subliniază că o creștere economică durabilă depinde de statul de drept, de previzibilitatea sistemului judiciar și de acțiunile eficiente împotriva corupției; solicită punerea în aplicare a legii organice privind bugetul din 2023, introducerea de norme fiscale și a unui Consiliu Fiscal, precum și consolidarea procedurii bugetare pe termen mediu;</w:t>
      </w:r>
    </w:p>
    <w:p w:rsidR="00D32AED" w:rsidRPr="00AD70A2" w:rsidP="00D32AED" w14:paraId="6788D6B6" w14:textId="43570CBF">
      <w:pPr>
        <w:pStyle w:val="NormalHanging12a"/>
        <w:rPr>
          <w:bCs/>
          <w:iCs/>
        </w:rPr>
      </w:pPr>
      <w:r w:rsidRPr="00AD70A2">
        <w:t>52</w:t>
      </w:r>
      <w:r w:rsidRPr="00AD70A2">
        <w:t>.</w:t>
      </w:r>
      <w:r w:rsidRPr="00AD70A2">
        <w:tab/>
        <w:t>subliniază necesitatea de a aborda provocările sociale, de a asigura politici de ocupare a forței de muncă de înaltă calitate, de a promova convergența socială către standardele UE și de a realiza progrese în ceea ce privește Pilonul european al drepturilor sociale;</w:t>
      </w:r>
    </w:p>
    <w:p w:rsidR="00D32AED" w:rsidRPr="00AD70A2" w:rsidP="00D32AED" w14:paraId="07A1DF76" w14:textId="7D90C20A">
      <w:pPr>
        <w:pStyle w:val="NormalHanging12a"/>
      </w:pPr>
      <w:r w:rsidRPr="00AD70A2">
        <w:t>53</w:t>
      </w:r>
      <w:r w:rsidRPr="00AD70A2">
        <w:t>.</w:t>
      </w:r>
      <w:r w:rsidRPr="00AD70A2">
        <w:tab/>
        <w:t>salută primii pași în punerea în aplicare a agendei de reformă și a programului de lucru multianual din cadrul Mecanismului de reformă și creștere pentru Balcanii de Vest, care este pe cale să ofere beneficii concrete pentru cetățeni; încurajează Macedonia de Nord să continue punerea în aplicare a agendei sale de reformă; subliniază necesitatea de a accelera în mod considerabil și de a realiza agenda de reformă, în special în ceea ce privește clusterul de elemente fundamentale; subliniază că plata fondurilor trebuie să rămână strict condiționată de îndeplinirea obiectivelor de reformă și a jaloanelor esențiale convenite; apreciază adoptarea cadrului cuprinzător privind securitatea cibernetică și actualizarea Legii privind documentele electronice, identificarea electronică și serviciile de încredere; salută modul obiectiv și bazat pe fapte în care Comisia a evaluat punerea în aplicare a măsurilor de reformă până în prezent;</w:t>
      </w:r>
      <w:r w:rsidRPr="00AD70A2" w:rsidR="00AA6715">
        <w:t xml:space="preserve"> salută călduros recenta plată în valoare de 65,7 milioane EUR către Macedonia de Nord în cadrul Mecanismului de reformă și creștere, în urma unei evaluări pozitive a implementării reformelor, mai ales în domeniul digitalizării și educației;</w:t>
      </w:r>
    </w:p>
    <w:p w:rsidR="00D32AED" w:rsidRPr="00AD70A2" w:rsidP="00D32AED" w14:paraId="68065A8D" w14:textId="357104DA">
      <w:pPr>
        <w:pStyle w:val="NormalHanging12a"/>
      </w:pPr>
      <w:r w:rsidRPr="00AD70A2">
        <w:t>54</w:t>
      </w:r>
      <w:r w:rsidRPr="00AD70A2">
        <w:t>.</w:t>
      </w:r>
      <w:r w:rsidRPr="00AD70A2">
        <w:tab/>
        <w:t xml:space="preserve"> invită UE și Macedonia de Nord să continue supravegherea consolidată și participarea semnificativă a organizațiilor societății civile, a asociațiilor de întreprinderi și a partenerilor sociali în toate etapele Mecanismului de reformă și creștere pentru Balcanii de Vest, inclusiv elaborarea măsurilor de reformă, punerea în aplicare a proiectelor și monitorizarea rezultatelor; recunoaște necesitatea de a îmbunătăți climatul de afaceri și funcționarea economiei de piață; solicită să se pună un accent mai mare pe măsurile de corectare a denaturărilor pieței și pe măsurile de protecție socială; solicită să se acorde mai multă atenție tendințelor demografice negative și abordării economiei informale și a impactului social și fiscal negativ al acesteia;</w:t>
      </w:r>
    </w:p>
    <w:p w:rsidR="00D32AED" w:rsidRPr="00AD70A2" w:rsidP="00D32AED" w14:paraId="56CCC543" w14:textId="4BD3E58D">
      <w:pPr>
        <w:pStyle w:val="NormalHanging12a"/>
      </w:pPr>
      <w:r w:rsidRPr="00AD70A2">
        <w:t>55</w:t>
      </w:r>
      <w:r w:rsidRPr="00AD70A2">
        <w:t>.</w:t>
      </w:r>
      <w:r w:rsidRPr="00AD70A2">
        <w:tab/>
        <w:t>invită autoritățile să protejeze independența și rolul legitim al sindicatelor reprezentative și să asigure respectarea drepturilor fundamentale ale lucrătorilor, inclusiv negocierea colectivă, în drept și în practică; invită, de asemenea, autoritățile să asigure un dialog constructiv și semnificativ cu sindicatele pentru a aborda problemele urgente, cum ar fi salariile, condițiile de muncă și protecția socială, inclusiv în ceea ce privește munca pe platforme;</w:t>
      </w:r>
    </w:p>
    <w:p w:rsidR="00D32AED" w:rsidRPr="00AD70A2" w:rsidP="00D32AED" w14:paraId="08B886B7" w14:textId="1B1A4192">
      <w:pPr>
        <w:pStyle w:val="NormalHanging12a"/>
      </w:pPr>
      <w:r w:rsidRPr="00AD70A2">
        <w:t>56</w:t>
      </w:r>
      <w:r w:rsidRPr="00AD70A2">
        <w:t>.</w:t>
      </w:r>
      <w:r w:rsidRPr="00AD70A2">
        <w:tab/>
        <w:t>recunoaște importanța strategică a sectoarelor culturale și creative și necesitatea unui cadru stabil și aliniat la UE pentru drepturile de autor; invită Macedonia de Nord să asigure remunerarea echitabilă a autorilor și a artiștilor interpreți sau executanți, să alinieze gestionarea drepturilor colective la acquis-</w:t>
      </w:r>
      <w:r w:rsidRPr="00AD70A2">
        <w:t>ul</w:t>
      </w:r>
      <w:r w:rsidRPr="00AD70A2">
        <w:t xml:space="preserve"> UE și să consolideze asigurarea respectării legii privind combaterea pirateriei; subliniază că slaba protecție a titularilor de drepturi subminează sustenabilitatea mass-mediei și crearea de conținut audiovizual de înaltă calitate;</w:t>
      </w:r>
    </w:p>
    <w:p w:rsidR="00D32AED" w:rsidRPr="00AD70A2" w:rsidP="00D32AED" w14:paraId="2A14D91F" w14:textId="59522E5E">
      <w:pPr>
        <w:pStyle w:val="NormalHanging12a"/>
      </w:pPr>
      <w:r w:rsidRPr="00AD70A2">
        <w:t>57</w:t>
      </w:r>
      <w:r w:rsidRPr="00AD70A2">
        <w:t>.</w:t>
      </w:r>
      <w:r w:rsidRPr="00AD70A2">
        <w:tab/>
        <w:t>solicită continuarea punerii în aplicare a strategiilor de activare pe piața muncii pentru tineri, șomerii de lungă durată, persoanele slab calificate și grupurile defavorizate, cum ar fi femeile, persoanele cu dizabilități, romii și egiptenii balcanici;</w:t>
      </w:r>
    </w:p>
    <w:p w:rsidR="00D32AED" w:rsidRPr="00AD70A2" w:rsidP="00D32AED" w14:paraId="7CDA4E67" w14:textId="40C9AC0F">
      <w:pPr>
        <w:pStyle w:val="NormalHanging12a"/>
        <w:rPr>
          <w:bCs/>
          <w:iCs/>
        </w:rPr>
      </w:pPr>
      <w:r w:rsidRPr="00AD70A2">
        <w:t>58</w:t>
      </w:r>
      <w:r w:rsidRPr="00AD70A2">
        <w:t>.</w:t>
      </w:r>
      <w:r w:rsidRPr="00AD70A2">
        <w:tab/>
        <w:t>încurajează consolidarea politicii pentru tineret prin modificarea Legii privind participarea tinerilor și politicile pentru tineret, prin instituirea unei monitorizări eficace și a unui cod bugetar specific și prin îmbunătățirea structurilor locale de tineret;</w:t>
      </w:r>
    </w:p>
    <w:p w:rsidR="00D32AED" w:rsidRPr="00AD70A2" w:rsidP="00D32AED" w14:paraId="5DFEC4F2" w14:textId="13DA821C">
      <w:pPr>
        <w:pStyle w:val="NormalHanging12a"/>
      </w:pPr>
      <w:r w:rsidRPr="00AD70A2">
        <w:t>59</w:t>
      </w:r>
      <w:r w:rsidRPr="00AD70A2">
        <w:t>.</w:t>
      </w:r>
      <w:r w:rsidRPr="00AD70A2">
        <w:tab/>
        <w:t>salută integrarea Macedoniei de Nord în domeniul de aplicare geografic al zonei unice de plăți în euro (SEPA);</w:t>
      </w:r>
    </w:p>
    <w:p w:rsidR="00D32AED" w:rsidRPr="00AD70A2" w:rsidP="00D32AED" w14:paraId="11D657C0" w14:textId="1CFB26FD">
      <w:pPr>
        <w:pStyle w:val="NormalHanging12a"/>
        <w:rPr>
          <w:bCs/>
        </w:rPr>
      </w:pPr>
      <w:r w:rsidRPr="00AD70A2">
        <w:t>60</w:t>
      </w:r>
      <w:r w:rsidRPr="00AD70A2">
        <w:t>.</w:t>
      </w:r>
      <w:r w:rsidRPr="00AD70A2">
        <w:tab/>
        <w:t xml:space="preserve">salută călduros propunerea Comisiei </w:t>
      </w:r>
      <w:r w:rsidRPr="00AD70A2" w:rsidR="00A33C6A">
        <w:t xml:space="preserve">și </w:t>
      </w:r>
      <w:r w:rsidR="00A33C6A">
        <w:t>autorizarea</w:t>
      </w:r>
      <w:r w:rsidRPr="00AD70A2" w:rsidR="00A33C6A">
        <w:t xml:space="preserve"> Consiliului </w:t>
      </w:r>
      <w:r w:rsidRPr="00AD70A2">
        <w:t>de a deschide negocieri privind extinderea regimului UE de roaming la prețurile de pe piața națională la Albania, Bosnia și Herțegovina, Kosovo, Muntenegru, Macedonia de Nord și Serbia</w:t>
      </w:r>
      <w:r w:rsidRPr="00AD70A2" w:rsidR="00AA6715">
        <w:t xml:space="preserve"> și invită Comisia și partenerii din Balcanii de Vest să ia rapid măsurile necesare pentru deschiderea reciprocă a piețelor de roaming ale UE și ale partenerilor</w:t>
      </w:r>
      <w:r w:rsidRPr="00AD70A2">
        <w:t xml:space="preserve"> din Balcanii de Vest; subliniază că extinderea zonei de roaming la prețurile de pe piața națională la Balcanii de Vest ar aduce beneficii concrete atât cetățenilor, cât și întreprinderilor, favorizând contactele interumane, stimulând legăturile economice, sprijinind schimburile educaționale și facilitând turismul;</w:t>
      </w:r>
    </w:p>
    <w:p w:rsidR="00D32AED" w:rsidRPr="00AD70A2" w:rsidP="00D32AED" w14:paraId="66F12070" w14:textId="654197A6">
      <w:pPr>
        <w:pStyle w:val="NormalHanging12a"/>
        <w:rPr>
          <w:bCs/>
        </w:rPr>
      </w:pPr>
      <w:r w:rsidRPr="00AD70A2">
        <w:t>61</w:t>
      </w:r>
      <w:r w:rsidRPr="00AD70A2">
        <w:t>.</w:t>
      </w:r>
      <w:r w:rsidRPr="00AD70A2">
        <w:tab/>
        <w:t>invită Macedonia de Nord să se alinieze la acquis-</w:t>
      </w:r>
      <w:r w:rsidRPr="00AD70A2">
        <w:t>ul</w:t>
      </w:r>
      <w:r w:rsidRPr="00AD70A2">
        <w:t xml:space="preserve"> UE privind examinarea investițiilor străine directe;</w:t>
      </w:r>
    </w:p>
    <w:p w:rsidR="00D32AED" w:rsidRPr="00AD70A2" w:rsidP="00D32AED" w14:paraId="4B7651A9" w14:textId="77777777">
      <w:pPr>
        <w:pStyle w:val="NormalHanging12a"/>
        <w:rPr>
          <w:b/>
        </w:rPr>
      </w:pPr>
      <w:r w:rsidRPr="00AD70A2">
        <w:rPr>
          <w:b/>
          <w:i/>
        </w:rPr>
        <w:t>Mediul, biodiversitatea, energia și transporturile</w:t>
      </w:r>
    </w:p>
    <w:p w:rsidR="00D32AED" w:rsidRPr="00AD70A2" w:rsidP="00D32AED" w14:paraId="1527AC98" w14:textId="20639A77">
      <w:pPr>
        <w:pStyle w:val="NormalHanging12a"/>
      </w:pPr>
      <w:bookmarkStart w:id="12" w:name="_f5cyx5lfgtpa"/>
      <w:bookmarkEnd w:id="12"/>
      <w:r w:rsidRPr="00AD70A2">
        <w:t>62</w:t>
      </w:r>
      <w:r w:rsidRPr="00AD70A2">
        <w:t>.</w:t>
      </w:r>
      <w:r w:rsidRPr="00AD70A2">
        <w:tab/>
        <w:t>solicită creșterea investițiilor în infrastructura de transport și energie și în realizarea de progrese pentru a aduce legislația în domeniul transporturilor, al energiei și al mediului mai aproape de standardele UE; cere ca legislația națională să fie aliniată la normele UE privind drepturile pasagerilor; subliniază necesitatea de a consolida conectivitatea și de a asigura fluxuri comerciale libere, în special în ceea ce privește traficul rutier; solicită implementarea sistemului de intrare/ieșire al UE, ținând seama, în același timp, de impactul acestuia asupra conducătorilor auto profesioniști și a lanțurilor de aprovizionare;</w:t>
      </w:r>
    </w:p>
    <w:p w:rsidR="00D32AED" w:rsidRPr="00AD70A2" w:rsidP="00D32AED" w14:paraId="2E1501C9" w14:textId="282994EF">
      <w:pPr>
        <w:pStyle w:val="NormalHanging12a"/>
        <w:rPr>
          <w:bCs/>
          <w:iCs/>
        </w:rPr>
      </w:pPr>
      <w:r w:rsidRPr="00AD70A2">
        <w:t>63</w:t>
      </w:r>
      <w:r w:rsidRPr="00AD70A2">
        <w:t>.</w:t>
      </w:r>
      <w:r w:rsidRPr="00AD70A2">
        <w:tab/>
        <w:t>subliniază importanța conexiunilor transfrontaliere, cum ar fi coridoarele VIII și X ale rețelei transeuropene de transport (TEN-T), deoarece acestea sunt vitale pentru intensificarea cooperării economice cu țările învecinate și a contactelor interpersonale; solicită punerea în aplicare efectivă a angajamentelor asumate; consideră binevenit acordul dintre Bulgaria și Macedonia de Nord privind construirea unui tunel feroviar transfrontalier, care marchează un pas definitoriu către finalizarea legăturii feroviare de-a lungul coridorului VIII; remarcă importanța strategică a coridorului VIII pentru autonomia geostrategică a UE și a NATO, acesta reprezentând o rută logistică esențială de-a lungul flancului sudic al NATO;</w:t>
      </w:r>
    </w:p>
    <w:p w:rsidR="00D32AED" w:rsidRPr="00AD70A2" w:rsidP="00D32AED" w14:paraId="76F24931" w14:textId="5E435629">
      <w:pPr>
        <w:pStyle w:val="NormalHanging12a"/>
      </w:pPr>
      <w:r w:rsidRPr="00AD70A2">
        <w:t>64</w:t>
      </w:r>
      <w:r w:rsidRPr="00AD70A2">
        <w:t>.</w:t>
      </w:r>
      <w:r w:rsidRPr="00AD70A2">
        <w:tab/>
        <w:t>salută adoptarea Legii energiei în mai 2025, dar subliniază că țara este încă foarte dependentă de cărbune; solicită adoptarea rapidă a energiei din surse regenerabile și acordarea unei atenții sporite eficienței energetice, în special pentru clădiri;</w:t>
      </w:r>
    </w:p>
    <w:p w:rsidR="00D32AED" w:rsidRPr="00AD70A2" w:rsidP="00D32AED" w14:paraId="47EEE073" w14:textId="584D4BB8">
      <w:pPr>
        <w:pStyle w:val="NormalHanging12a"/>
        <w:rPr>
          <w:bCs/>
          <w:iCs/>
        </w:rPr>
      </w:pPr>
      <w:r w:rsidRPr="00AD70A2">
        <w:t>65</w:t>
      </w:r>
      <w:r w:rsidRPr="00AD70A2">
        <w:t>.</w:t>
      </w:r>
      <w:r w:rsidRPr="00AD70A2">
        <w:tab/>
        <w:t>regretă că s-au înregistrat puține progrese în ceea ce privește legislația de mediu; solicită, în special, acțiuni urgente pentru a aborda problemele privind calitatea aerului și a apei și gestionarea apelor uzate, inclusiv prin finanțare națională sporită și clar alocată pentru infrastructura de aprovizionare cu apă și de salubritate din zonele urbane și rurale, integrarea, acolo unde este fezabil, a sistemelor de apă ale satelor în utilitățile publice, cu responsabilități instituționale clar atribuite, asigurarea unor controale sanitare și de laborator periodice, cu publicarea rezultatelor, și consolidarea supravegherii inspecțiilor, inclusiv introducerea de sancțiuni pentru sistemele nereglementate, slab întreținute sau poluante;</w:t>
      </w:r>
    </w:p>
    <w:p w:rsidR="00D32AED" w:rsidRPr="00AD70A2" w:rsidP="00D32AED" w14:paraId="32257B2A" w14:textId="285EB01B">
      <w:pPr>
        <w:pStyle w:val="NormalHanging12a"/>
        <w:rPr>
          <w:bCs/>
          <w:iCs/>
        </w:rPr>
      </w:pPr>
      <w:r w:rsidRPr="00AD70A2">
        <w:t>66</w:t>
      </w:r>
      <w:r w:rsidRPr="00AD70A2">
        <w:t>.</w:t>
      </w:r>
      <w:r w:rsidRPr="00AD70A2">
        <w:tab/>
        <w:t xml:space="preserve">observă cu îngrijorare nivelurile în mod persistent ridicate ale poluării aerului, în special </w:t>
      </w:r>
      <w:r w:rsidRPr="00AD70A2">
        <w:t>în zonele urbane, care sunt strâns legate de arderea cărbunilor și producția de ciment; își exprimă profunda îngrijorare, în acest context, cu privire la noua lege privind controlul emisiilor industriale și îndeamnă autoritățile să o modifice printr-o procedură publică transparentă și incluzivă, care să implice toate părțile interesate relevante, în special experții în domeniul mediului și organizațiile societății civile; subliniază necesitatea urgentă de a îmbunătăți calitatea aerului în orașe, inclusiv prin măsuri precum introducerea unor zone cu emisii scăzute și achiziționarea de vehicule de transport public moderne și mai puțin poluante;</w:t>
      </w:r>
    </w:p>
    <w:p w:rsidR="00D32AED" w:rsidRPr="00AD70A2" w:rsidP="00D32AED" w14:paraId="62F2B680" w14:textId="5396C29D">
      <w:pPr>
        <w:pStyle w:val="NormalHanging12a"/>
        <w:rPr>
          <w:bCs/>
          <w:iCs/>
        </w:rPr>
      </w:pPr>
      <w:r w:rsidRPr="00AD70A2">
        <w:t>67</w:t>
      </w:r>
      <w:r w:rsidRPr="00AD70A2">
        <w:t>.</w:t>
      </w:r>
      <w:r w:rsidRPr="00AD70A2">
        <w:tab/>
        <w:t>observă cu îngrijorare progresul limitat în punerea în aplicare a legislației orizontale de mediu și îndeamnă Macedonia de Nord să alinieze pe deplin și să pună în aplicare în mod eficace Directivele privind evaluarea impactului asupra mediului</w:t>
      </w:r>
      <w:r>
        <w:rPr>
          <w:rStyle w:val="FootnoteReference"/>
          <w:bCs/>
          <w:iCs/>
        </w:rPr>
        <w:footnoteReference w:id="9"/>
      </w:r>
      <w:r w:rsidRPr="00AD70A2">
        <w:t xml:space="preserve"> și privind evaluarea strategică de mediu</w:t>
      </w:r>
      <w:r>
        <w:rPr>
          <w:rStyle w:val="FootnoteReference"/>
          <w:bCs/>
          <w:iCs/>
        </w:rPr>
        <w:footnoteReference w:id="10"/>
      </w:r>
      <w:r w:rsidRPr="00AD70A2">
        <w:t>, inclusiv legislația secundară legată de proiectele mici din domeniul hidroenergiei;</w:t>
      </w:r>
    </w:p>
    <w:p w:rsidR="00D32AED" w:rsidRPr="00AD70A2" w:rsidP="00D32AED" w14:paraId="145027D7" w14:textId="59B4F3D3">
      <w:pPr>
        <w:pStyle w:val="NormalHanging12a"/>
        <w:rPr>
          <w:bCs/>
          <w:iCs/>
        </w:rPr>
      </w:pPr>
      <w:r w:rsidRPr="00AD70A2">
        <w:t>68</w:t>
      </w:r>
      <w:r w:rsidRPr="00AD70A2">
        <w:t>.</w:t>
      </w:r>
      <w:r w:rsidRPr="00AD70A2">
        <w:tab/>
        <w:t xml:space="preserve">invită guvernul Macedoniei de Nord și autoritățile locale să intensifice măsurile privind biodiversitatea, să instituie o protecție juridică eficace pentru siturile </w:t>
      </w:r>
      <w:r w:rsidRPr="00AD70A2">
        <w:t>Emerald</w:t>
      </w:r>
      <w:r w:rsidRPr="00AD70A2">
        <w:t xml:space="preserve"> desemnate în temeiul Convenției de la Berna și să accelereze identificarea și desemnarea viitoarelor situri Natura 2000; invită guvernul Macedoniei de Nord să acorde prioritate adoptării unei noi legi privind protecția naturii și să o urgenteze, pentru a înlocui cadrul juridic perimat și pentru a asigura alinierea deplină la Directivele UE privind habitatele</w:t>
      </w:r>
      <w:r>
        <w:rPr>
          <w:rStyle w:val="FootnoteReference"/>
          <w:bCs/>
          <w:iCs/>
        </w:rPr>
        <w:footnoteReference w:id="11"/>
      </w:r>
      <w:r w:rsidRPr="00AD70A2">
        <w:t xml:space="preserve"> și păsările</w:t>
      </w:r>
      <w:r>
        <w:rPr>
          <w:rStyle w:val="FootnoteReference"/>
          <w:bCs/>
          <w:iCs/>
        </w:rPr>
        <w:footnoteReference w:id="12"/>
      </w:r>
      <w:r w:rsidRPr="00AD70A2">
        <w:t>;</w:t>
      </w:r>
    </w:p>
    <w:p w:rsidR="00D32AED" w:rsidRPr="00AD70A2" w:rsidP="00D32AED" w14:paraId="621526B0" w14:textId="0DFAC9FC">
      <w:pPr>
        <w:pStyle w:val="NormalHanging12a"/>
        <w:rPr>
          <w:bCs/>
          <w:iCs/>
        </w:rPr>
      </w:pPr>
      <w:r w:rsidRPr="00AD70A2">
        <w:t>69</w:t>
      </w:r>
      <w:r w:rsidRPr="00AD70A2">
        <w:t>.</w:t>
      </w:r>
      <w:r w:rsidRPr="00AD70A2">
        <w:tab/>
        <w:t xml:space="preserve">salută cooperarea continuă a Macedoniei de Nord cu Kosovo și cu Albania în legătură cu Parcul național transfrontalier din Munții </w:t>
      </w:r>
      <w:r w:rsidRPr="00AD70A2">
        <w:t>Sharr</w:t>
      </w:r>
      <w:r w:rsidRPr="00AD70A2">
        <w:t xml:space="preserve">; repetă nevoia urgentă de a adopta Legea privind reproclamarea Parcului național </w:t>
      </w:r>
      <w:r w:rsidRPr="00AD70A2">
        <w:t>Mavrovo</w:t>
      </w:r>
      <w:r w:rsidRPr="00AD70A2">
        <w:t xml:space="preserve"> și de a finaliza și a pune în aplicare în mod eficace planul de gestionare a acestuia; încurajează să se includă </w:t>
      </w:r>
      <w:r w:rsidRPr="00AD70A2">
        <w:t>Jablanica</w:t>
      </w:r>
      <w:r w:rsidRPr="00AD70A2">
        <w:t xml:space="preserve"> pe lista națională a zonelor protejate; îndeamnă Macedonia de Nord să elaboreze și să pună în aplicare un plan național de acțiune și de gestionare pentru conservarea linxului balcanic, aliniat la strategia regională și în cooperare cu țările învecinate, inclusiv în vederea menținerii conectivității ecologice între habitatele esențiale, inclusiv </w:t>
      </w:r>
      <w:r w:rsidRPr="00AD70A2">
        <w:t>Mavrovo</w:t>
      </w:r>
      <w:r w:rsidRPr="00AD70A2">
        <w:t xml:space="preserve"> și </w:t>
      </w:r>
      <w:r w:rsidRPr="00AD70A2">
        <w:t>Jablanica</w:t>
      </w:r>
      <w:r w:rsidRPr="00AD70A2">
        <w:t>, și zonele transfrontaliere;</w:t>
      </w:r>
    </w:p>
    <w:p w:rsidR="00D32AED" w:rsidRPr="00AD70A2" w:rsidP="00D32AED" w14:paraId="607A27FE" w14:textId="77777777">
      <w:pPr>
        <w:pStyle w:val="NormalHanging12a"/>
        <w:rPr>
          <w:b/>
        </w:rPr>
      </w:pPr>
      <w:r w:rsidRPr="00AD70A2">
        <w:rPr>
          <w:b/>
          <w:i/>
        </w:rPr>
        <w:t>Cooperarea regională și politica externă</w:t>
      </w:r>
    </w:p>
    <w:p w:rsidR="00D32AED" w:rsidRPr="00AD70A2" w:rsidP="00D32AED" w14:paraId="495D375B" w14:textId="69238456">
      <w:pPr>
        <w:pStyle w:val="NormalHanging12a"/>
      </w:pPr>
      <w:r w:rsidRPr="00AD70A2">
        <w:t>70</w:t>
      </w:r>
      <w:r w:rsidRPr="00AD70A2">
        <w:t>.</w:t>
      </w:r>
      <w:r w:rsidRPr="00AD70A2">
        <w:tab/>
        <w:t>salută contribuțiile valoroase și semnificative ale Macedoniei de Nord la cooperarea și stabilitatea regională, prin implicarea sa în inițiative economice și diplomatice regionale, cum ar fi Procesul de la Berlin, planul de creștere pentru Balcanii de Vest și punerea în aplicare a acordurilor privind piața regională comună;</w:t>
      </w:r>
    </w:p>
    <w:p w:rsidR="00D32AED" w:rsidRPr="00AD70A2" w:rsidP="00D32AED" w14:paraId="1821701C" w14:textId="1298D580">
      <w:pPr>
        <w:pStyle w:val="NormalHanging12a"/>
        <w:rPr>
          <w:bCs/>
          <w:iCs/>
        </w:rPr>
      </w:pPr>
      <w:r w:rsidRPr="00AD70A2">
        <w:t>71</w:t>
      </w:r>
      <w:r w:rsidRPr="00AD70A2">
        <w:t>.</w:t>
      </w:r>
      <w:r w:rsidRPr="00AD70A2">
        <w:tab/>
        <w:t xml:space="preserve">solicită un angajament constant față de dialogul și cooperarea cu țările învecinate pentru a consolida stabilitatea regională și a promova încrederea reciprocă; solicită promovarea în continuare a contactelor interumane în întreaga </w:t>
      </w:r>
      <w:r w:rsidRPr="00AD70A2">
        <w:t>Europă</w:t>
      </w:r>
      <w:r w:rsidRPr="00AD70A2">
        <w:t xml:space="preserve"> de Sud-Est; </w:t>
      </w:r>
      <w:bookmarkStart w:id="13" w:name="_Hlk229472357"/>
      <w:r w:rsidRPr="00AD70A2">
        <w:t xml:space="preserve">subliniază importanța punerii în aplicare cu bună credință a acordurilor internaționale, cum ar fi Acordul de la </w:t>
      </w:r>
      <w:r w:rsidRPr="00AD70A2">
        <w:t>Prespa</w:t>
      </w:r>
      <w:r w:rsidRPr="00AD70A2">
        <w:t xml:space="preserve"> și Tratatul de prietenie, bună vecinătate și cooperare cu Bulgaria;</w:t>
      </w:r>
      <w:bookmarkEnd w:id="13"/>
    </w:p>
    <w:p w:rsidR="00D32AED" w:rsidRPr="00AD70A2" w:rsidP="00D32AED" w14:paraId="55D691AD" w14:textId="0C434574">
      <w:pPr>
        <w:pStyle w:val="NormalHanging12a"/>
        <w:rPr>
          <w:bCs/>
          <w:iCs/>
        </w:rPr>
      </w:pPr>
      <w:r w:rsidRPr="00AD70A2">
        <w:t>72</w:t>
      </w:r>
      <w:r w:rsidRPr="00AD70A2">
        <w:t>.</w:t>
      </w:r>
      <w:r w:rsidRPr="00AD70A2">
        <w:tab/>
        <w:t>recunoaște că există interpretări diferite în legătură cu caracteristicile istorice ale societății macedonene; subliniază că raportul său nu urmărește să prejudicieze sau să limiteze dezbaterea academică cu privire la aceste chestiuni și că astfel de interpretări nu influențează evaluarea de către Parlament a progreselor Macedoniei de Nord în procesul de aderare la UE, care rămâne ancorată în criteriile de la Copenhaga și în principiile relațiilor de bună vecinătate; îndeamnă toate părțile să reia activitatea Comisiei mixte multidisciplinare de experți în chestiuni istorice și educaționale din Bulgaria și Macedonia de Nord și să își îndeplinească activitatea cu bună credință, apropiind astfel societățile; condamnă orice încercare de a înlocui monumentele și/sau artefactele istorice, inclusiv distrugerea patrimoniului cultural autentic; regretă distrugerea și falsificarea inscripțiilor bulgare;</w:t>
      </w:r>
    </w:p>
    <w:p w:rsidR="00D32AED" w:rsidRPr="00AD70A2" w:rsidP="00D32AED" w14:paraId="239F79D5" w14:textId="0BCC1E3A">
      <w:pPr>
        <w:pStyle w:val="NormalHanging12a"/>
        <w:rPr>
          <w:bCs/>
          <w:iCs/>
        </w:rPr>
      </w:pPr>
      <w:r w:rsidRPr="00AD70A2">
        <w:t>73</w:t>
      </w:r>
      <w:r w:rsidRPr="00AD70A2">
        <w:t>.</w:t>
      </w:r>
      <w:r w:rsidRPr="00AD70A2">
        <w:tab/>
        <w:t>își exprimă profunda îngrijorare că ultima reuniune a Comisiei interguvernamentale comune, înființată în temeiul articolului 12 din Tratatul de prietenie, bună vecinătate și cooperare, a avut loc la 17 iulie 2022 și că de atunci nu a mai avut loc nicio altă reuniune; îndeamnă guvernele Bulgariei și Macedoniei de Nord să organizeze rapid cea de a treia sesiune a Comisiei interguvernamentale comune, astfel încât să se înregistreze progrese în punerea în aplicare a tratatului și a protocoalelor la acesta;</w:t>
      </w:r>
    </w:p>
    <w:p w:rsidR="00D32AED" w:rsidRPr="00AD70A2" w:rsidP="00D32AED" w14:paraId="3811AE01" w14:textId="30B05B8E">
      <w:pPr>
        <w:pStyle w:val="NormalHanging12a"/>
        <w:rPr>
          <w:bCs/>
          <w:iCs/>
        </w:rPr>
      </w:pPr>
      <w:r w:rsidRPr="00AD70A2">
        <w:t>74</w:t>
      </w:r>
      <w:r w:rsidRPr="00AD70A2">
        <w:t>.</w:t>
      </w:r>
      <w:r w:rsidRPr="00AD70A2">
        <w:tab/>
        <w:t>îndeamnă cu fermitate Comisia multidisciplinară comună de experți în chestiuni istorice și educaționale din Bulgaria și Macedonia de Nord, înființată ca urmare a Tratatului de prietenie, bună vecinătate și cooperare cu Bulgaria, să obțină rezultate clare și tangibile; subliniază că textele ar trebui să reflecte interpretarea faptelor și a personalităților istorice din istoria comună a ambelor popoare pe baza unor surse și documente istorice obiective, autentice și bazate pe dovezi, a interpretării științifice și a evenimentelor istorice, astfel cum este prevăzut în Al doilea protocol la tratatul cu Bulgaria;</w:t>
      </w:r>
    </w:p>
    <w:p w:rsidR="00D32AED" w:rsidRPr="00AD70A2" w:rsidP="00D32AED" w14:paraId="194D3D19" w14:textId="78B5312C">
      <w:pPr>
        <w:pStyle w:val="NormalHanging12a"/>
        <w:rPr>
          <w:bCs/>
          <w:iCs/>
        </w:rPr>
      </w:pPr>
      <w:r w:rsidRPr="00AD70A2">
        <w:t>75</w:t>
      </w:r>
      <w:r w:rsidRPr="00AD70A2">
        <w:t>.</w:t>
      </w:r>
      <w:r w:rsidRPr="00AD70A2">
        <w:tab/>
        <w:t xml:space="preserve">ia act cu îngrijorare de legăturile din ce în ce mai strânse dintre Macedonia de Nord și guvernul Serbiei, care urmărește o agendă </w:t>
      </w:r>
      <w:r w:rsidRPr="00AD70A2">
        <w:t>iliberală</w:t>
      </w:r>
      <w:r w:rsidRPr="00AD70A2">
        <w:t>; avertizează, de asemenea, cu privire la influența economică și politică tot mai mare a Chinei în regiune, în special prin proiecte de infrastructură și împrumuturi; ia act, cu aceeași îngrijorare, de relatările privind eforturile Rusiei de a exercita influență în Macedonia de Nord; solicită UE să sprijine Macedonia de Nord în consolidarea rezilienței împotriva influenței externe exercitate prin intermediul rețelelor religioase; își exprimă îngrijorarea cu privire la discursurile promovate în regiune care pun sub semnul întrebării suveranitatea și integritatea teritorială a țărilor, inclusiv cele legate de așa-numita „lume sârbă”;</w:t>
      </w:r>
    </w:p>
    <w:p w:rsidR="00D32AED" w:rsidRPr="00AD70A2" w:rsidP="00D32AED" w14:paraId="432DAEAA" w14:textId="5A2C55FA">
      <w:pPr>
        <w:pStyle w:val="NormalHanging12a"/>
        <w:rPr>
          <w:bCs/>
          <w:iCs/>
        </w:rPr>
      </w:pPr>
      <w:r w:rsidRPr="00AD70A2">
        <w:t>76</w:t>
      </w:r>
      <w:r w:rsidRPr="00AD70A2">
        <w:t>.</w:t>
      </w:r>
      <w:r w:rsidRPr="00AD70A2">
        <w:tab/>
        <w:t>reamintește necesitatea de a declasifica arhivele fostelor servicii secrete iugoslave (UDBA și KOS), păstrate atât în Macedonia de Nord, cât și în Serbia; subliniază că aceste arhive trebuie declasificate la nivel regional pentru a aborda trecutul totalitar într-un mod transparent, în vederea consolidării democrației, responsabilității și instituțiilor în Balcanii de Vest;</w:t>
      </w:r>
    </w:p>
    <w:p w:rsidR="00D32AED" w:rsidRPr="00AD70A2" w:rsidP="00D32AED" w14:paraId="4A928DA5" w14:textId="71EB2E5C">
      <w:pPr>
        <w:pStyle w:val="NormalHanging12a"/>
        <w:rPr>
          <w:bCs/>
          <w:iCs/>
        </w:rPr>
      </w:pPr>
      <w:r w:rsidRPr="00AD70A2">
        <w:t>77</w:t>
      </w:r>
      <w:r w:rsidRPr="00AD70A2">
        <w:t>.</w:t>
      </w:r>
      <w:r w:rsidRPr="00AD70A2">
        <w:tab/>
        <w:t xml:space="preserve">salută alinierea solidă de mult timp a Macedoniei de Nord la politica externă, de securitate și de apărare a UE, inclusiv în ceea ce privește măsurile restrictive; regretă totuși că a sporit numărul de cazuri în care Macedonia de Nord s-a abținut de la voturi </w:t>
      </w:r>
      <w:r w:rsidRPr="00AD70A2">
        <w:t>importante în organismele internaționale, în loc să urmeze poziția majoritară a UE; invită, prin urmare, guvernul Macedoniei de Nord ca, în cazul în care există îndoieli, să se alinieze la poziția majorității în cadrul UE;</w:t>
      </w:r>
      <w:r w:rsidRPr="00AD70A2">
        <w:rPr>
          <w:b/>
          <w:i/>
        </w:rPr>
        <w:t xml:space="preserve"> </w:t>
      </w:r>
      <w:r w:rsidRPr="00AD70A2">
        <w:t>subliniază importanța geostrategică a Macedoniei de Nord și rolul său important ca membru al NATO; salută participarea activă a țării la misiunile și operațiunile UE din cadrul politicii de securitate și apărare comune și contribuția sa la rolul de lider al UE în menținerea păcii, prevenirea conflictelor și gestionarea crizelor internaționale; salută pregătirea Macedoniei de Nord pentru a îmbunătăți cooperarea cu UE în cadrul parteneriatului în materie de securitate și apărare;</w:t>
      </w:r>
    </w:p>
    <w:p w:rsidR="00D32AED" w:rsidRPr="00AD70A2" w:rsidP="00D32AED" w14:paraId="7350BD44" w14:textId="77777777">
      <w:pPr>
        <w:pStyle w:val="NormalHanging12a"/>
        <w:jc w:val="center"/>
      </w:pPr>
      <w:r w:rsidRPr="00AD70A2">
        <w:t>°</w:t>
      </w:r>
    </w:p>
    <w:p w:rsidR="00D32AED" w:rsidRPr="00AD70A2" w:rsidP="00D32AED" w14:paraId="7B79E118" w14:textId="77777777">
      <w:pPr>
        <w:pStyle w:val="NormalHanging12a"/>
        <w:jc w:val="center"/>
      </w:pPr>
      <w:r w:rsidRPr="00AD70A2">
        <w:t>°</w:t>
      </w:r>
      <w:r w:rsidRPr="00AD70A2">
        <w:tab/>
        <w:t>°</w:t>
      </w:r>
    </w:p>
    <w:p w:rsidR="006B0869" w:rsidRPr="00AD70A2" w:rsidP="006B0869" w14:paraId="0DBD5E9E" w14:textId="665E77C1">
      <w:pPr>
        <w:pStyle w:val="NormalHanging12a"/>
      </w:pPr>
      <w:r w:rsidRPr="00AD70A2">
        <w:t>78</w:t>
      </w:r>
      <w:r w:rsidRPr="00AD70A2" w:rsidR="00D32AED">
        <w:t>.</w:t>
      </w:r>
      <w:r w:rsidRPr="00AD70A2" w:rsidR="00D32AED">
        <w:tab/>
        <w:t>încredințează Președintei sarcina de a transmite prezenta rezoluție Președintelui Consiliului European, Consiliului, Comisiei, Vicepreședintei Comisiei/Înaltei Reprezentante a Uniunii pentru afaceri externe și politica de securitate, guvernelor și parlamentelor statelor membre, precum și Președintelui, guvernului și Adunării Republicii Macedonia de Nord.</w:t>
      </w:r>
    </w:p>
    <w:p w:rsidR="00E365E1" w:rsidRPr="00AD70A2" w:rsidP="004C60A1" w14:paraId="7260E109" w14:textId="49388B3D"/>
    <w:sectPr w:rsidSect="006B086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60A1" w:rsidRPr="006B0869" w14:paraId="53266BD9" w14:textId="77777777">
      <w:r w:rsidRPr="006B0869">
        <w:separator/>
      </w:r>
    </w:p>
  </w:footnote>
  <w:footnote w:type="continuationSeparator" w:id="1">
    <w:p w:rsidR="004C60A1" w:rsidRPr="006B0869" w14:paraId="346522A3" w14:textId="77777777">
      <w:r w:rsidRPr="006B0869">
        <w:continuationSeparator/>
      </w:r>
    </w:p>
  </w:footnote>
  <w:footnote w:id="2">
    <w:p w:rsidR="00D32AED" w:rsidRPr="006B0869" w:rsidP="006B0869" w14:paraId="16EB1A5C" w14:textId="0C35E6BD">
      <w:pPr>
        <w:pStyle w:val="FootnoteText"/>
        <w:ind w:left="567" w:hanging="567"/>
        <w:rPr>
          <w:color w:val="000000"/>
          <w:sz w:val="24"/>
          <w:lang w:val="ro-RO"/>
        </w:rPr>
      </w:pPr>
      <w:r w:rsidRPr="006B0869">
        <w:rPr>
          <w:rStyle w:val="FootnoteReference"/>
          <w:sz w:val="24"/>
          <w:lang w:val="ro-RO"/>
        </w:rPr>
        <w:footnoteRef/>
      </w:r>
      <w:r w:rsidRPr="006B0869" w:rsidR="006B0869">
        <w:rPr>
          <w:color w:val="000000"/>
          <w:sz w:val="24"/>
          <w:lang w:val="ro-RO"/>
        </w:rPr>
        <w:t xml:space="preserve"> </w:t>
      </w:r>
      <w:r w:rsidRPr="006B0869" w:rsidR="006B0869">
        <w:rPr>
          <w:color w:val="000000"/>
          <w:sz w:val="24"/>
          <w:lang w:val="ro-RO"/>
        </w:rPr>
        <w:tab/>
      </w:r>
      <w:r w:rsidRPr="006B0869">
        <w:rPr>
          <w:color w:val="000000"/>
          <w:sz w:val="24"/>
          <w:lang w:val="ro-RO"/>
        </w:rPr>
        <w:t>JO L 84, 20.3.2004, p. 13, ELI:</w:t>
      </w:r>
      <w:r w:rsidR="00C57946">
        <w:rPr>
          <w:color w:val="000000"/>
          <w:sz w:val="24"/>
          <w:lang w:val="ro-RO"/>
        </w:rPr>
        <w:t> </w:t>
      </w:r>
      <w:hyperlink r:id="rId1" w:history="1">
        <w:r w:rsidRPr="006B0869">
          <w:rPr>
            <w:rStyle w:val="Hyperlink"/>
            <w:color w:val="0563C1"/>
            <w:sz w:val="24"/>
            <w:lang w:val="ro-RO"/>
          </w:rPr>
          <w:t>http://data.europa.eu/eli/agree_internation/2004/239(2)/oj</w:t>
        </w:r>
      </w:hyperlink>
      <w:r w:rsidRPr="006B0869">
        <w:rPr>
          <w:color w:val="000000"/>
          <w:sz w:val="24"/>
          <w:lang w:val="ro-RO"/>
        </w:rPr>
        <w:t>.</w:t>
      </w:r>
    </w:p>
  </w:footnote>
  <w:footnote w:id="3">
    <w:p w:rsidR="00D32AED" w:rsidRPr="006B0869" w:rsidP="006B0869" w14:paraId="545F0A9F" w14:textId="51448D5E">
      <w:pPr>
        <w:pStyle w:val="FootnoteText"/>
        <w:ind w:left="567" w:hanging="567"/>
        <w:rPr>
          <w:color w:val="000000"/>
          <w:sz w:val="24"/>
          <w:lang w:val="ro-RO"/>
        </w:rPr>
      </w:pPr>
      <w:r w:rsidRPr="006B0869">
        <w:rPr>
          <w:rStyle w:val="FootnoteReference"/>
          <w:sz w:val="24"/>
          <w:lang w:val="ro-RO"/>
        </w:rPr>
        <w:footnoteRef/>
      </w:r>
      <w:r w:rsidRPr="006B0869" w:rsidR="006B0869">
        <w:rPr>
          <w:color w:val="000000"/>
          <w:sz w:val="24"/>
          <w:lang w:val="ro-RO"/>
        </w:rPr>
        <w:t xml:space="preserve"> </w:t>
      </w:r>
      <w:r w:rsidRPr="006B0869" w:rsidR="006B0869">
        <w:rPr>
          <w:color w:val="000000"/>
          <w:sz w:val="24"/>
          <w:lang w:val="ro-RO"/>
        </w:rPr>
        <w:tab/>
      </w:r>
      <w:r w:rsidRPr="006B0869">
        <w:rPr>
          <w:color w:val="000000"/>
          <w:sz w:val="24"/>
          <w:lang w:val="ro-RO"/>
        </w:rPr>
        <w:t xml:space="preserve">JO L 330, 20.9.2021, p. </w:t>
      </w:r>
      <w:r w:rsidRPr="006B0869">
        <w:rPr>
          <w:color w:val="000000"/>
          <w:sz w:val="24"/>
          <w:lang w:val="ro-RO"/>
        </w:rPr>
        <w:t xml:space="preserve">1, ELI: </w:t>
      </w:r>
      <w:hyperlink r:id="rId2" w:history="1">
        <w:r w:rsidRPr="006B0869">
          <w:rPr>
            <w:rStyle w:val="Hyperlink"/>
            <w:color w:val="0563C1"/>
            <w:sz w:val="24"/>
            <w:lang w:val="ro-RO"/>
          </w:rPr>
          <w:t>http://data.europa.eu/eli/reg/2021/1529/oj</w:t>
        </w:r>
      </w:hyperlink>
      <w:r w:rsidRPr="006B0869">
        <w:rPr>
          <w:color w:val="000000"/>
          <w:sz w:val="24"/>
          <w:lang w:val="ro-RO"/>
        </w:rPr>
        <w:t>.</w:t>
      </w:r>
    </w:p>
  </w:footnote>
  <w:footnote w:id="4">
    <w:p w:rsidR="00D32AED" w:rsidRPr="006B0869" w:rsidP="006B0869" w14:paraId="5D274F60" w14:textId="124A191C">
      <w:pPr>
        <w:pStyle w:val="FootnoteText"/>
        <w:ind w:left="567" w:hanging="567"/>
        <w:rPr>
          <w:color w:val="000000"/>
          <w:sz w:val="24"/>
          <w:lang w:val="ro-RO"/>
        </w:rPr>
      </w:pPr>
      <w:r w:rsidRPr="006B0869">
        <w:rPr>
          <w:rStyle w:val="FootnoteReference"/>
          <w:sz w:val="24"/>
          <w:lang w:val="ro-RO"/>
        </w:rPr>
        <w:footnoteRef/>
      </w:r>
      <w:r w:rsidRPr="006B0869" w:rsidR="006B0869">
        <w:rPr>
          <w:color w:val="000000"/>
          <w:sz w:val="24"/>
          <w:lang w:val="ro-RO"/>
        </w:rPr>
        <w:t xml:space="preserve"> </w:t>
      </w:r>
      <w:r w:rsidRPr="006B0869" w:rsidR="006B0869">
        <w:rPr>
          <w:color w:val="000000"/>
          <w:sz w:val="24"/>
          <w:lang w:val="ro-RO"/>
        </w:rPr>
        <w:tab/>
      </w:r>
      <w:r w:rsidRPr="006B0869">
        <w:rPr>
          <w:color w:val="000000"/>
          <w:sz w:val="24"/>
          <w:lang w:val="ro-RO"/>
        </w:rPr>
        <w:t xml:space="preserve">JO L, 2024/1449, 24.5.2024, ELI: </w:t>
      </w:r>
      <w:hyperlink r:id="rId3" w:history="1">
        <w:r w:rsidRPr="006B0869">
          <w:rPr>
            <w:rStyle w:val="Hyperlink"/>
            <w:color w:val="0563C1"/>
            <w:sz w:val="24"/>
            <w:lang w:val="ro-RO"/>
          </w:rPr>
          <w:t>http://data.europa.eu/eli/reg/2024/1449/oj</w:t>
        </w:r>
      </w:hyperlink>
      <w:r w:rsidRPr="006B0869">
        <w:rPr>
          <w:color w:val="000000"/>
          <w:sz w:val="24"/>
          <w:lang w:val="ro-RO"/>
        </w:rPr>
        <w:t>.</w:t>
      </w:r>
    </w:p>
  </w:footnote>
  <w:footnote w:id="5">
    <w:p w:rsidR="00D32AED" w:rsidRPr="006B0869" w:rsidP="006B0869" w14:paraId="481CF901" w14:textId="2B9010F8">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JO C 202, 28.5.2021, p. 86.</w:t>
      </w:r>
    </w:p>
  </w:footnote>
  <w:footnote w:id="6">
    <w:p w:rsidR="00D32AED" w:rsidRPr="006B0869" w:rsidP="006B0869" w14:paraId="1A89811E" w14:textId="641CDEA6">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 xml:space="preserve">JO C, C/2024/6746, 26.11.2024, ELI: </w:t>
      </w:r>
      <w:hyperlink r:id="rId4" w:history="1">
        <w:r w:rsidRPr="006B0869">
          <w:rPr>
            <w:rStyle w:val="Hyperlink"/>
            <w:sz w:val="24"/>
            <w:lang w:val="ro-RO"/>
          </w:rPr>
          <w:t>http://data.europa.eu/eli/C/2024/6746/oj</w:t>
        </w:r>
      </w:hyperlink>
      <w:r w:rsidRPr="006B0869">
        <w:rPr>
          <w:sz w:val="24"/>
          <w:lang w:val="ro-RO"/>
        </w:rPr>
        <w:t xml:space="preserve">. </w:t>
      </w:r>
    </w:p>
  </w:footnote>
  <w:footnote w:id="7">
    <w:p w:rsidR="00D32AED" w:rsidRPr="006B0869" w:rsidP="006B0869" w14:paraId="282B2900" w14:textId="1EBF53EF">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Texte adoptate, P10_TA(2026)0077.</w:t>
      </w:r>
    </w:p>
  </w:footnote>
  <w:footnote w:id="8">
    <w:p w:rsidR="00D32AED" w:rsidRPr="006B0869" w:rsidP="006B0869" w14:paraId="1AD0BB52" w14:textId="0AE1A17A">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w:t>
      </w:r>
      <w:r w:rsidR="00713F1C">
        <w:rPr>
          <w:sz w:val="24"/>
          <w:lang w:val="ro-RO"/>
        </w:rPr>
        <w:t> </w:t>
      </w:r>
      <w:hyperlink r:id="rId5" w:history="1">
        <w:r w:rsidRPr="006B0869">
          <w:rPr>
            <w:rStyle w:val="Hyperlink"/>
            <w:sz w:val="24"/>
            <w:lang w:val="ro-RO"/>
          </w:rPr>
          <w:t>http://data.europa.eu/eli/dir/2024/1069/oj</w:t>
        </w:r>
      </w:hyperlink>
      <w:r w:rsidRPr="006B0869">
        <w:rPr>
          <w:sz w:val="24"/>
          <w:lang w:val="ro-RO"/>
        </w:rPr>
        <w:t xml:space="preserve">). </w:t>
      </w:r>
    </w:p>
  </w:footnote>
  <w:footnote w:id="9">
    <w:p w:rsidR="00D32AED" w:rsidRPr="006B0869" w:rsidP="006B0869" w14:paraId="54AEF5DB" w14:textId="43B0B19E">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Directiva 2011/92/UE a Parlamentului European și a Consiliului din 13 decembrie 2011 privind evaluarea efectelor anumitor proiecte publice și private asupra mediului (JO L 26, 28.1.2012, p. </w:t>
      </w:r>
      <w:r w:rsidRPr="006B0869">
        <w:rPr>
          <w:sz w:val="24"/>
          <w:lang w:val="ro-RO"/>
        </w:rPr>
        <w:t xml:space="preserve">1, ELI: </w:t>
      </w:r>
      <w:hyperlink r:id="rId6" w:history="1">
        <w:r w:rsidRPr="006B0869">
          <w:rPr>
            <w:rStyle w:val="Hyperlink"/>
            <w:sz w:val="24"/>
            <w:lang w:val="ro-RO"/>
          </w:rPr>
          <w:t>http://data.europa.eu/eli/dir/2011/92/oj</w:t>
        </w:r>
      </w:hyperlink>
      <w:r w:rsidRPr="006B0869">
        <w:rPr>
          <w:sz w:val="24"/>
          <w:lang w:val="ro-RO"/>
        </w:rPr>
        <w:t>).</w:t>
      </w:r>
    </w:p>
  </w:footnote>
  <w:footnote w:id="10">
    <w:p w:rsidR="00D32AED" w:rsidRPr="006B0869" w:rsidP="006B0869" w14:paraId="571AADD2" w14:textId="0C3CE948">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Directiva 2001/42/CE a Parlamentului European și a Consiliului din 27 iunie 2001 privind evaluarea efectelor anumitor planuri și programe asupra mediului (JO L 197, 21.7.2001, p. </w:t>
      </w:r>
      <w:r w:rsidRPr="006B0869">
        <w:rPr>
          <w:sz w:val="24"/>
          <w:lang w:val="ro-RO"/>
        </w:rPr>
        <w:t xml:space="preserve">30, ELI: </w:t>
      </w:r>
      <w:hyperlink r:id="rId7" w:history="1">
        <w:r w:rsidRPr="006B0869">
          <w:rPr>
            <w:rStyle w:val="Hyperlink"/>
            <w:sz w:val="24"/>
            <w:lang w:val="ro-RO"/>
          </w:rPr>
          <w:t>http://data.europa.eu/eli/dir/2001/42/oj</w:t>
        </w:r>
      </w:hyperlink>
      <w:r w:rsidRPr="006B0869">
        <w:rPr>
          <w:sz w:val="24"/>
          <w:lang w:val="ro-RO"/>
        </w:rPr>
        <w:t xml:space="preserve">). </w:t>
      </w:r>
    </w:p>
  </w:footnote>
  <w:footnote w:id="11">
    <w:p w:rsidR="00D32AED" w:rsidRPr="006B0869" w:rsidP="006B0869" w14:paraId="358B3445" w14:textId="0CFC7D5F">
      <w:pPr>
        <w:ind w:left="567" w:hanging="567"/>
      </w:pPr>
      <w:r w:rsidRPr="006B0869">
        <w:rPr>
          <w:rStyle w:val="FootnoteReference"/>
        </w:rPr>
        <w:footnoteRef/>
      </w:r>
      <w:r w:rsidRPr="006B0869" w:rsidR="006B0869">
        <w:t xml:space="preserve"> </w:t>
      </w:r>
      <w:r w:rsidRPr="006B0869" w:rsidR="006B0869">
        <w:tab/>
      </w:r>
      <w:r w:rsidRPr="006B0869">
        <w:t>Directiva 92/43/CEE a Consiliului din 21 mai 1992 privind conservarea habitatelor naturale și a speciilor de faună și floră sălbatică (JO L 206, 22.7.1992, p. 7, ELI:</w:t>
      </w:r>
      <w:r w:rsidR="00713F1C">
        <w:t> </w:t>
      </w:r>
      <w:hyperlink r:id="rId8" w:history="1">
        <w:r w:rsidRPr="006B0869">
          <w:rPr>
            <w:rStyle w:val="Hyperlink"/>
          </w:rPr>
          <w:t>http://data.europa.eu/eli/dir/1992/43/oj</w:t>
        </w:r>
      </w:hyperlink>
      <w:r w:rsidRPr="006B0869">
        <w:t xml:space="preserve">). </w:t>
      </w:r>
    </w:p>
  </w:footnote>
  <w:footnote w:id="12">
    <w:p w:rsidR="00D32AED" w:rsidRPr="006B0869" w:rsidP="006B0869" w14:paraId="386112E2" w14:textId="14BF51E9">
      <w:pPr>
        <w:pStyle w:val="FootnoteText"/>
        <w:ind w:left="567" w:hanging="567"/>
        <w:rPr>
          <w:sz w:val="24"/>
          <w:lang w:val="ro-RO"/>
        </w:rPr>
      </w:pPr>
      <w:r w:rsidRPr="006B0869">
        <w:rPr>
          <w:rStyle w:val="FootnoteReference"/>
          <w:sz w:val="24"/>
          <w:lang w:val="ro-RO"/>
        </w:rPr>
        <w:footnoteRef/>
      </w:r>
      <w:r w:rsidRPr="006B0869" w:rsidR="006B0869">
        <w:rPr>
          <w:sz w:val="24"/>
          <w:lang w:val="ro-RO"/>
        </w:rPr>
        <w:t xml:space="preserve"> </w:t>
      </w:r>
      <w:r w:rsidRPr="006B0869" w:rsidR="006B0869">
        <w:rPr>
          <w:sz w:val="24"/>
          <w:lang w:val="ro-RO"/>
        </w:rPr>
        <w:tab/>
      </w:r>
      <w:r w:rsidRPr="006B0869">
        <w:rPr>
          <w:sz w:val="24"/>
          <w:lang w:val="ro-RO"/>
        </w:rPr>
        <w:t>Directiva 2009/147/CE a Parlamentului European și a Consiliului din 30 noiembrie 2009 privind conservarea păsărilor sălbatice (JO L 20, 26.1.2010, p. </w:t>
      </w:r>
      <w:r w:rsidRPr="006B0869">
        <w:rPr>
          <w:sz w:val="24"/>
          <w:lang w:val="ro-RO"/>
        </w:rPr>
        <w:t xml:space="preserve">7, ELI: </w:t>
      </w:r>
      <w:hyperlink r:id="rId9" w:history="1">
        <w:r w:rsidRPr="006B0869">
          <w:rPr>
            <w:rStyle w:val="Hyperlink"/>
            <w:sz w:val="24"/>
            <w:lang w:val="ro-RO"/>
          </w:rPr>
          <w:t>http://data.europa.eu/eli/dir/2009/147/oj</w:t>
        </w:r>
      </w:hyperlink>
      <w:r w:rsidRPr="006B0869">
        <w:rPr>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FC64342"/>
    <w:multiLevelType w:val="hybridMultilevel"/>
    <w:tmpl w:val="6B7855D4"/>
    <w:lvl w:ilvl="0">
      <w:start w:val="0"/>
      <w:numFmt w:val="bullet"/>
      <w:lvlText w:val="-"/>
      <w:lvlJc w:val="left"/>
      <w:pPr>
        <w:ind w:left="720" w:hanging="360"/>
      </w:pPr>
      <w:rPr>
        <w:rFonts w:ascii="Europea" w:eastAsia="Europea" w:hAnsi="Europea" w:cs="Europe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43F96608"/>
    <w:multiLevelType w:val="hybridMultilevel"/>
    <w:tmpl w:val="4BF46044"/>
    <w:lvl w:ilvl="0">
      <w:start w:val="0"/>
      <w:numFmt w:val="bullet"/>
      <w:lvlText w:val="–"/>
      <w:lvlJc w:val="left"/>
      <w:pPr>
        <w:ind w:left="720" w:hanging="360"/>
      </w:pPr>
      <w:rPr>
        <w:rFonts w:ascii="Europea" w:eastAsia="Europea" w:hAnsi="Europea" w:cs="Europe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DB67C27"/>
    <w:multiLevelType w:val="hybridMultilevel"/>
    <w:tmpl w:val="7A1E571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00400832">
    <w:abstractNumId w:val="9"/>
  </w:num>
  <w:num w:numId="2" w16cid:durableId="170218669">
    <w:abstractNumId w:val="9"/>
  </w:num>
  <w:num w:numId="3" w16cid:durableId="1444035854">
    <w:abstractNumId w:val="7"/>
  </w:num>
  <w:num w:numId="4" w16cid:durableId="688796226">
    <w:abstractNumId w:val="7"/>
  </w:num>
  <w:num w:numId="5" w16cid:durableId="927807935">
    <w:abstractNumId w:val="6"/>
  </w:num>
  <w:num w:numId="6" w16cid:durableId="2000108895">
    <w:abstractNumId w:val="6"/>
  </w:num>
  <w:num w:numId="7" w16cid:durableId="712117012">
    <w:abstractNumId w:val="5"/>
  </w:num>
  <w:num w:numId="8" w16cid:durableId="585506015">
    <w:abstractNumId w:val="5"/>
  </w:num>
  <w:num w:numId="9" w16cid:durableId="1470392905">
    <w:abstractNumId w:val="4"/>
  </w:num>
  <w:num w:numId="10" w16cid:durableId="825317190">
    <w:abstractNumId w:val="4"/>
  </w:num>
  <w:num w:numId="11" w16cid:durableId="175586125">
    <w:abstractNumId w:val="8"/>
  </w:num>
  <w:num w:numId="12" w16cid:durableId="1984970427">
    <w:abstractNumId w:val="8"/>
  </w:num>
  <w:num w:numId="13" w16cid:durableId="1667050846">
    <w:abstractNumId w:val="3"/>
  </w:num>
  <w:num w:numId="14" w16cid:durableId="1935091618">
    <w:abstractNumId w:val="3"/>
  </w:num>
  <w:num w:numId="15" w16cid:durableId="533229497">
    <w:abstractNumId w:val="2"/>
  </w:num>
  <w:num w:numId="16" w16cid:durableId="555510265">
    <w:abstractNumId w:val="2"/>
  </w:num>
  <w:num w:numId="17" w16cid:durableId="1570728750">
    <w:abstractNumId w:val="1"/>
  </w:num>
  <w:num w:numId="18" w16cid:durableId="1809082048">
    <w:abstractNumId w:val="1"/>
  </w:num>
  <w:num w:numId="19" w16cid:durableId="897740846">
    <w:abstractNumId w:val="0"/>
  </w:num>
  <w:num w:numId="20" w16cid:durableId="1070730647">
    <w:abstractNumId w:val="0"/>
  </w:num>
  <w:num w:numId="21" w16cid:durableId="1599563755">
    <w:abstractNumId w:val="9"/>
  </w:num>
  <w:num w:numId="22" w16cid:durableId="2140149225">
    <w:abstractNumId w:val="7"/>
  </w:num>
  <w:num w:numId="23" w16cid:durableId="1489439454">
    <w:abstractNumId w:val="6"/>
  </w:num>
  <w:num w:numId="24" w16cid:durableId="1429425045">
    <w:abstractNumId w:val="5"/>
  </w:num>
  <w:num w:numId="25" w16cid:durableId="568271249">
    <w:abstractNumId w:val="4"/>
  </w:num>
  <w:num w:numId="26" w16cid:durableId="67578377">
    <w:abstractNumId w:val="8"/>
  </w:num>
  <w:num w:numId="27" w16cid:durableId="411244020">
    <w:abstractNumId w:val="3"/>
  </w:num>
  <w:num w:numId="28" w16cid:durableId="1773479050">
    <w:abstractNumId w:val="2"/>
  </w:num>
  <w:num w:numId="29" w16cid:durableId="2146121964">
    <w:abstractNumId w:val="1"/>
  </w:num>
  <w:num w:numId="30" w16cid:durableId="2130855966">
    <w:abstractNumId w:val="0"/>
  </w:num>
  <w:num w:numId="31" w16cid:durableId="1554270157">
    <w:abstractNumId w:val="9"/>
  </w:num>
  <w:num w:numId="32" w16cid:durableId="1914005724">
    <w:abstractNumId w:val="7"/>
  </w:num>
  <w:num w:numId="33" w16cid:durableId="1823547878">
    <w:abstractNumId w:val="6"/>
  </w:num>
  <w:num w:numId="34" w16cid:durableId="45224195">
    <w:abstractNumId w:val="5"/>
  </w:num>
  <w:num w:numId="35" w16cid:durableId="163514353">
    <w:abstractNumId w:val="4"/>
  </w:num>
  <w:num w:numId="36" w16cid:durableId="48307306">
    <w:abstractNumId w:val="8"/>
  </w:num>
  <w:num w:numId="37" w16cid:durableId="1234970838">
    <w:abstractNumId w:val="3"/>
  </w:num>
  <w:num w:numId="38" w16cid:durableId="451361228">
    <w:abstractNumId w:val="2"/>
  </w:num>
  <w:num w:numId="39" w16cid:durableId="1708607048">
    <w:abstractNumId w:val="1"/>
  </w:num>
  <w:num w:numId="40" w16cid:durableId="636642744">
    <w:abstractNumId w:val="0"/>
  </w:num>
  <w:num w:numId="41" w16cid:durableId="1370836650">
    <w:abstractNumId w:val="10"/>
  </w:num>
  <w:num w:numId="42" w16cid:durableId="1996454124">
    <w:abstractNumId w:val="10"/>
  </w:num>
  <w:num w:numId="43" w16cid:durableId="1650476809">
    <w:abstractNumId w:val="10"/>
  </w:num>
  <w:num w:numId="44" w16cid:durableId="120920508">
    <w:abstractNumId w:val="11"/>
  </w:num>
  <w:num w:numId="45" w16cid:durableId="2117361133">
    <w:abstractNumId w:val="13"/>
  </w:num>
  <w:num w:numId="46" w16cid:durableId="765733061">
    <w:abstractNumId w:val="12"/>
  </w:num>
  <w:num w:numId="47" w16cid:durableId="17844174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A1"/>
    <w:rsid w:val="00002272"/>
    <w:rsid w:val="00064002"/>
    <w:rsid w:val="000677B9"/>
    <w:rsid w:val="000831BA"/>
    <w:rsid w:val="000A42CC"/>
    <w:rsid w:val="000E7DD9"/>
    <w:rsid w:val="0010095E"/>
    <w:rsid w:val="00125B37"/>
    <w:rsid w:val="00146E30"/>
    <w:rsid w:val="00187494"/>
    <w:rsid w:val="001F32AE"/>
    <w:rsid w:val="002767FF"/>
    <w:rsid w:val="002B18FE"/>
    <w:rsid w:val="002B5493"/>
    <w:rsid w:val="00343214"/>
    <w:rsid w:val="00361C00"/>
    <w:rsid w:val="00395FA1"/>
    <w:rsid w:val="003E15D4"/>
    <w:rsid w:val="003F553C"/>
    <w:rsid w:val="00411CCE"/>
    <w:rsid w:val="0041666E"/>
    <w:rsid w:val="00421060"/>
    <w:rsid w:val="00471C19"/>
    <w:rsid w:val="004867E3"/>
    <w:rsid w:val="00494A28"/>
    <w:rsid w:val="004C0004"/>
    <w:rsid w:val="004C5D52"/>
    <w:rsid w:val="004C60A1"/>
    <w:rsid w:val="0050519A"/>
    <w:rsid w:val="005072A1"/>
    <w:rsid w:val="00514517"/>
    <w:rsid w:val="00545827"/>
    <w:rsid w:val="00560270"/>
    <w:rsid w:val="005C2568"/>
    <w:rsid w:val="005F1B17"/>
    <w:rsid w:val="006037C0"/>
    <w:rsid w:val="006631B6"/>
    <w:rsid w:val="00680577"/>
    <w:rsid w:val="0068565B"/>
    <w:rsid w:val="006923C3"/>
    <w:rsid w:val="006B0869"/>
    <w:rsid w:val="006F74FA"/>
    <w:rsid w:val="00704605"/>
    <w:rsid w:val="00713F1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A0F"/>
    <w:rsid w:val="008C2AC6"/>
    <w:rsid w:val="008E3E88"/>
    <w:rsid w:val="00930C23"/>
    <w:rsid w:val="0093193B"/>
    <w:rsid w:val="009509D8"/>
    <w:rsid w:val="00950B64"/>
    <w:rsid w:val="00981893"/>
    <w:rsid w:val="00A1687D"/>
    <w:rsid w:val="00A33C6A"/>
    <w:rsid w:val="00A43E52"/>
    <w:rsid w:val="00A4678D"/>
    <w:rsid w:val="00A778C7"/>
    <w:rsid w:val="00AA6715"/>
    <w:rsid w:val="00AB441E"/>
    <w:rsid w:val="00AB6293"/>
    <w:rsid w:val="00AD70A2"/>
    <w:rsid w:val="00AE0928"/>
    <w:rsid w:val="00AF3B82"/>
    <w:rsid w:val="00B12E95"/>
    <w:rsid w:val="00B21477"/>
    <w:rsid w:val="00B22876"/>
    <w:rsid w:val="00B558F0"/>
    <w:rsid w:val="00BD48FE"/>
    <w:rsid w:val="00BD7BD8"/>
    <w:rsid w:val="00BE6ADC"/>
    <w:rsid w:val="00C05BFE"/>
    <w:rsid w:val="00C23CD4"/>
    <w:rsid w:val="00C57946"/>
    <w:rsid w:val="00C61C0C"/>
    <w:rsid w:val="00C941CB"/>
    <w:rsid w:val="00C97527"/>
    <w:rsid w:val="00CC2357"/>
    <w:rsid w:val="00CF071A"/>
    <w:rsid w:val="00D058B8"/>
    <w:rsid w:val="00D32A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RO"/>
    <w:docVar w:name="dvnumam" w:val="0"/>
    <w:docVar w:name="dvpe" w:val="784.260"/>
    <w:docVar w:name="dvrapporteur" w:val="Raportor: "/>
    <w:docVar w:name="dvtitre" w:val="Rezoluția Parlamentului European din 17 iunie 2026 referitoare la raportul pe 2025 al Comisiei privind Macedonia de Nord(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F338B8"/>
  <w15:chartTrackingRefBased/>
  <w15:docId w15:val="{F0DA4AC4-8092-4E55-B1DD-0E2D6F65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32AED"/>
    <w:rPr>
      <w:b/>
      <w:kern w:val="28"/>
      <w:sz w:val="28"/>
      <w:lang w:val="fr-FR" w:eastAsia="fr-FR"/>
    </w:rPr>
  </w:style>
  <w:style w:type="character" w:customStyle="1" w:styleId="Heading2Char">
    <w:name w:val="Heading 2 Char"/>
    <w:basedOn w:val="DefaultParagraphFont"/>
    <w:link w:val="Heading2"/>
    <w:semiHidden/>
    <w:rsid w:val="00D32AED"/>
    <w:rPr>
      <w:sz w:val="24"/>
      <w:lang w:val="fr-FR" w:eastAsia="fr-FR"/>
    </w:rPr>
  </w:style>
  <w:style w:type="character" w:customStyle="1" w:styleId="Heading3Char">
    <w:name w:val="Heading 3 Char"/>
    <w:basedOn w:val="DefaultParagraphFont"/>
    <w:link w:val="Heading3"/>
    <w:semiHidden/>
    <w:rsid w:val="00D32AED"/>
    <w:rPr>
      <w:rFonts w:ascii="Arial" w:hAnsi="Arial"/>
      <w:sz w:val="24"/>
      <w:lang w:val="fr-FR" w:eastAsia="fr-FR"/>
    </w:rPr>
  </w:style>
  <w:style w:type="character" w:customStyle="1" w:styleId="Heading4Char">
    <w:name w:val="Heading 4 Char"/>
    <w:basedOn w:val="DefaultParagraphFont"/>
    <w:link w:val="Heading4"/>
    <w:semiHidden/>
    <w:rsid w:val="00D32AED"/>
    <w:rPr>
      <w:sz w:val="24"/>
      <w:lang w:val="en-US" w:eastAsia="fr-FR"/>
    </w:rPr>
  </w:style>
  <w:style w:type="character" w:customStyle="1" w:styleId="Heading5Char">
    <w:name w:val="Heading 5 Char"/>
    <w:basedOn w:val="DefaultParagraphFont"/>
    <w:link w:val="Heading5"/>
    <w:semiHidden/>
    <w:rsid w:val="00D32AED"/>
    <w:rPr>
      <w:sz w:val="24"/>
      <w:lang w:val="en-US" w:eastAsia="fr-FR"/>
    </w:rPr>
  </w:style>
  <w:style w:type="character" w:customStyle="1" w:styleId="Heading6Char">
    <w:name w:val="Heading 6 Char"/>
    <w:basedOn w:val="DefaultParagraphFont"/>
    <w:link w:val="Heading6"/>
    <w:semiHidden/>
    <w:rsid w:val="00D32AED"/>
    <w:rPr>
      <w:i/>
      <w:sz w:val="22"/>
      <w:lang w:val="ro-RO"/>
    </w:rPr>
  </w:style>
  <w:style w:type="character" w:customStyle="1" w:styleId="Heading7Char">
    <w:name w:val="Heading 7 Char"/>
    <w:basedOn w:val="DefaultParagraphFont"/>
    <w:link w:val="Heading7"/>
    <w:semiHidden/>
    <w:rsid w:val="00D32AED"/>
    <w:rPr>
      <w:rFonts w:ascii="Arial" w:hAnsi="Arial"/>
      <w:sz w:val="24"/>
      <w:lang w:val="ro-RO"/>
    </w:rPr>
  </w:style>
  <w:style w:type="character" w:customStyle="1" w:styleId="Heading8Char">
    <w:name w:val="Heading 8 Char"/>
    <w:basedOn w:val="DefaultParagraphFont"/>
    <w:link w:val="Heading8"/>
    <w:semiHidden/>
    <w:rsid w:val="00D32AED"/>
    <w:rPr>
      <w:rFonts w:ascii="Arial" w:hAnsi="Arial"/>
      <w:i/>
      <w:sz w:val="24"/>
      <w:lang w:val="ro-RO"/>
    </w:rPr>
  </w:style>
  <w:style w:type="character" w:customStyle="1" w:styleId="Heading9Char">
    <w:name w:val="Heading 9 Char"/>
    <w:basedOn w:val="DefaultParagraphFont"/>
    <w:link w:val="Heading9"/>
    <w:semiHidden/>
    <w:rsid w:val="00D32AED"/>
    <w:rPr>
      <w:rFonts w:ascii="Arial" w:hAnsi="Arial"/>
      <w:b/>
      <w:i/>
      <w:sz w:val="18"/>
      <w:lang w:val="ro-RO"/>
    </w:rPr>
  </w:style>
  <w:style w:type="paragraph" w:styleId="TOCHeading">
    <w:name w:val="TOC Heading"/>
    <w:basedOn w:val="Normal"/>
    <w:next w:val="Normal"/>
    <w:unhideWhenUsed/>
    <w:qFormat/>
    <w:rsid w:val="00D32AED"/>
    <w:pPr>
      <w:widowControl/>
      <w:spacing w:after="240"/>
    </w:pPr>
    <w:rPr>
      <w:lang w:val="en-GB"/>
    </w:rPr>
  </w:style>
  <w:style w:type="paragraph" w:customStyle="1" w:styleId="EPFooter2">
    <w:name w:val="EPFooter2"/>
    <w:basedOn w:val="Normal"/>
    <w:next w:val="Normal"/>
    <w:rsid w:val="00D32A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32AED"/>
    <w:pPr>
      <w:keepNext/>
      <w:spacing w:after="240"/>
      <w:jc w:val="right"/>
    </w:pPr>
    <w:rPr>
      <w:rFonts w:ascii="Arial" w:hAnsi="Arial"/>
      <w:b/>
    </w:rPr>
  </w:style>
  <w:style w:type="paragraph" w:customStyle="1" w:styleId="PageHeading">
    <w:name w:val="PageHeading"/>
    <w:basedOn w:val="Normal"/>
    <w:rsid w:val="00D32AED"/>
    <w:pPr>
      <w:keepNext/>
      <w:spacing w:after="480"/>
      <w:jc w:val="center"/>
    </w:pPr>
    <w:rPr>
      <w:rFonts w:ascii="Arial" w:hAnsi="Arial" w:cs="Arial"/>
      <w:b/>
    </w:rPr>
  </w:style>
  <w:style w:type="paragraph" w:customStyle="1" w:styleId="NormalBold">
    <w:name w:val="NormalBold"/>
    <w:basedOn w:val="Normal"/>
    <w:rsid w:val="00D32AED"/>
    <w:rPr>
      <w:b/>
    </w:rPr>
  </w:style>
  <w:style w:type="paragraph" w:customStyle="1" w:styleId="NormalHanging12a">
    <w:name w:val="NormalHanging12a"/>
    <w:basedOn w:val="Normal"/>
    <w:link w:val="NormalHanging12aChar"/>
    <w:rsid w:val="00D32AED"/>
    <w:pPr>
      <w:spacing w:after="240"/>
      <w:ind w:left="567" w:hanging="567"/>
    </w:pPr>
  </w:style>
  <w:style w:type="paragraph" w:customStyle="1" w:styleId="CoverNormal24a">
    <w:name w:val="CoverNormal24a"/>
    <w:basedOn w:val="Normal"/>
    <w:rsid w:val="00D32AED"/>
    <w:pPr>
      <w:spacing w:after="480"/>
      <w:ind w:left="1417"/>
    </w:pPr>
  </w:style>
  <w:style w:type="paragraph" w:customStyle="1" w:styleId="CoverNormal">
    <w:name w:val="CoverNormal"/>
    <w:basedOn w:val="Normal"/>
    <w:rsid w:val="00D32AED"/>
    <w:pPr>
      <w:ind w:left="1418"/>
    </w:pPr>
  </w:style>
  <w:style w:type="paragraph" w:customStyle="1" w:styleId="CoverReference">
    <w:name w:val="CoverReference"/>
    <w:basedOn w:val="Normal"/>
    <w:rsid w:val="00D32AED"/>
    <w:pPr>
      <w:spacing w:before="1080"/>
      <w:jc w:val="right"/>
    </w:pPr>
    <w:rPr>
      <w:rFonts w:ascii="Arial" w:hAnsi="Arial" w:cs="Arial"/>
      <w:b/>
    </w:rPr>
  </w:style>
  <w:style w:type="paragraph" w:customStyle="1" w:styleId="CoverDocType24a">
    <w:name w:val="CoverDocType24a"/>
    <w:basedOn w:val="Normal"/>
    <w:rsid w:val="00D32AED"/>
    <w:pPr>
      <w:spacing w:after="480"/>
      <w:ind w:left="1418"/>
    </w:pPr>
    <w:rPr>
      <w:rFonts w:ascii="Arial" w:hAnsi="Arial"/>
      <w:b/>
      <w:sz w:val="48"/>
    </w:rPr>
  </w:style>
  <w:style w:type="paragraph" w:customStyle="1" w:styleId="CoverDate">
    <w:name w:val="CoverDate"/>
    <w:basedOn w:val="Normal"/>
    <w:rsid w:val="00D32AED"/>
    <w:pPr>
      <w:spacing w:before="240" w:after="1200"/>
    </w:pPr>
  </w:style>
  <w:style w:type="paragraph" w:styleId="Header">
    <w:name w:val="header"/>
    <w:basedOn w:val="Normal"/>
    <w:link w:val="HeaderChar"/>
    <w:rsid w:val="00D32AED"/>
    <w:pPr>
      <w:tabs>
        <w:tab w:val="center" w:pos="4513"/>
        <w:tab w:val="right" w:pos="9026"/>
      </w:tabs>
    </w:pPr>
  </w:style>
  <w:style w:type="character" w:customStyle="1" w:styleId="HeaderChar">
    <w:name w:val="Header Char"/>
    <w:basedOn w:val="DefaultParagraphFont"/>
    <w:link w:val="Header"/>
    <w:rsid w:val="00D32AED"/>
    <w:rPr>
      <w:sz w:val="24"/>
      <w:lang w:val="ro-RO"/>
    </w:rPr>
  </w:style>
  <w:style w:type="paragraph" w:customStyle="1" w:styleId="EPBody">
    <w:name w:val="EPBody"/>
    <w:basedOn w:val="Normal"/>
    <w:rsid w:val="00D32AED"/>
    <w:pPr>
      <w:jc w:val="center"/>
    </w:pPr>
    <w:rPr>
      <w:rFonts w:ascii="Arial" w:hAnsi="Arial" w:cs="Arial"/>
      <w:i/>
      <w:sz w:val="22"/>
      <w:szCs w:val="22"/>
    </w:rPr>
  </w:style>
  <w:style w:type="paragraph" w:customStyle="1" w:styleId="EPFooter">
    <w:name w:val="EPFooter"/>
    <w:basedOn w:val="Normal"/>
    <w:rsid w:val="00D32AED"/>
    <w:pPr>
      <w:tabs>
        <w:tab w:val="center" w:pos="4535"/>
        <w:tab w:val="right" w:pos="9071"/>
      </w:tabs>
      <w:spacing w:before="240" w:after="240"/>
    </w:pPr>
    <w:rPr>
      <w:color w:val="010000"/>
      <w:sz w:val="22"/>
    </w:rPr>
  </w:style>
  <w:style w:type="paragraph" w:customStyle="1" w:styleId="EPComma">
    <w:name w:val="EPComma"/>
    <w:basedOn w:val="Normal"/>
    <w:rsid w:val="00D32AED"/>
    <w:pPr>
      <w:spacing w:before="480" w:after="240"/>
    </w:pPr>
  </w:style>
  <w:style w:type="paragraph" w:customStyle="1" w:styleId="Normal12a">
    <w:name w:val="Normal12a"/>
    <w:basedOn w:val="Normal"/>
    <w:rsid w:val="00D32AED"/>
    <w:pPr>
      <w:spacing w:after="240"/>
    </w:pPr>
  </w:style>
  <w:style w:type="paragraph" w:customStyle="1" w:styleId="CoverNormal12a">
    <w:name w:val="CoverNormal12a"/>
    <w:basedOn w:val="Normal"/>
    <w:rsid w:val="00D32AED"/>
    <w:pPr>
      <w:spacing w:after="240"/>
      <w:ind w:left="1418"/>
    </w:pPr>
  </w:style>
  <w:style w:type="paragraph" w:customStyle="1" w:styleId="Normal24a">
    <w:name w:val="Normal24a"/>
    <w:basedOn w:val="Normal"/>
    <w:rsid w:val="00D32AED"/>
    <w:pPr>
      <w:spacing w:after="480"/>
    </w:pPr>
  </w:style>
  <w:style w:type="paragraph" w:customStyle="1" w:styleId="NormalBoldCenter">
    <w:name w:val="NormalBoldCenter"/>
    <w:basedOn w:val="Normal"/>
    <w:rsid w:val="00D32AED"/>
    <w:pPr>
      <w:jc w:val="center"/>
    </w:pPr>
    <w:rPr>
      <w:b/>
    </w:rPr>
  </w:style>
  <w:style w:type="paragraph" w:customStyle="1" w:styleId="Footprint12b">
    <w:name w:val="Footprint12b"/>
    <w:basedOn w:val="Normal"/>
    <w:rsid w:val="00D32AED"/>
    <w:pPr>
      <w:spacing w:before="240"/>
    </w:pPr>
    <w:rPr>
      <w:szCs w:val="24"/>
    </w:rPr>
  </w:style>
  <w:style w:type="paragraph" w:customStyle="1" w:styleId="NormalSingle">
    <w:name w:val="NormalSingle"/>
    <w:basedOn w:val="Normal"/>
    <w:qFormat/>
    <w:rsid w:val="00D32AED"/>
    <w:rPr>
      <w:szCs w:val="24"/>
    </w:rPr>
  </w:style>
  <w:style w:type="character" w:styleId="Hyperlink">
    <w:name w:val="Hyperlink"/>
    <w:basedOn w:val="DefaultParagraphFont"/>
    <w:rsid w:val="00D32AED"/>
    <w:rPr>
      <w:color w:val="0563C1" w:themeColor="hyperlink"/>
      <w:u w:val="single"/>
    </w:rPr>
  </w:style>
  <w:style w:type="character" w:styleId="UnresolvedMention">
    <w:name w:val="Unresolved Mention"/>
    <w:basedOn w:val="DefaultParagraphFont"/>
    <w:uiPriority w:val="99"/>
    <w:semiHidden/>
    <w:unhideWhenUsed/>
    <w:rsid w:val="00D32AED"/>
    <w:rPr>
      <w:color w:val="605E5C"/>
      <w:shd w:val="clear" w:color="auto" w:fill="E1DFDD"/>
    </w:rPr>
  </w:style>
  <w:style w:type="paragraph" w:styleId="Revision">
    <w:name w:val="Revision"/>
    <w:hidden/>
    <w:uiPriority w:val="99"/>
    <w:semiHidden/>
    <w:rsid w:val="00D32AED"/>
    <w:rPr>
      <w:sz w:val="24"/>
      <w:lang w:val="ro-RO"/>
    </w:rPr>
  </w:style>
  <w:style w:type="paragraph" w:styleId="Footer">
    <w:name w:val="footer"/>
    <w:basedOn w:val="Normal"/>
    <w:link w:val="FooterChar"/>
    <w:rsid w:val="00D32AED"/>
    <w:pPr>
      <w:tabs>
        <w:tab w:val="center" w:pos="4513"/>
        <w:tab w:val="right" w:pos="9026"/>
      </w:tabs>
    </w:pPr>
  </w:style>
  <w:style w:type="character" w:customStyle="1" w:styleId="FooterChar">
    <w:name w:val="Footer Char"/>
    <w:basedOn w:val="DefaultParagraphFont"/>
    <w:link w:val="Footer"/>
    <w:rsid w:val="00D32AED"/>
    <w:rPr>
      <w:sz w:val="24"/>
      <w:lang w:val="ro-RO"/>
    </w:rPr>
  </w:style>
  <w:style w:type="character" w:styleId="CommentReference">
    <w:name w:val="annotation reference"/>
    <w:basedOn w:val="DefaultParagraphFont"/>
    <w:rsid w:val="00D32AED"/>
    <w:rPr>
      <w:sz w:val="16"/>
      <w:szCs w:val="16"/>
    </w:rPr>
  </w:style>
  <w:style w:type="paragraph" w:styleId="CommentText">
    <w:name w:val="annotation text"/>
    <w:basedOn w:val="Normal"/>
    <w:link w:val="CommentTextChar"/>
    <w:rsid w:val="00D32AED"/>
    <w:rPr>
      <w:sz w:val="20"/>
    </w:rPr>
  </w:style>
  <w:style w:type="character" w:customStyle="1" w:styleId="CommentTextChar">
    <w:name w:val="Comment Text Char"/>
    <w:basedOn w:val="DefaultParagraphFont"/>
    <w:link w:val="CommentText"/>
    <w:rsid w:val="00D32AED"/>
    <w:rPr>
      <w:lang w:val="ro-RO"/>
    </w:rPr>
  </w:style>
  <w:style w:type="paragraph" w:styleId="CommentSubject">
    <w:name w:val="annotation subject"/>
    <w:basedOn w:val="CommentText"/>
    <w:next w:val="CommentText"/>
    <w:link w:val="CommentSubjectChar"/>
    <w:unhideWhenUsed/>
    <w:rsid w:val="00D32AED"/>
    <w:rPr>
      <w:b/>
      <w:bCs/>
    </w:rPr>
  </w:style>
  <w:style w:type="character" w:customStyle="1" w:styleId="CommentSubjectChar">
    <w:name w:val="Comment Subject Char"/>
    <w:basedOn w:val="CommentTextChar"/>
    <w:link w:val="CommentSubject"/>
    <w:rsid w:val="00D32AED"/>
    <w:rPr>
      <w:b/>
      <w:bCs/>
      <w:lang w:val="ro-RO"/>
    </w:rPr>
  </w:style>
  <w:style w:type="character" w:customStyle="1" w:styleId="NormalHanging12aChar">
    <w:name w:val="NormalHanging12a Char"/>
    <w:basedOn w:val="DefaultParagraphFont"/>
    <w:link w:val="NormalHanging12a"/>
    <w:rsid w:val="00D32AED"/>
    <w:rPr>
      <w:sz w:val="24"/>
      <w:lang w:val="ro-RO"/>
    </w:rPr>
  </w:style>
  <w:style w:type="paragraph" w:customStyle="1" w:styleId="RollCallVotes">
    <w:name w:val="RollCallVotes"/>
    <w:basedOn w:val="Normal"/>
    <w:rsid w:val="00D32AED"/>
    <w:pPr>
      <w:spacing w:before="120" w:after="120"/>
      <w:jc w:val="center"/>
    </w:pPr>
    <w:rPr>
      <w:b/>
      <w:bCs/>
      <w:snapToGrid w:val="0"/>
      <w:sz w:val="16"/>
      <w:lang w:eastAsia="en-US"/>
    </w:rPr>
  </w:style>
  <w:style w:type="paragraph" w:customStyle="1" w:styleId="RollCallTabs">
    <w:name w:val="RollCallTabs"/>
    <w:basedOn w:val="Normal"/>
    <w:qFormat/>
    <w:rsid w:val="00D32AED"/>
    <w:pPr>
      <w:tabs>
        <w:tab w:val="center" w:pos="284"/>
        <w:tab w:val="left" w:pos="426"/>
      </w:tabs>
    </w:pPr>
    <w:rPr>
      <w:snapToGrid w:val="0"/>
      <w:lang w:eastAsia="en-US"/>
    </w:rPr>
  </w:style>
  <w:style w:type="paragraph" w:customStyle="1" w:styleId="RollCallSymbols14pt">
    <w:name w:val="RollCallSymbols14pt"/>
    <w:basedOn w:val="Normal"/>
    <w:rsid w:val="00D32AED"/>
    <w:pPr>
      <w:spacing w:before="120" w:after="120"/>
      <w:jc w:val="center"/>
    </w:pPr>
    <w:rPr>
      <w:rFonts w:ascii="Arial" w:hAnsi="Arial"/>
      <w:b/>
      <w:bCs/>
      <w:snapToGrid w:val="0"/>
      <w:sz w:val="28"/>
      <w:lang w:eastAsia="en-US"/>
    </w:rPr>
  </w:style>
  <w:style w:type="paragraph" w:customStyle="1" w:styleId="RollCallTable">
    <w:name w:val="RollCallTable"/>
    <w:basedOn w:val="Normal"/>
    <w:rsid w:val="00D32AED"/>
    <w:pPr>
      <w:spacing w:before="120" w:after="120"/>
    </w:pPr>
    <w:rPr>
      <w:snapToGrid w:val="0"/>
      <w:sz w:val="16"/>
      <w:lang w:eastAsia="en-US"/>
    </w:rPr>
  </w:style>
  <w:style w:type="character" w:styleId="FollowedHyperlink">
    <w:name w:val="FollowedHyperlink"/>
    <w:basedOn w:val="DefaultParagraphFont"/>
    <w:rsid w:val="00D32AED"/>
    <w:rPr>
      <w:color w:val="954F72" w:themeColor="followedHyperlink"/>
      <w:u w:val="single"/>
    </w:rPr>
  </w:style>
  <w:style w:type="paragraph" w:customStyle="1" w:styleId="Normal12">
    <w:name w:val="Normal12"/>
    <w:basedOn w:val="Normal"/>
    <w:rsid w:val="00D32AED"/>
    <w:pPr>
      <w:widowControl/>
      <w:snapToGrid w:val="0"/>
      <w:spacing w:after="240"/>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7661</Words>
  <Characters>46517</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2026-06-17T15:11:00Z</dcterms:created>
  <dcterms:modified xsi:type="dcterms:W3CDTF">2026-06-17T15:11:00Z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A10-0162/2026</vt:lpwstr>
  </property>
  <property fmtid="{D5CDD505-2E9C-101B-9397-08002B2CF9AE}" pid="4" name="&lt;Type&gt;">
    <vt:lpwstr>RR</vt:lpwstr>
  </property>
</Properties>
</file>